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567"/>
        <w:jc w:val="center"/>
      </w:pPr>
      <w:r>
        <w:rPr>
          <w:rFonts w:ascii="Times New Roman" w:hAnsi="Times New Roman"/>
          <w:b/>
          <w:sz w:val="28"/>
        </w:rPr>
        <w:t>ĐẠI HỌC QUỐC GIA THÀNH PHỐ HỒ CHÍ MINH</w:t>
      </w:r>
    </w:p>
    <w:p>
      <w:pPr>
        <w:spacing w:after="120"/>
        <w:ind w:firstLine="567"/>
        <w:jc w:val="center"/>
      </w:pPr>
      <w:r>
        <w:rPr>
          <w:rFonts w:ascii="Times New Roman" w:hAnsi="Times New Roman"/>
          <w:b/>
          <w:sz w:val="28"/>
        </w:rPr>
        <w:t>TRƯỜNG ĐẠI HỌC KINH TẾ - LUẬT</w:t>
      </w:r>
    </w:p>
    <w:p>
      <w:pPr>
        <w:spacing w:after="120"/>
        <w:ind w:firstLine="567"/>
        <w:jc w:val="center"/>
      </w:pPr>
      <w:r>
        <w:rPr>
          <w:rFonts w:ascii="Times New Roman" w:hAnsi="Times New Roman"/>
          <w:b/>
          <w:sz w:val="26"/>
        </w:rPr>
        <w:t>KHOA HỆ THỐNG THÔNG TIN</w:t>
      </w:r>
    </w:p>
    <w:p>
      <w:pPr>
        <w:jc w:val="center"/>
      </w:pPr>
      <w:r>
        <w:rPr>
          <w:rFonts w:ascii="Times New Roman" w:hAnsi="Times New Roman"/>
          <w:b w:val="0"/>
          <w:sz w:val="26"/>
        </w:rPr>
      </w:r>
    </w:p>
    <w:p>
      <w:pPr>
        <w:spacing w:after="120"/>
        <w:ind w:firstLine="567"/>
        <w:jc w:val="center"/>
      </w:pPr>
      <w:r>
        <w:rPr>
          <w:rFonts w:ascii="Times New Roman" w:hAnsi="Times New Roman"/>
          <w:b/>
          <w:sz w:val="32"/>
        </w:rPr>
        <w:t xml:space="preserve">LUẬN VĂN THẠC SĨ</w:t>
      </w:r>
    </w:p>
    <w:p>
      <w:pPr>
        <w:jc w:val="center"/>
      </w:pPr>
      <w:r>
        <w:rPr>
          <w:rFonts w:ascii="Times New Roman" w:hAnsi="Times New Roman"/>
          <w:b w:val="0"/>
          <w:sz w:val="26"/>
        </w:rPr>
      </w:r>
    </w:p>
    <w:p>
      <w:pPr>
        <w:spacing w:after="120"/>
        <w:ind w:firstLine="567"/>
        <w:jc w:val="center"/>
      </w:pPr>
      <w:r>
        <w:rPr>
          <w:rFonts w:ascii="Times New Roman" w:hAnsi="Times New Roman"/>
          <w:b/>
          <w:sz w:val="34"/>
        </w:rPr>
        <w:t>DỰ BÁO NHU CẦU BÁN LẺ VÀ HỖ TRỢ QUYẾT ĐỊNH KHUYẾN MÃI BẰNG MACHINE LEARNING, PROBABILISTIC FORECASTING VÀ GENERATIVE AI: NGHIÊN CỨU TRÊN DỮ LIỆU CORPORACIÓN FAVORITA</w:t>
      </w:r>
    </w:p>
    <w:p>
      <w:pPr>
        <w:jc w:val="center"/>
      </w:pPr>
      <w:r>
        <w:rPr>
          <w:rFonts w:ascii="Times New Roman" w:hAnsi="Times New Roman"/>
          <w:b w:val="0"/>
          <w:sz w:val="26"/>
        </w:rPr>
      </w:r>
    </w:p>
    <w:p>
      <w:pPr>
        <w:spacing w:after="120"/>
        <w:ind w:firstLine="567"/>
        <w:jc w:val="center"/>
      </w:pPr>
      <w:r>
        <w:rPr>
          <w:rFonts w:ascii="Times New Roman" w:hAnsi="Times New Roman"/>
          <w:b w:val="0"/>
          <w:sz w:val="26"/>
        </w:rPr>
        <w:t>Học viên: Đinh Nguyễn Tấn Nguyên</w:t>
      </w:r>
    </w:p>
    <w:p>
      <w:pPr>
        <w:spacing w:after="120"/>
        <w:ind w:firstLine="567"/>
        <w:jc w:val="center"/>
      </w:pPr>
      <w:r>
        <w:rPr>
          <w:rFonts w:ascii="Times New Roman" w:hAnsi="Times New Roman"/>
          <w:b w:val="0"/>
          <w:sz w:val="26"/>
        </w:rPr>
        <w:t>Người hướng dẫn khoa học: TS. Trần Duy Thanh</w:t>
      </w:r>
    </w:p>
    <w:p>
      <w:pPr>
        <w:spacing w:after="120"/>
        <w:ind w:firstLine="567"/>
        <w:jc w:val="center"/>
      </w:pPr>
      <w:r>
        <w:rPr>
          <w:rFonts w:ascii="Times New Roman" w:hAnsi="Times New Roman"/>
          <w:b w:val="0"/>
          <w:sz w:val="26"/>
        </w:rPr>
        <w:t>Chương trình: Thạc sĩ Thương mại điện tử</w:t>
      </w:r>
    </w:p>
    <w:p>
      <w:pPr>
        <w:jc w:val="center"/>
      </w:pPr>
      <w:r>
        <w:rPr>
          <w:rFonts w:ascii="Times New Roman" w:hAnsi="Times New Roman"/>
          <w:b w:val="0"/>
          <w:sz w:val="26"/>
        </w:rPr>
      </w:r>
    </w:p>
    <w:p>
      <w:pPr>
        <w:spacing w:after="120"/>
        <w:ind w:firstLine="567"/>
        <w:jc w:val="center"/>
      </w:pPr>
      <w:r>
        <w:rPr>
          <w:rFonts w:ascii="Times New Roman" w:hAnsi="Times New Roman"/>
          <w:b w:val="0"/>
          <w:sz w:val="26"/>
        </w:rPr>
        <w:t>Thành phố Hồ Chí Minh, năm 2026</w:t>
      </w:r>
    </w:p>
    <w:p>
      <w:r>
        <w:br w:type="page"/>
      </w:r>
    </w:p>
    <w:p>
      <w:pPr>
        <w:pStyle w:val="Heading1"/>
        <w:pageBreakBefore/>
        <w:jc w:val="center"/>
      </w:pPr>
      <w:r>
        <w:rPr>
          <w:b/>
        </w:rPr>
        <w:t>LỜI CAM ĐOAN</w:t>
      </w:r>
    </w:p>
    <w:p>
      <w:pPr>
        <w:ind w:firstLine="567"/>
        <w:jc w:val="both"/>
      </w:pPr>
      <w:r>
        <w:rPr>
          <w:b w:val="0"/>
        </w:rPr>
        <w:t>Tôi cam đoan luận văn này được thực hiện dưới trách nhiệm học thuật của tôi và dưới sự hướng dẫn của TS. Trần Duy Thanh. Các dữ liệu, tài liệu tham khảo, phương pháp, phần mềm và nguồn thông tin được sử dụng trong nghiên cứu đều được ghi nhận theo phạm vi phù hợp. Các số liệu thực nghiệm, bảng biểu và kết quả phân tích được trình bày dựa trên bộ dữ liệu và quy trình tính toán của đề tài; các giới hạn của dữ liệu và phương pháp được nêu rõ trong luận văn. Tôi chịu trách nhiệm về tính trung thực, khả năng truy vết của kết quả và nội dung trình bày trong công trình này.</w:t>
      </w:r>
    </w:p>
    <w:p>
      <w:pPr>
        <w:pStyle w:val="Heading1"/>
        <w:pageBreakBefore/>
        <w:jc w:val="center"/>
      </w:pPr>
      <w:r>
        <w:rPr>
          <w:b/>
        </w:rPr>
        <w:t>LỜI CẢM ƠN</w:t>
      </w:r>
    </w:p>
    <w:p>
      <w:pPr>
        <w:ind w:firstLine="567"/>
        <w:jc w:val="both"/>
      </w:pPr>
      <w:r>
        <w:rPr>
          <w:b w:val="0"/>
        </w:rPr>
        <w:t>Tôi xin chân thành cảm ơn TS. Trần Duy Thanh đã định hướng, góp ý và hỗ trợ tôi trong quá trình thực hiện nghiên cứu. Tôi cũng trân trọng cảm ơn quý thầy cô Trường Đại học Kinh tế - Luật, Đại học Quốc gia Thành phố Hồ Chí Minh đã cung cấp nền tảng kiến thức và môi trường học tập để tôi hoàn thành luận văn. Xin cảm ơn gia đình, bạn bè và đồng nghiệp đã động viên, chia sẻ và tạo điều kiện cho tôi trong suốt quá trình học tập và thực hiện đề tài. Những ý kiến hỗ trợ và phản biện nhận được là nguồn tham khảo quan trọng để tôi hoàn thiện công trình này. Tôi xin trân trọng cảm ơn.</w:t>
      </w:r>
    </w:p>
    <w:p>
      <w:pPr>
        <w:pStyle w:val="Heading1"/>
        <w:pageBreakBefore/>
      </w:pPr>
      <w:r>
        <w:t>TÓM TẮT</w:t>
      </w:r>
    </w:p>
    <w:p>
      <w:pPr>
        <w:spacing w:after="120"/>
        <w:ind w:firstLine="567"/>
      </w:pPr>
      <w:r>
        <w:t xml:space="preserve">Luận văn thiết kế và đánh giá một quy trình dự báo nhu cầu bán lẻ khép kín trên dữ liệu Corporación Favorita, gồm 3.000.888 quan sát của 54 cửa hàng, 33 nhóm sản phẩm và 1.782 chuỗi Store × Family trong giai đoạn 01/01/2013–15/08/2017. Quy trình kết nối kiểm tra dữ liệu, phân tích khám phá, phân rã Robust STL, tạo đặc trưng theo ngày lịch có kiểm soát rò rỉ cho kỳ dự báo trực tiếp 16 ngày, so sánh năm mô hình (Seasonal Naive cố định gốc dự báo, Ridge, Random Forest, XGBoost, LightGBM), dự báo xác suất P10/P50/P90 bằng khoảng phần dư split-conformal theo nhóm quy mô (Mondrian), kịch bản khuyến mãi có điều kiện, hỗ trợ quyết định tồn kho theo logic Newsvendor, và một lớp hỗ trợ quyết định có căn cứ gồm phiếu khuyến nghị, truy xuất chính sách (RAG), mô hình ngôn ngữ tùy chọn có kiểm tra bám bằng chứng và phê duyệt của con người (HITL) trên dashboard, kèm công cụ xuất báo cáo và mẫu ra quyết định dự báo. Toàn bộ kết quả được sinh bằng một lần chạy duy nhất của quy trình từ tệp train.csv và có thể tái lập bằng một lệnh; thiết kế bảo đảm mọi đặc trưng đều có sẵn tại thời điểm dự báo và các mô hình được so sánh trong cùng điều kiện dữ liệu.</w:t>
      </w:r>
    </w:p>
    <w:p>
      <w:pPr>
        <w:spacing w:after="120"/>
        <w:ind w:firstLine="567"/>
      </w:pPr>
      <w:r>
        <w:t xml:space="preserve">Kết quả cho thấy XGBoost đạt WAPE trung bình 12,089% qua ba lần kiểm định chéo cuốn chiếu, đứng đầu và có RMSE thấp nhất ở cả ba lần, so với 15,718% của Seasonal Naive; trên tập kiểm tra cuối 31/07–15/08/2017, XGBoost đạt WAPE 14,327%. Khoảng P10–P90 theo nhóm Mondrian có hàm mất mát phân vị P10/P50/P90 lần lượt 17,850, 33,428 và 20,960; độ rộng khoảng tăng theo quy mô dự báo và độ bao phủ ở nhóm nhu cầu cao nhất đạt 72,77%, dù độ bao phủ tổng 75,40% vẫn thấp hơn mức danh nghĩa 80%. Stage 08 tạo phiếu khuyến nghị cho toàn bộ 1.782 chuỗi, xếp hàng đợi theo điểm ưu tiên minh bạch. Các giới hạn được nêu rõ: nhãn rủi ro tồn kho vẫn gắn với quy mô chuỗi; kịch bản khuyến mãi có ngoại suy; các đại lượng tồn kho là mô phỏng theo giả định do không có giá, biên lợi nhuận, tồn kho thực và thời gian cung ứng; lớp mô hình ngôn ngữ mới được kiểm thử bằng mô phỏng vì chưa có khóa API. Kết quả cho thấy giá trị của một quy trình minh bạch, tái lập được, gắn dự báo với bất định và kiểm soát của con người.</w:t>
      </w:r>
    </w:p>
    <w:p>
      <w:pPr>
        <w:spacing w:after="120"/>
        <w:ind w:firstLine="567"/>
      </w:pPr>
      <w:r>
        <w:t xml:space="preserve">Từ khóa: Demand Forecasting; Global Forecasting; LightGBM; XGBoost; Probabilistic Forecasting; Promotion Scenario; Newsvendor; Generative AI; RAG; HITL.</w:t>
      </w:r>
    </w:p>
    <w:p>
      <w:r>
        <w:br w:type="page"/>
      </w:r>
    </w:p>
    <w:p>
      <w:pPr>
        <w:pStyle w:val="Heading1"/>
        <w:pageBreakBefore/>
      </w:pPr>
      <w:r>
        <w:t>ABSTRACT</w:t>
      </w:r>
    </w:p>
    <w:p>
      <w:pPr>
        <w:spacing w:after="120"/>
        <w:ind w:firstLine="567"/>
      </w:pPr>
      <w:r>
        <w:t xml:space="preserve">This thesis designs and evaluates an end-to-end retail demand forecasting pipeline on the Corporación Favorita dataset (3,000,888 observations; 54 stores; 33 product families; 1,782 Store × Family series; 1 January 2013 – 15 August 2017). The pipeline combines data validation, exploratory analysis, Robust STL decomposition, calendar-based leakage-controlled features for a direct 16-day horizon, a comparison of five models (origin-fixed Seasonal Naive, Ridge, Random Forest, XGBoost and LightGBM), P10/P50/P90 forecasts from Mondrian split-conformal residual intervals, conditional promotion scenarios, Newsvendor-style inventory support, and an evidence-grounded decision layer with recommendation briefs, policy retrieval, an optional language model subject to a numeric grounding check, human-in-the-loop approval, report export and a forecast decision template. All results come from a single, fully reproducible run of the pipeline from the raw data. XGBoost attains a mean rolling-origin WAPE of 12.089% (Seasonal Naive: 15.718%) and 14.327% on the final holdout. Mondrian intervals widen with forecast scale and reach 72.77% coverage in the top demand quartile, although overall coverage (75.40%) remains below the nominal 80%. Promotion and inventory outputs remain conditional, assumption-based decision support rather than causal effects or optimal policies.</w:t>
      </w:r>
    </w:p>
    <w:p>
      <w:r>
        <w:br w:type="page"/>
      </w:r>
    </w:p>
    <w:p>
      <w:pPr>
        <w:pStyle w:val="Heading1"/>
        <w:pageBreakBefore/>
      </w:pPr>
      <w:r>
        <w:t>DANH MỤC TỪ VIẾT TẮT</w:t>
      </w:r>
    </w:p>
    <w:tbl>
      <w:tblPr>
        <w:tblW w:type="auto" w:w="0"/>
        <w:jc w:val="center"/>
        <w:tblLook w:firstColumn="1" w:firstRow="1" w:lastColumn="0" w:lastRow="0" w:noHBand="0" w:noVBand="1" w:val="04A0"/>
      </w:tblPr>
      <w:tblGrid>
        <w:gridCol w:w="4535"/>
        <w:gridCol w:w="4535"/>
      </w:tblGrid>
      <w:tr>
        <w:tc>
          <w:tcPr>
            <w:tcW w:type="dxa" w:w="4535"/>
          </w:tcPr>
          <w:p>
            <w:r>
              <w:t>Viết tắt</w:t>
            </w:r>
          </w:p>
        </w:tc>
        <w:tc>
          <w:tcPr>
            <w:tcW w:type="dxa" w:w="4535"/>
          </w:tcPr>
          <w:p>
            <w:r>
              <w:t>Thuật ngữ</w:t>
            </w:r>
          </w:p>
        </w:tc>
      </w:tr>
      <w:tr>
        <w:tc>
          <w:tcPr>
            <w:tcW w:type="dxa" w:w="4535"/>
          </w:tcPr>
          <w:p>
            <w:r>
              <w:t>AI</w:t>
            </w:r>
          </w:p>
        </w:tc>
        <w:tc>
          <w:tcPr>
            <w:tcW w:type="dxa" w:w="4535"/>
          </w:tcPr>
          <w:p>
            <w:r>
              <w:t>Artificial Intelligence</w:t>
            </w:r>
          </w:p>
        </w:tc>
      </w:tr>
      <w:tr>
        <w:tc>
          <w:tcPr>
            <w:tcW w:type="dxa" w:w="4535"/>
          </w:tcPr>
          <w:p>
            <w:r>
              <w:t>CV</w:t>
            </w:r>
          </w:p>
        </w:tc>
        <w:tc>
          <w:tcPr>
            <w:tcW w:type="dxa" w:w="4535"/>
          </w:tcPr>
          <w:p>
            <w:r>
              <w:t>Cross-Validation</w:t>
            </w:r>
          </w:p>
        </w:tc>
      </w:tr>
      <w:tr>
        <w:tc>
          <w:tcPr>
            <w:tcW w:type="dxa" w:w="4535"/>
          </w:tcPr>
          <w:p>
            <w:r>
              <w:t>EDA</w:t>
            </w:r>
          </w:p>
        </w:tc>
        <w:tc>
          <w:tcPr>
            <w:tcW w:type="dxa" w:w="4535"/>
          </w:tcPr>
          <w:p>
            <w:r>
              <w:t>Exploratory Data Analysis</w:t>
            </w:r>
          </w:p>
        </w:tc>
      </w:tr>
      <w:tr>
        <w:tc>
          <w:tcPr>
            <w:tcW w:type="dxa" w:w="4535"/>
          </w:tcPr>
          <w:p>
            <w:r>
              <w:t>HITL</w:t>
            </w:r>
          </w:p>
        </w:tc>
        <w:tc>
          <w:tcPr>
            <w:tcW w:type="dxa" w:w="4535"/>
          </w:tcPr>
          <w:p>
            <w:r>
              <w:t>Human-in-the-Loop</w:t>
            </w:r>
          </w:p>
        </w:tc>
      </w:tr>
      <w:tr>
        <w:tc>
          <w:tcPr>
            <w:tcW w:type="dxa" w:w="4535"/>
          </w:tcPr>
          <w:p>
            <w:r>
              <w:t>MAE</w:t>
            </w:r>
          </w:p>
        </w:tc>
        <w:tc>
          <w:tcPr>
            <w:tcW w:type="dxa" w:w="4535"/>
          </w:tcPr>
          <w:p>
            <w:r>
              <w:t>Mean Absolute Error</w:t>
            </w:r>
          </w:p>
        </w:tc>
      </w:tr>
      <w:tr>
        <w:tc>
          <w:tcPr>
            <w:tcW w:type="dxa" w:w="4535"/>
          </w:tcPr>
          <w:p>
            <w:r>
              <w:t>ML</w:t>
            </w:r>
          </w:p>
        </w:tc>
        <w:tc>
          <w:tcPr>
            <w:tcW w:type="dxa" w:w="4535"/>
          </w:tcPr>
          <w:p>
            <w:r>
              <w:t>Machine Learning</w:t>
            </w:r>
          </w:p>
        </w:tc>
      </w:tr>
      <w:tr>
        <w:tc>
          <w:tcPr>
            <w:tcW w:type="dxa" w:w="4535"/>
          </w:tcPr>
          <w:p>
            <w:r>
              <w:t>P10/P50/P90</w:t>
            </w:r>
          </w:p>
        </w:tc>
        <w:tc>
          <w:tcPr>
            <w:tcW w:type="dxa" w:w="4535"/>
          </w:tcPr>
          <w:p>
            <w:r>
              <w:t>10th/50th/90th predictive quantiles</w:t>
            </w:r>
          </w:p>
        </w:tc>
      </w:tr>
      <w:tr>
        <w:tc>
          <w:tcPr>
            <w:tcW w:type="dxa" w:w="4535"/>
          </w:tcPr>
          <w:p>
            <w:r>
              <w:t>RAG</w:t>
            </w:r>
          </w:p>
        </w:tc>
        <w:tc>
          <w:tcPr>
            <w:tcW w:type="dxa" w:w="4535"/>
          </w:tcPr>
          <w:p>
            <w:r>
              <w:t>Retrieval-Augmented Generation</w:t>
            </w:r>
          </w:p>
        </w:tc>
      </w:tr>
      <w:tr>
        <w:tc>
          <w:tcPr>
            <w:tcW w:type="dxa" w:w="4535"/>
          </w:tcPr>
          <w:p>
            <w:r>
              <w:t>RMSE</w:t>
            </w:r>
          </w:p>
        </w:tc>
        <w:tc>
          <w:tcPr>
            <w:tcW w:type="dxa" w:w="4535"/>
          </w:tcPr>
          <w:p>
            <w:r>
              <w:t>Root Mean Squared Error</w:t>
            </w:r>
          </w:p>
        </w:tc>
      </w:tr>
      <w:tr>
        <w:tc>
          <w:tcPr>
            <w:tcW w:type="dxa" w:w="4535"/>
          </w:tcPr>
          <w:p>
            <w:r>
              <w:t>RMSLE</w:t>
            </w:r>
          </w:p>
        </w:tc>
        <w:tc>
          <w:tcPr>
            <w:tcW w:type="dxa" w:w="4535"/>
          </w:tcPr>
          <w:p>
            <w:r>
              <w:t>Root Mean Squared Logarithmic Error</w:t>
            </w:r>
          </w:p>
        </w:tc>
      </w:tr>
      <w:tr>
        <w:tc>
          <w:tcPr>
            <w:tcW w:type="dxa" w:w="4535"/>
          </w:tcPr>
          <w:p>
            <w:r>
              <w:t>STL</w:t>
            </w:r>
          </w:p>
        </w:tc>
        <w:tc>
          <w:tcPr>
            <w:tcW w:type="dxa" w:w="4535"/>
          </w:tcPr>
          <w:p>
            <w:r>
              <w:t>Seasonal-Trend decomposition using LOESS</w:t>
            </w:r>
          </w:p>
        </w:tc>
      </w:tr>
      <w:tr>
        <w:tc>
          <w:tcPr>
            <w:tcW w:type="dxa" w:w="4535"/>
          </w:tcPr>
          <w:p>
            <w:r>
              <w:t>WAPE</w:t>
            </w:r>
          </w:p>
        </w:tc>
        <w:tc>
          <w:tcPr>
            <w:tcW w:type="dxa" w:w="4535"/>
          </w:tcPr>
          <w:p>
            <w:r>
              <w:t>Weighted Absolute Percentage Error</w:t>
            </w:r>
          </w:p>
        </w:tc>
      </w:tr>
      <w:tr>
        <w:tc>
          <w:tcPr>
            <w:tcW w:type="dxa" w:w="4535"/>
          </w:tcPr>
          <w:p>
            <w:r>
              <w:t>sMAPE</w:t>
            </w:r>
          </w:p>
        </w:tc>
        <w:tc>
          <w:tcPr>
            <w:tcW w:type="dxa" w:w="4535"/>
          </w:tcPr>
          <w:p>
            <w:r>
              <w:t>Symmetric Mean Absolute Percentage Error</w:t>
            </w:r>
          </w:p>
        </w:tc>
      </w:tr>
    </w:tbl>
    <w:p>
      <w:r>
        <w:br w:type="page"/>
      </w:r>
    </w:p>
    <w:p>
      <w:pPr>
        <w:pStyle w:val="Heading1"/>
        <w:pageBreakBefore/>
      </w:pPr>
      <w:r>
        <w:t>DANH MỤC HÌNH ẢNH</w:t>
      </w:r>
    </w:p>
    <w:p>
      <w:pPr>
        <w:tabs>
          <w:tab w:val="right" w:leader="dot" w:pos="9071"/>
        </w:tabs>
        <w:spacing w:after="40" w:line="300" w:lineRule="auto"/>
        <w:ind w:left="1134" w:hanging="1134"/>
        <w:jc w:val="left"/>
      </w:pPr>
      <w:r>
        <w:t xml:space="preserve">Hình 3.1. Quy mô dữ liệu sau kiểm tra: số quan sát (triệu), cửa hàng, nhóm sản phẩm và chuỗi Store × Family (trăm)</w:t>
      </w:r>
      <w:r>
        <w:tab/>
        <w:t>104</w:t>
      </w:r>
    </w:p>
    <w:p>
      <w:pPr>
        <w:tabs>
          <w:tab w:val="right" w:leader="dot" w:pos="9071"/>
        </w:tabs>
        <w:spacing w:after="40" w:line="300" w:lineRule="auto"/>
        <w:ind w:left="1134" w:hanging="1134"/>
        <w:jc w:val="left"/>
      </w:pPr>
      <w:r>
        <w:t xml:space="preserve">Hình 3.2. Doanh số tổng hợp theo ngày của toàn hệ thống và trung bình trượt 28 ngày, 01/01/2013 – 15/08/2017</w:t>
      </w:r>
      <w:r>
        <w:tab/>
        <w:t>106</w:t>
      </w:r>
    </w:p>
    <w:p>
      <w:pPr>
        <w:tabs>
          <w:tab w:val="right" w:leader="dot" w:pos="9071"/>
        </w:tabs>
        <w:spacing w:after="40" w:line="300" w:lineRule="auto"/>
        <w:ind w:left="1134" w:hanging="1134"/>
        <w:jc w:val="left"/>
      </w:pPr>
      <w:r>
        <w:t xml:space="preserve">Hình 3.3. Doanh số tổng trung bình theo thứ trong tuần (T2 – CN), 2013–2017</w:t>
      </w:r>
      <w:r>
        <w:tab/>
        <w:t>107</w:t>
      </w:r>
    </w:p>
    <w:p>
      <w:pPr>
        <w:tabs>
          <w:tab w:val="right" w:leader="dot" w:pos="9071"/>
        </w:tabs>
        <w:spacing w:after="40" w:line="300" w:lineRule="auto"/>
        <w:ind w:left="1134" w:hanging="1134"/>
        <w:jc w:val="left"/>
      </w:pPr>
      <w:r>
        <w:t xml:space="preserve">Hình 3.4. Phân rã Robust STL (period = 7) của chuỗi doanh số tổng theo ngày: quan sát, xu hướng, mùa vụ và phần dư</w:t>
      </w:r>
      <w:r>
        <w:tab/>
        <w:t>111</w:t>
      </w:r>
    </w:p>
    <w:p>
      <w:pPr>
        <w:tabs>
          <w:tab w:val="right" w:leader="dot" w:pos="9071"/>
        </w:tabs>
        <w:spacing w:after="40" w:line="300" w:lineRule="auto"/>
        <w:ind w:left="1134" w:hanging="1134"/>
        <w:jc w:val="left"/>
      </w:pPr>
      <w:r>
        <w:t xml:space="preserve">Hình 4.1. WAPE trung bình của năm mô hình qua ba lần kiểm định chéo cuốn chiếu, vạch sai số thể hiện độ lệch chuẩn giữa các lần kiểm định</w:t>
      </w:r>
      <w:r>
        <w:tab/>
        <w:t>160</w:t>
      </w:r>
    </w:p>
    <w:p>
      <w:pPr>
        <w:tabs>
          <w:tab w:val="right" w:leader="dot" w:pos="9071"/>
        </w:tabs>
        <w:spacing w:after="40" w:line="300" w:lineRule="auto"/>
        <w:ind w:left="1134" w:hanging="1134"/>
        <w:jc w:val="left"/>
      </w:pPr>
      <w:r>
        <w:t xml:space="preserve">Hình 4.2. Diễn biến WAPE của năm mô hình qua ba lần kiểm định chéo cuốn chiếu</w:t>
      </w:r>
      <w:r>
        <w:tab/>
        <w:t>165</w:t>
      </w:r>
    </w:p>
    <w:p>
      <w:pPr>
        <w:tabs>
          <w:tab w:val="right" w:leader="dot" w:pos="9071"/>
        </w:tabs>
        <w:spacing w:after="40" w:line="300" w:lineRule="auto"/>
        <w:ind w:left="1134" w:hanging="1134"/>
        <w:jc w:val="left"/>
      </w:pPr>
      <w:r>
        <w:t xml:space="preserve">Hình 4.3. WAPE của năm mô hình trên tập kiểm tra cuối 16 ngày</w:t>
      </w:r>
      <w:r>
        <w:tab/>
        <w:t>168</w:t>
      </w:r>
    </w:p>
    <w:p>
      <w:pPr>
        <w:tabs>
          <w:tab w:val="right" w:leader="dot" w:pos="9071"/>
        </w:tabs>
        <w:spacing w:after="40" w:line="300" w:lineRule="auto"/>
        <w:ind w:left="1134" w:hanging="1134"/>
        <w:jc w:val="left"/>
      </w:pPr>
      <w:r>
        <w:t xml:space="preserve">Hình 4.4. WAPE trung bình kiểm định chéo cuốn chiếu và WAPE trên tập kiểm tra cuối của năm mô hình</w:t>
      </w:r>
      <w:r>
        <w:tab/>
        <w:t>170</w:t>
      </w:r>
    </w:p>
    <w:p>
      <w:pPr>
        <w:tabs>
          <w:tab w:val="right" w:leader="dot" w:pos="9071"/>
        </w:tabs>
        <w:spacing w:after="40" w:line="300" w:lineRule="auto"/>
        <w:ind w:left="1134" w:hanging="1134"/>
        <w:jc w:val="left"/>
      </w:pPr>
      <w:r>
        <w:t xml:space="preserve">Hình 4.5. Tổng doanh số thực tế, dự báo P50 và dải tổng P10–P90 theo ngày trên tập kiểm tra cuối (31/07/2017–15/08/2017)</w:t>
      </w:r>
      <w:r>
        <w:tab/>
        <w:t>177</w:t>
      </w:r>
    </w:p>
    <w:p>
      <w:pPr>
        <w:tabs>
          <w:tab w:val="right" w:leader="dot" w:pos="9071"/>
        </w:tabs>
        <w:spacing w:after="40" w:line="300" w:lineRule="auto"/>
        <w:ind w:left="1134" w:hanging="1134"/>
        <w:jc w:val="left"/>
      </w:pPr>
      <w:r>
        <w:t xml:space="preserve">Hình 4.6. Doanh số thực tế và P50 của XGBoost ở cấp chuỗi – ngày trên tập kiểm tra cuối (thang logarit, đường nét đứt: đường 45 độ)</w:t>
      </w:r>
      <w:r>
        <w:tab/>
        <w:t>180</w:t>
      </w:r>
    </w:p>
    <w:p>
      <w:pPr>
        <w:tabs>
          <w:tab w:val="right" w:leader="dot" w:pos="9071"/>
        </w:tabs>
        <w:spacing w:after="40" w:line="300" w:lineRule="auto"/>
        <w:ind w:left="1134" w:hanging="1134"/>
        <w:jc w:val="left"/>
      </w:pPr>
      <w:r>
        <w:t xml:space="preserve">Hình 4.7. Phân phối phần dư (thực tế − P50) của XGBoost trên tập kiểm tra cuối, cắt ở phân vị 1% và 99%</w:t>
      </w:r>
      <w:r>
        <w:tab/>
        <w:t>182</w:t>
      </w:r>
    </w:p>
    <w:p>
      <w:pPr>
        <w:tabs>
          <w:tab w:val="right" w:leader="dot" w:pos="9071"/>
        </w:tabs>
        <w:spacing w:after="40" w:line="300" w:lineRule="auto"/>
        <w:ind w:left="1134" w:hanging="1134"/>
        <w:jc w:val="left"/>
      </w:pPr>
      <w:r>
        <w:t xml:space="preserve">Hình 4.8. WAPE (cột, thang logarit) và độ bao phủ P10–P90 (đường) của XGBoost theo bốn mức nhu cầu trên tập kiểm tra cuối</w:t>
      </w:r>
      <w:r>
        <w:tab/>
        <w:t>184</w:t>
      </w:r>
    </w:p>
    <w:p>
      <w:pPr>
        <w:tabs>
          <w:tab w:val="right" w:leader="dot" w:pos="9071"/>
        </w:tabs>
        <w:spacing w:after="40" w:line="300" w:lineRule="auto"/>
        <w:ind w:left="1134" w:hanging="1134"/>
        <w:jc w:val="left"/>
      </w:pPr>
      <w:r>
        <w:t xml:space="preserve">Hình 4.9. Sai số tuyệt đối theo doanh số thực tế ở cấp chuỗi – ngày trên tập kiểm tra cuối (thang logarit)</w:t>
      </w:r>
      <w:r>
        <w:tab/>
        <w:t>184</w:t>
      </w:r>
    </w:p>
    <w:p>
      <w:pPr>
        <w:tabs>
          <w:tab w:val="right" w:leader="dot" w:pos="9071"/>
        </w:tabs>
        <w:spacing w:after="40" w:line="300" w:lineRule="auto"/>
        <w:ind w:left="1134" w:hanging="1134"/>
        <w:jc w:val="left"/>
      </w:pPr>
      <w:r>
        <w:t xml:space="preserve">Hình 4.10. 20 cửa hàng có WAPE cao nhất trên tập kiểm tra cuối</w:t>
      </w:r>
      <w:r>
        <w:tab/>
        <w:t>187</w:t>
      </w:r>
    </w:p>
    <w:p>
      <w:pPr>
        <w:tabs>
          <w:tab w:val="right" w:leader="dot" w:pos="9071"/>
        </w:tabs>
        <w:spacing w:after="40" w:line="300" w:lineRule="auto"/>
        <w:ind w:left="1134" w:hanging="1134"/>
        <w:jc w:val="left"/>
      </w:pPr>
      <w:r>
        <w:t xml:space="preserve">Hình 4.11. 20 nhóm sản phẩm có WAPE cao nhất trên tập kiểm tra cuối (thang logarit)</w:t>
      </w:r>
      <w:r>
        <w:tab/>
        <w:t>190</w:t>
      </w:r>
    </w:p>
    <w:p>
      <w:pPr>
        <w:tabs>
          <w:tab w:val="right" w:leader="dot" w:pos="9071"/>
        </w:tabs>
        <w:spacing w:after="40" w:line="300" w:lineRule="auto"/>
        <w:ind w:left="1134" w:hanging="1134"/>
        <w:jc w:val="left"/>
      </w:pPr>
      <w:r>
        <w:t xml:space="preserve">Hình 4.12. 20 đặc trưng có số lần tách lớn nhất trong mô hình đối chứng LightGBM</w:t>
      </w:r>
      <w:r>
        <w:tab/>
        <w:t>195</w:t>
      </w:r>
    </w:p>
    <w:p>
      <w:pPr>
        <w:tabs>
          <w:tab w:val="right" w:leader="dot" w:pos="9071"/>
        </w:tabs>
        <w:spacing w:after="40" w:line="300" w:lineRule="auto"/>
        <w:ind w:left="1134" w:hanging="1134"/>
        <w:jc w:val="left"/>
      </w:pPr>
      <w:r>
        <w:t xml:space="preserve">Hình 4.13. Độ rộng trung bình của khoảng P10–P90 theo doanh số trung bình mỗi ngày của từng chuỗi trên tập kiểm tra cuối (thang logarit)</w:t>
      </w:r>
      <w:r>
        <w:tab/>
        <w:t>199</w:t>
      </w:r>
    </w:p>
    <w:p>
      <w:pPr>
        <w:tabs>
          <w:tab w:val="right" w:leader="dot" w:pos="9071"/>
        </w:tabs>
        <w:spacing w:after="40" w:line="300" w:lineRule="auto"/>
        <w:ind w:left="1134" w:hanging="1134"/>
        <w:jc w:val="left"/>
      </w:pPr>
      <w:r>
        <w:t xml:space="preserve">Hình 4.14. Hàm mất mát phân vị (pinball loss) của P10, P50 và P90 trên tập kiểm tra cuối</w:t>
      </w:r>
      <w:r>
        <w:tab/>
        <w:t>201</w:t>
      </w:r>
    </w:p>
    <w:p>
      <w:pPr>
        <w:tabs>
          <w:tab w:val="right" w:leader="dot" w:pos="9071"/>
        </w:tabs>
        <w:spacing w:after="40" w:line="300" w:lineRule="auto"/>
        <w:ind w:left="1134" w:hanging="1134"/>
        <w:jc w:val="left"/>
      </w:pPr>
      <w:r>
        <w:t xml:space="preserve">Hình 4.15. Độ bao phủ của khoảng P10–P90 theo nhóm sản phẩm trên tập kiểm tra cuối (đường nét đứt: mức danh nghĩa 80%)</w:t>
      </w:r>
      <w:r>
        <w:tab/>
        <w:t>204</w:t>
      </w:r>
    </w:p>
    <w:p>
      <w:pPr>
        <w:tabs>
          <w:tab w:val="right" w:leader="dot" w:pos="9071"/>
        </w:tabs>
        <w:spacing w:after="40" w:line="300" w:lineRule="auto"/>
        <w:ind w:left="1134" w:hanging="1134"/>
        <w:jc w:val="left"/>
      </w:pPr>
      <w:r>
        <w:t xml:space="preserve">Hình 4.16. P50 trung bình theo chuỗi của năm kịch bản khuyến mãi trên kỳ dự báo 16 ngày</w:t>
      </w:r>
      <w:r>
        <w:tab/>
        <w:t>209</w:t>
      </w:r>
    </w:p>
    <w:p>
      <w:pPr>
        <w:tabs>
          <w:tab w:val="right" w:leader="dot" w:pos="9071"/>
        </w:tabs>
        <w:spacing w:after="40" w:line="300" w:lineRule="auto"/>
        <w:ind w:left="1134" w:hanging="1134"/>
        <w:jc w:val="left"/>
      </w:pPr>
      <w:r>
        <w:t xml:space="preserve">Hình 4.17. Hai mươi chuỗi có độ nhạy khuyến mãi |High − Current| của P50 lớn nhất</w:t>
      </w:r>
      <w:r>
        <w:tab/>
        <w:t>211</w:t>
      </w:r>
    </w:p>
    <w:p>
      <w:pPr>
        <w:tabs>
          <w:tab w:val="right" w:leader="dot" w:pos="9071"/>
        </w:tabs>
        <w:spacing w:after="40" w:line="300" w:lineRule="auto"/>
        <w:ind w:left="1134" w:hanging="1134"/>
        <w:jc w:val="left"/>
      </w:pPr>
      <w:r>
        <w:t xml:space="preserve">Hình 4.18. Số chuỗi Store × Family theo nhãn rủi ro tồn kho HIGH, MEDIUM và LOW</w:t>
      </w:r>
      <w:r>
        <w:tab/>
        <w:t>215</w:t>
      </w:r>
    </w:p>
    <w:p>
      <w:pPr>
        <w:tabs>
          <w:tab w:val="right" w:leader="dot" w:pos="9071"/>
        </w:tabs>
        <w:spacing w:after="40" w:line="300" w:lineRule="auto"/>
        <w:ind w:left="1134" w:hanging="1134"/>
        <w:jc w:val="left"/>
      </w:pPr>
      <w:r>
        <w:t xml:space="preserve">Hình 4.19. Phân phối lượng bổ sung gợi ý của 1.782 chuỗi trong kỳ 16 ngày (hiển thị đến phân vị 99)</w:t>
      </w:r>
      <w:r>
        <w:tab/>
        <w:t>218</w:t>
      </w:r>
    </w:p>
    <w:p>
      <w:pPr>
        <w:tabs>
          <w:tab w:val="right" w:leader="dot" w:pos="9071"/>
        </w:tabs>
        <w:spacing w:after="40" w:line="300" w:lineRule="auto"/>
        <w:ind w:left="1134" w:hanging="1134"/>
        <w:jc w:val="left"/>
      </w:pPr>
      <w:r>
        <w:t xml:space="preserve">Hình 4.20. Doanh số thực tế, P50 và khoảng P10–P90 theo ngày của trường hợp du_bao_tot (CH 3 – PRODUCE), kèm phần dư theo ngày</w:t>
      </w:r>
      <w:r>
        <w:tab/>
        <w:t>227</w:t>
      </w:r>
    </w:p>
    <w:p>
      <w:pPr>
        <w:tabs>
          <w:tab w:val="right" w:leader="dot" w:pos="9071"/>
        </w:tabs>
        <w:spacing w:after="40" w:line="300" w:lineRule="auto"/>
        <w:ind w:left="1134" w:hanging="1134"/>
        <w:jc w:val="left"/>
      </w:pPr>
      <w:r>
        <w:t xml:space="preserve">Hình 4.21. Doanh số thực tế, P50 và khoảng P10–P90 theo ngày của trường hợp du_bao_kho (CH 12 – SCHOOL AND OFFICE SUPPLIES), kèm phần dư theo ngày</w:t>
      </w:r>
      <w:r>
        <w:tab/>
        <w:t>228</w:t>
      </w:r>
    </w:p>
    <w:p>
      <w:pPr>
        <w:tabs>
          <w:tab w:val="right" w:leader="dot" w:pos="9071"/>
        </w:tabs>
        <w:spacing w:after="40" w:line="300" w:lineRule="auto"/>
        <w:ind w:left="1134" w:hanging="1134"/>
        <w:jc w:val="left"/>
      </w:pPr>
      <w:r>
        <w:t xml:space="preserve">Hình 4.22. Doanh số thực tế, P50 và khoảng P10–P90 theo ngày của trường hợp bat_dinh_cao (CH 2 – BEVERAGES), kèm phần dư theo ngày</w:t>
      </w:r>
      <w:r>
        <w:tab/>
        <w:t>229</w:t>
      </w:r>
    </w:p>
    <w:p>
      <w:pPr>
        <w:tabs>
          <w:tab w:val="right" w:leader="dot" w:pos="9071"/>
        </w:tabs>
        <w:spacing w:after="40" w:line="300" w:lineRule="auto"/>
        <w:ind w:left="1134" w:hanging="1134"/>
        <w:jc w:val="left"/>
      </w:pPr>
      <w:r>
        <w:t xml:space="preserve">Hình 4.23. Doanh số thực tế, P50 và khoảng P10–P90 theo ngày của trường hợp nhay_khuyen_mai (CH 45 – GROCERY I), kèm phần dư theo ngày</w:t>
      </w:r>
      <w:r>
        <w:tab/>
        <w:t>230</w:t>
      </w:r>
    </w:p>
    <w:p>
      <w:r>
        <w:br w:type="page"/>
      </w:r>
    </w:p>
    <w:p>
      <w:pPr>
        <w:pStyle w:val="Heading1"/>
        <w:pageBreakBefore/>
      </w:pPr>
      <w:r>
        <w:t>DANH MỤC BẢNG BIỂU</w:t>
      </w:r>
    </w:p>
    <w:p>
      <w:pPr>
        <w:tabs>
          <w:tab w:val="right" w:leader="dot" w:pos="9071"/>
        </w:tabs>
        <w:spacing w:after="40" w:line="300" w:lineRule="auto"/>
        <w:ind w:left="1134" w:hanging="1134"/>
        <w:jc w:val="left"/>
      </w:pPr>
      <w:r>
        <w:t xml:space="preserve">Bảng 1.1. Liên hệ giữa câu hỏi nghiên cứu, mục tiêu cụ thể, loại bằng chứng và phạm vi kết luận</w:t>
      </w:r>
      <w:r>
        <w:tab/>
        <w:t>26</w:t>
      </w:r>
    </w:p>
    <w:p>
      <w:pPr>
        <w:tabs>
          <w:tab w:val="right" w:leader="dot" w:pos="9071"/>
        </w:tabs>
        <w:spacing w:after="40" w:line="300" w:lineRule="auto"/>
        <w:ind w:left="1134" w:hanging="1134"/>
        <w:jc w:val="left"/>
      </w:pPr>
      <w:r>
        <w:t xml:space="preserve">Bảng 1.2. Những nội dung thuộc và không thuộc phạm vi kết luận của luận văn</w:t>
      </w:r>
      <w:r>
        <w:tab/>
        <w:t>28</w:t>
      </w:r>
    </w:p>
    <w:p>
      <w:pPr>
        <w:tabs>
          <w:tab w:val="right" w:leader="dot" w:pos="9071"/>
        </w:tabs>
        <w:spacing w:after="40" w:line="300" w:lineRule="auto"/>
        <w:ind w:left="1134" w:hanging="1134"/>
        <w:jc w:val="left"/>
      </w:pPr>
      <w:r>
        <w:t xml:space="preserve">Bảng 2.1. Các nhóm đặc trưng của bốn mô hình học máy, thông tin mô tả và điều kiện sẵn có tại thời điểm dự báo</w:t>
      </w:r>
      <w:r>
        <w:tab/>
        <w:t>45</w:t>
      </w:r>
    </w:p>
    <w:p>
      <w:pPr>
        <w:tabs>
          <w:tab w:val="right" w:leader="dot" w:pos="9071"/>
        </w:tabs>
        <w:spacing w:after="40" w:line="300" w:lineRule="auto"/>
        <w:ind w:left="1134" w:hanging="1134"/>
        <w:jc w:val="left"/>
      </w:pPr>
      <w:r>
        <w:t xml:space="preserve">Bảng 2.2. Ngày nguồn của Seasonal Naive theo phương án dùng lag_7 cho cả kỳ (không khả thi) và theo thiết kế cố định gốc dự báo của nghiên cứu (m = 7, H = 16)</w:t>
      </w:r>
      <w:r>
        <w:tab/>
        <w:t>52</w:t>
      </w:r>
    </w:p>
    <w:p>
      <w:pPr>
        <w:tabs>
          <w:tab w:val="right" w:leader="dot" w:pos="9071"/>
        </w:tabs>
        <w:spacing w:after="40" w:line="300" w:lineRule="auto"/>
        <w:ind w:left="1134" w:hanging="1134"/>
        <w:jc w:val="left"/>
      </w:pPr>
      <w:r>
        <w:t xml:space="preserve">Bảng 2.3. Tổng hợp cơ chế, cấu hình thực tế trong mã nguồn và điểm cần lưu ý khi diễn giải của năm mô hình được so sánh</w:t>
      </w:r>
      <w:r>
        <w:tab/>
        <w:t>64</w:t>
      </w:r>
    </w:p>
    <w:p>
      <w:pPr>
        <w:tabs>
          <w:tab w:val="right" w:leader="dot" w:pos="9071"/>
        </w:tabs>
        <w:spacing w:after="40" w:line="300" w:lineRule="auto"/>
        <w:ind w:left="1134" w:hanging="1134"/>
        <w:jc w:val="left"/>
      </w:pPr>
      <w:r>
        <w:t xml:space="preserve">Bảng 2.4. Đặc điểm và vai trò của năm thước đo sai số dự báo điểm trong luận văn</w:t>
      </w:r>
      <w:r>
        <w:tab/>
        <w:t>69</w:t>
      </w:r>
    </w:p>
    <w:p>
      <w:pPr>
        <w:tabs>
          <w:tab w:val="right" w:leader="dot" w:pos="9071"/>
        </w:tabs>
        <w:spacing w:after="40" w:line="300" w:lineRule="auto"/>
        <w:ind w:left="1134" w:hanging="1134"/>
        <w:jc w:val="left"/>
      </w:pPr>
      <w:r>
        <w:t xml:space="preserve">Bảng 2.5. So sánh ba cách tạo khoảng dự báo P10–P90 quanh mô hình dự báo điểm</w:t>
      </w:r>
      <w:r>
        <w:tab/>
        <w:t>73</w:t>
      </w:r>
    </w:p>
    <w:p>
      <w:pPr>
        <w:tabs>
          <w:tab w:val="right" w:leader="dot" w:pos="9071"/>
        </w:tabs>
        <w:spacing w:after="40" w:line="300" w:lineRule="auto"/>
        <w:ind w:left="1134" w:hanging="1134"/>
        <w:jc w:val="left"/>
      </w:pPr>
      <w:r>
        <w:t xml:space="preserve">Bảng 2.6. So sánh phân tích kịch bản dự báo có điều kiện và ước lượng tác động nhân quả của khuyến mãi</w:t>
      </w:r>
      <w:r>
        <w:tab/>
        <w:t>75</w:t>
      </w:r>
    </w:p>
    <w:p>
      <w:pPr>
        <w:tabs>
          <w:tab w:val="right" w:leader="dot" w:pos="9071"/>
        </w:tabs>
        <w:spacing w:after="40" w:line="300" w:lineRule="auto"/>
        <w:ind w:left="1134" w:hanging="1134"/>
        <w:jc w:val="left"/>
      </w:pPr>
      <w:r>
        <w:t xml:space="preserve">Bảng 2.7. Đối chiếu các đại lượng tồn kho trong mã nguồn với khái niệm lý thuyết</w:t>
      </w:r>
      <w:r>
        <w:tab/>
        <w:t>77</w:t>
      </w:r>
    </w:p>
    <w:p>
      <w:pPr>
        <w:tabs>
          <w:tab w:val="right" w:leader="dot" w:pos="9071"/>
        </w:tabs>
        <w:spacing w:after="40" w:line="300" w:lineRule="auto"/>
        <w:ind w:left="1134" w:hanging="1134"/>
        <w:jc w:val="left"/>
      </w:pPr>
      <w:r>
        <w:t xml:space="preserve">Bảng 2.8. Khái niệm lý thuyết và trạng thái triển khai của lớp hỗ trợ quyết định, RAG, Generative AI và HITL trong lần chạy chính thức</w:t>
      </w:r>
      <w:r>
        <w:tab/>
        <w:t>83</w:t>
      </w:r>
    </w:p>
    <w:p>
      <w:pPr>
        <w:tabs>
          <w:tab w:val="right" w:leader="dot" w:pos="9071"/>
        </w:tabs>
        <w:spacing w:after="40" w:line="300" w:lineRule="auto"/>
        <w:ind w:left="1134" w:hanging="1134"/>
        <w:jc w:val="left"/>
      </w:pPr>
      <w:r>
        <w:t xml:space="preserve">Bảng 2.9. Tổng hợp các dòng nghiên cứu liên quan, đóng góp chính và cách luận văn tiếp nhận</w:t>
      </w:r>
      <w:r>
        <w:tab/>
        <w:t>89</w:t>
      </w:r>
    </w:p>
    <w:p>
      <w:pPr>
        <w:tabs>
          <w:tab w:val="right" w:leader="dot" w:pos="9071"/>
        </w:tabs>
        <w:spacing w:after="40" w:line="300" w:lineRule="auto"/>
        <w:ind w:left="1134" w:hanging="1134"/>
        <w:jc w:val="left"/>
      </w:pPr>
      <w:r>
        <w:t xml:space="preserve">Bảng 2.10. Khung phân tích của luận văn: thành phần, khái niệm lý thuyết, phương pháp triển khai và câu hỏi nghiên cứu</w:t>
      </w:r>
      <w:r>
        <w:tab/>
        <w:t>92</w:t>
      </w:r>
    </w:p>
    <w:p>
      <w:pPr>
        <w:tabs>
          <w:tab w:val="right" w:leader="dot" w:pos="9071"/>
        </w:tabs>
        <w:spacing w:after="40" w:line="300" w:lineRule="auto"/>
        <w:ind w:left="1134" w:hanging="1134"/>
        <w:jc w:val="left"/>
      </w:pPr>
      <w:r>
        <w:t xml:space="preserve">Bảng 2.11. Hiện thực hóa khung phân tích thành các giai đoạn của quy trình thực nghiệm</w:t>
      </w:r>
      <w:r>
        <w:tab/>
        <w:t>94</w:t>
      </w:r>
    </w:p>
    <w:p>
      <w:pPr>
        <w:tabs>
          <w:tab w:val="right" w:leader="dot" w:pos="9071"/>
        </w:tabs>
        <w:spacing w:after="40" w:line="300" w:lineRule="auto"/>
        <w:ind w:left="1134" w:hanging="1134"/>
        <w:jc w:val="left"/>
      </w:pPr>
      <w:r>
        <w:t xml:space="preserve">Bảng 3.1. Mười bốn bước của quy trình thực nghiệm, đầu ra chính, vai trò trong lập luận và thời gian chạy</w:t>
      </w:r>
      <w:r>
        <w:tab/>
        <w:t>100</w:t>
      </w:r>
    </w:p>
    <w:p>
      <w:pPr>
        <w:tabs>
          <w:tab w:val="right" w:leader="dot" w:pos="9071"/>
        </w:tabs>
        <w:spacing w:after="40" w:line="300" w:lineRule="auto"/>
        <w:ind w:left="1134" w:hanging="1134"/>
        <w:jc w:val="left"/>
      </w:pPr>
      <w:r>
        <w:t xml:space="preserve">Bảng 3.2. Kết quả kiểm tra chất lượng dữ liệu của tệp train.csv</w:t>
      </w:r>
      <w:r>
        <w:tab/>
        <w:t>103</w:t>
      </w:r>
    </w:p>
    <w:p>
      <w:pPr>
        <w:tabs>
          <w:tab w:val="right" w:leader="dot" w:pos="9071"/>
        </w:tabs>
        <w:spacing w:after="40" w:line="300" w:lineRule="auto"/>
        <w:ind w:left="1134" w:hanging="1134"/>
        <w:jc w:val="left"/>
      </w:pPr>
      <w:r>
        <w:t xml:space="preserve">Bảng 3.3. Thống kê mô tả doanh số theo trạng thái khuyến mãi (toàn bộ train.csv)</w:t>
      </w:r>
      <w:r>
        <w:tab/>
        <w:t>108</w:t>
      </w:r>
    </w:p>
    <w:p>
      <w:pPr>
        <w:tabs>
          <w:tab w:val="right" w:leader="dot" w:pos="9071"/>
        </w:tabs>
        <w:spacing w:after="40" w:line="300" w:lineRule="auto"/>
        <w:ind w:left="1134" w:hanging="1134"/>
        <w:jc w:val="left"/>
      </w:pPr>
      <w:r>
        <w:t xml:space="preserve">Bảng 3.4. Danh sách 31 đặc trưng theo nhóm và phạm vi sử dụng trong năm mô hình</w:t>
      </w:r>
      <w:r>
        <w:tab/>
        <w:t>113</w:t>
      </w:r>
    </w:p>
    <w:p>
      <w:pPr>
        <w:tabs>
          <w:tab w:val="right" w:leader="dot" w:pos="9071"/>
        </w:tabs>
        <w:spacing w:after="40" w:line="300" w:lineRule="auto"/>
        <w:ind w:left="1134" w:hanging="1134"/>
        <w:jc w:val="left"/>
      </w:pPr>
      <w:r>
        <w:t xml:space="preserve">Bảng 3.5. Bốn nguồn dữ liệu bổ sung, đặc trưng tạo ra và quy tắc bảo đảm tính sẵn có</w:t>
      </w:r>
      <w:r>
        <w:tab/>
        <w:t>115</w:t>
      </w:r>
    </w:p>
    <w:p>
      <w:pPr>
        <w:tabs>
          <w:tab w:val="right" w:leader="dot" w:pos="9071"/>
        </w:tabs>
        <w:spacing w:after="40" w:line="300" w:lineRule="auto"/>
        <w:ind w:left="1134" w:hanging="1134"/>
        <w:jc w:val="left"/>
      </w:pPr>
      <w:r>
        <w:t xml:space="preserve">Bảng 3.6. Cấu hình năm mô hình dự báo, số dòng và thời gian huấn luyện trong lần chạy chính thức</w:t>
      </w:r>
      <w:r>
        <w:tab/>
        <w:t>122</w:t>
      </w:r>
    </w:p>
    <w:p>
      <w:pPr>
        <w:tabs>
          <w:tab w:val="right" w:leader="dot" w:pos="9071"/>
        </w:tabs>
        <w:spacing w:after="40" w:line="300" w:lineRule="auto"/>
        <w:ind w:left="1134" w:hanging="1134"/>
        <w:jc w:val="left"/>
      </w:pPr>
      <w:r>
        <w:t xml:space="preserve">Bảng 3.7. Lịch các cửa sổ đánh giá, hiệu chỉnh và dữ liệu huấn luyện tương ứng trong lần chạy chính thức</w:t>
      </w:r>
      <w:r>
        <w:tab/>
        <w:t>125</w:t>
      </w:r>
    </w:p>
    <w:p>
      <w:pPr>
        <w:tabs>
          <w:tab w:val="right" w:leader="dot" w:pos="9071"/>
        </w:tabs>
        <w:spacing w:after="40" w:line="300" w:lineRule="auto"/>
        <w:ind w:left="1134" w:hanging="1134"/>
        <w:jc w:val="left"/>
      </w:pPr>
      <w:r>
        <w:t xml:space="preserve">Bảng 3.8. Chín nhóm Mondrian của lớp dự báo xác suất: biên dự báo điểm, cỡ nhóm và phân vị phần dư trên cửa sổ hiệu chỉnh 15/07/2017–30/07/2017</w:t>
      </w:r>
      <w:r>
        <w:tab/>
        <w:t>133</w:t>
      </w:r>
    </w:p>
    <w:p>
      <w:pPr>
        <w:tabs>
          <w:tab w:val="right" w:leader="dot" w:pos="9071"/>
        </w:tabs>
        <w:spacing w:after="40" w:line="300" w:lineRule="auto"/>
        <w:ind w:left="1134" w:hanging="1134"/>
        <w:jc w:val="left"/>
      </w:pPr>
      <w:r>
        <w:t xml:space="preserve">Bảng 3.9. Năm mức kịch bản onpromotion của Stage 06</w:t>
      </w:r>
      <w:r>
        <w:tab/>
        <w:t>136</w:t>
      </w:r>
    </w:p>
    <w:p>
      <w:pPr>
        <w:tabs>
          <w:tab w:val="right" w:leader="dot" w:pos="9071"/>
        </w:tabs>
        <w:spacing w:after="40" w:line="300" w:lineRule="auto"/>
        <w:ind w:left="1134" w:hanging="1134"/>
        <w:jc w:val="left"/>
      </w:pPr>
      <w:r>
        <w:t xml:space="preserve">Bảng 3.10. Các đại lượng của lớp hỗ trợ quyết định tồn kho, công thức và cột tương ứng trong inventory_recommendations.csv</w:t>
      </w:r>
      <w:r>
        <w:tab/>
        <w:t>139</w:t>
      </w:r>
    </w:p>
    <w:p>
      <w:pPr>
        <w:tabs>
          <w:tab w:val="right" w:leader="dot" w:pos="9071"/>
        </w:tabs>
        <w:spacing w:after="40" w:line="300" w:lineRule="auto"/>
        <w:ind w:left="1134" w:hanging="1134"/>
        <w:jc w:val="left"/>
      </w:pPr>
      <w:r>
        <w:t xml:space="preserve">Bảng 3.11. Mã lý do và điểm ưu tiên của hàng đợi quyết định (Stage 08)</w:t>
      </w:r>
      <w:r>
        <w:tab/>
        <w:t>142</w:t>
      </w:r>
    </w:p>
    <w:p>
      <w:pPr>
        <w:tabs>
          <w:tab w:val="right" w:leader="dot" w:pos="9071"/>
        </w:tabs>
        <w:spacing w:after="40" w:line="300" w:lineRule="auto"/>
        <w:ind w:left="1134" w:hanging="1134"/>
        <w:jc w:val="left"/>
      </w:pPr>
      <w:r>
        <w:t xml:space="preserve">Bảng 3.12. Cấu trúc chuẩn của phiếu khuyến nghị (decision_briefs/*.md và trang 07 của dashboard)</w:t>
      </w:r>
      <w:r>
        <w:tab/>
        <w:t>143</w:t>
      </w:r>
    </w:p>
    <w:p>
      <w:pPr>
        <w:tabs>
          <w:tab w:val="right" w:leader="dot" w:pos="9071"/>
        </w:tabs>
        <w:spacing w:after="40" w:line="300" w:lineRule="auto"/>
        <w:ind w:left="1134" w:hanging="1134"/>
        <w:jc w:val="left"/>
      </w:pPr>
      <w:r>
        <w:t xml:space="preserve">Bảng 3.13. Các thành phần của lớp Generative AI, RAG, HITL và xuất báo cáo: cách thực hiện và trạng thái</w:t>
      </w:r>
      <w:r>
        <w:tab/>
        <w:t>145</w:t>
      </w:r>
    </w:p>
    <w:p>
      <w:pPr>
        <w:tabs>
          <w:tab w:val="right" w:leader="dot" w:pos="9071"/>
        </w:tabs>
        <w:spacing w:after="40" w:line="300" w:lineRule="auto"/>
        <w:ind w:left="1134" w:hanging="1134"/>
        <w:jc w:val="left"/>
      </w:pPr>
      <w:r>
        <w:t xml:space="preserve">Bảng 3.14. Mười một trang của dashboard Streamlit và liên hệ với các mục phương pháp</w:t>
      </w:r>
      <w:r>
        <w:tab/>
        <w:t>147</w:t>
      </w:r>
    </w:p>
    <w:p>
      <w:pPr>
        <w:tabs>
          <w:tab w:val="right" w:leader="dot" w:pos="9071"/>
        </w:tabs>
        <w:spacing w:after="40" w:line="300" w:lineRule="auto"/>
        <w:ind w:left="1134" w:hanging="1134"/>
        <w:jc w:val="left"/>
      </w:pPr>
      <w:r>
        <w:t xml:space="preserve">Bảng 3.15. Thứ tự 14 stage của quy trình, đầu ra chính và thời gian chạy trong lần chạy chính thức</w:t>
      </w:r>
      <w:r>
        <w:tab/>
        <w:t>149</w:t>
      </w:r>
    </w:p>
    <w:p>
      <w:pPr>
        <w:tabs>
          <w:tab w:val="right" w:leader="dot" w:pos="9071"/>
        </w:tabs>
        <w:spacing w:after="40" w:line="300" w:lineRule="auto"/>
        <w:ind w:left="1134" w:hanging="1134"/>
        <w:jc w:val="left"/>
      </w:pPr>
      <w:r>
        <w:t xml:space="preserve">Bảng 3.16. Các kiểm thử của quy trình và kết quả trên đầu ra của lần chạy chính thức</w:t>
      </w:r>
      <w:r>
        <w:tab/>
        <w:t>152</w:t>
      </w:r>
    </w:p>
    <w:p>
      <w:pPr>
        <w:tabs>
          <w:tab w:val="right" w:leader="dot" w:pos="9071"/>
        </w:tabs>
        <w:spacing w:after="40" w:line="300" w:lineRule="auto"/>
        <w:ind w:left="1134" w:hanging="1134"/>
        <w:jc w:val="left"/>
      </w:pPr>
      <w:r>
        <w:t xml:space="preserve">Bảng 4.1. Năm tầng bằng chứng trong phân tích kết quả của Chương 4</w:t>
      </w:r>
      <w:r>
        <w:tab/>
        <w:t>156</w:t>
      </w:r>
    </w:p>
    <w:p>
      <w:pPr>
        <w:tabs>
          <w:tab w:val="right" w:leader="dot" w:pos="9071"/>
        </w:tabs>
        <w:spacing w:after="40" w:line="300" w:lineRule="auto"/>
        <w:ind w:left="1134" w:hanging="1134"/>
        <w:jc w:val="left"/>
      </w:pPr>
      <w:r>
        <w:t xml:space="preserve">Bảng 4.2. Kết quả tổng hợp của năm mô hình qua ba lần kiểm định chéo cuốn chiếu theo thời gian</w:t>
      </w:r>
      <w:r>
        <w:tab/>
        <w:t>159</w:t>
      </w:r>
    </w:p>
    <w:p>
      <w:pPr>
        <w:tabs>
          <w:tab w:val="right" w:leader="dot" w:pos="9071"/>
        </w:tabs>
        <w:spacing w:after="40" w:line="300" w:lineRule="auto"/>
        <w:ind w:left="1134" w:hanging="1134"/>
        <w:jc w:val="left"/>
      </w:pPr>
      <w:r>
        <w:t xml:space="preserve">Bảng 4.3. WAPE và RMSE của năm mô hình theo từng lần kiểm định chéo cuốn chiếu</w:t>
      </w:r>
      <w:r>
        <w:tab/>
        <w:t>164</w:t>
      </w:r>
    </w:p>
    <w:p>
      <w:pPr>
        <w:tabs>
          <w:tab w:val="right" w:leader="dot" w:pos="9071"/>
        </w:tabs>
        <w:spacing w:after="40" w:line="300" w:lineRule="auto"/>
        <w:ind w:left="1134" w:hanging="1134"/>
        <w:jc w:val="left"/>
      </w:pPr>
      <w:r>
        <w:t xml:space="preserve">Bảng 4.4. Kết quả của năm mô hình trên tập kiểm tra cuối 16 ngày (31/07/2017–15/08/2017)</w:t>
      </w:r>
      <w:r>
        <w:tab/>
        <w:t>168</w:t>
      </w:r>
    </w:p>
    <w:p>
      <w:pPr>
        <w:tabs>
          <w:tab w:val="right" w:leader="dot" w:pos="9071"/>
        </w:tabs>
        <w:spacing w:after="40" w:line="300" w:lineRule="auto"/>
        <w:ind w:left="1134" w:hanging="1134"/>
        <w:jc w:val="left"/>
      </w:pPr>
      <w:r>
        <w:t xml:space="preserve">Bảng 4.5. So sánh WAPE giữa kiểm định chéo cuốn chiếu và tập kiểm tra cuối</w:t>
      </w:r>
      <w:r>
        <w:tab/>
        <w:t>169</w:t>
      </w:r>
    </w:p>
    <w:p>
      <w:pPr>
        <w:tabs>
          <w:tab w:val="right" w:leader="dot" w:pos="9071"/>
        </w:tabs>
        <w:spacing w:after="40" w:line="300" w:lineRule="auto"/>
        <w:ind w:left="1134" w:hanging="1134"/>
        <w:jc w:val="left"/>
      </w:pPr>
      <w:r>
        <w:t xml:space="preserve">Bảng 4.6. Tổng doanh số thực tế, dự báo điểm XGBoost và tổng P10/P90 theo ngày trên tập kiểm tra cuối 16 ngày</w:t>
      </w:r>
      <w:r>
        <w:tab/>
        <w:t>176</w:t>
      </w:r>
    </w:p>
    <w:p>
      <w:pPr>
        <w:tabs>
          <w:tab w:val="right" w:leader="dot" w:pos="9071"/>
        </w:tabs>
        <w:spacing w:after="40" w:line="300" w:lineRule="auto"/>
        <w:ind w:left="1134" w:hanging="1134"/>
        <w:jc w:val="left"/>
      </w:pPr>
      <w:r>
        <w:t xml:space="preserve">Bảng 4.7. Sai số dự báo điểm và chỉ số khoảng dự báo theo bốn mức nhu cầu (tứ phân vị doanh số thực tế) trên tập kiểm tra cuối</w:t>
      </w:r>
      <w:r>
        <w:tab/>
        <w:t>183</w:t>
      </w:r>
    </w:p>
    <w:p>
      <w:pPr>
        <w:tabs>
          <w:tab w:val="right" w:leader="dot" w:pos="9071"/>
        </w:tabs>
        <w:spacing w:after="40" w:line="300" w:lineRule="auto"/>
        <w:ind w:left="1134" w:hanging="1134"/>
        <w:jc w:val="left"/>
      </w:pPr>
      <w:r>
        <w:t xml:space="preserve">Bảng 4.8. Năm cửa hàng có WAPE thấp nhất và năm cửa hàng có WAPE cao nhất trên tập kiểm tra cuối</w:t>
      </w:r>
      <w:r>
        <w:tab/>
        <w:t>186</w:t>
      </w:r>
    </w:p>
    <w:p>
      <w:pPr>
        <w:tabs>
          <w:tab w:val="right" w:leader="dot" w:pos="9071"/>
        </w:tabs>
        <w:spacing w:after="40" w:line="300" w:lineRule="auto"/>
        <w:ind w:left="1134" w:hanging="1134"/>
        <w:jc w:val="left"/>
      </w:pPr>
      <w:r>
        <w:t xml:space="preserve">Bảng 4.9. Sai số dự báo điểm và chỉ số khoảng dự báo theo 33 nhóm sản phẩm trên tập kiểm tra cuối (sắp theo tổng thực tế giảm dần)</w:t>
      </w:r>
      <w:r>
        <w:tab/>
        <w:t>188</w:t>
      </w:r>
    </w:p>
    <w:p>
      <w:pPr>
        <w:tabs>
          <w:tab w:val="right" w:leader="dot" w:pos="9071"/>
        </w:tabs>
        <w:spacing w:after="40" w:line="300" w:lineRule="auto"/>
        <w:ind w:left="1134" w:hanging="1134"/>
        <w:jc w:val="left"/>
      </w:pPr>
      <w:r>
        <w:t xml:space="preserve">Bảng 4.10. Mức độ quan trọng của 29 đặc trưng: tỷ trọng gain của XGBoost (mô hình được chọn) và số lần tách của LightGBM (mô hình đối chứng)</w:t>
      </w:r>
      <w:r>
        <w:tab/>
        <w:t>193</w:t>
      </w:r>
    </w:p>
    <w:p>
      <w:pPr>
        <w:tabs>
          <w:tab w:val="right" w:leader="dot" w:pos="9071"/>
        </w:tabs>
        <w:spacing w:after="40" w:line="300" w:lineRule="auto"/>
        <w:ind w:left="1134" w:hanging="1134"/>
        <w:jc w:val="left"/>
      </w:pPr>
      <w:r>
        <w:t xml:space="preserve">Bảng 4.11. Các nhóm Mondrian theo dự báo điểm trên cửa sổ hiệu chỉnh: phân vị phần dư, độ rộng và độ bao phủ trên tập kiểm tra cuối</w:t>
      </w:r>
      <w:r>
        <w:tab/>
        <w:t>198</w:t>
      </w:r>
    </w:p>
    <w:p>
      <w:pPr>
        <w:tabs>
          <w:tab w:val="right" w:leader="dot" w:pos="9071"/>
        </w:tabs>
        <w:spacing w:after="40" w:line="300" w:lineRule="auto"/>
        <w:ind w:left="1134" w:hanging="1134"/>
        <w:jc w:val="left"/>
      </w:pPr>
      <w:r>
        <w:t xml:space="preserve">Bảng 4.12. Các chỉ số đánh giá dự báo xác suất P10/P50/P90 của XGBoost trên tập kiểm tra cuối 16 ngày</w:t>
      </w:r>
      <w:r>
        <w:tab/>
        <w:t>200</w:t>
      </w:r>
    </w:p>
    <w:p>
      <w:pPr>
        <w:tabs>
          <w:tab w:val="right" w:leader="dot" w:pos="9071"/>
        </w:tabs>
        <w:spacing w:after="40" w:line="300" w:lineRule="auto"/>
        <w:ind w:left="1134" w:hanging="1134"/>
        <w:jc w:val="left"/>
      </w:pPr>
      <w:r>
        <w:t xml:space="preserve">Bảng 4.13. Kết quả tổng hợp của năm kịch bản khuyến mãi trên kỳ dự báo 16 ngày (giá trị trung bình theo chuỗi Store × Family và tổng hệ thống)</w:t>
      </w:r>
      <w:r>
        <w:tab/>
        <w:t>208</w:t>
      </w:r>
    </w:p>
    <w:p>
      <w:pPr>
        <w:tabs>
          <w:tab w:val="right" w:leader="dot" w:pos="9071"/>
        </w:tabs>
        <w:spacing w:after="40" w:line="300" w:lineRule="auto"/>
        <w:ind w:left="1134" w:hanging="1134"/>
        <w:jc w:val="left"/>
      </w:pPr>
      <w:r>
        <w:t xml:space="preserve">Bảng 4.14. Mười chuỗi Store × Family có độ nhạy tuyệt đối lớn nhất của P50 (tổng 16 ngày) khi chuyển từ kịch bản Current sang High</w:t>
      </w:r>
      <w:r>
        <w:tab/>
        <w:t>210</w:t>
      </w:r>
    </w:p>
    <w:p>
      <w:pPr>
        <w:tabs>
          <w:tab w:val="right" w:leader="dot" w:pos="9071"/>
        </w:tabs>
        <w:spacing w:after="40" w:line="300" w:lineRule="auto"/>
        <w:ind w:left="1134" w:hanging="1134"/>
        <w:jc w:val="left"/>
      </w:pPr>
      <w:r>
        <w:t xml:space="preserve">Bảng 4.15. Giả định của lớp tồn kho và các đại lượng tổng hệ thống trên 1.782 chuỗi (kỳ 16 ngày)</w:t>
      </w:r>
      <w:r>
        <w:tab/>
        <w:t>213</w:t>
      </w:r>
    </w:p>
    <w:p>
      <w:pPr>
        <w:tabs>
          <w:tab w:val="right" w:leader="dot" w:pos="9071"/>
        </w:tabs>
        <w:spacing w:after="40" w:line="300" w:lineRule="auto"/>
        <w:ind w:left="1134" w:hanging="1134"/>
        <w:jc w:val="left"/>
      </w:pPr>
      <w:r>
        <w:t xml:space="preserve">Bảng 4.16. Phân bố nhãn rủi ro tồn kho, ngưỡng r, miền P50 tương ứng, tỷ trọng quy mô và độ bao phủ theo nhãn</w:t>
      </w:r>
      <w:r>
        <w:tab/>
        <w:t>214</w:t>
      </w:r>
    </w:p>
    <w:p>
      <w:pPr>
        <w:tabs>
          <w:tab w:val="right" w:leader="dot" w:pos="9071"/>
        </w:tabs>
        <w:spacing w:after="40" w:line="300" w:lineRule="auto"/>
        <w:ind w:left="1134" w:hanging="1134"/>
        <w:jc w:val="left"/>
      </w:pPr>
      <w:r>
        <w:t xml:space="preserve">Bảng 4.17. Phân bố nhãn rủi ro tồn kho theo nhóm sản phẩm (số cửa hàng HIGH/MEDIUM/LOW trên 54), kèm tổng thực tế 16 ngày và độ bao phủ P10–P90 của nhóm</w:t>
      </w:r>
      <w:r>
        <w:tab/>
        <w:t>216</w:t>
      </w:r>
    </w:p>
    <w:p>
      <w:pPr>
        <w:tabs>
          <w:tab w:val="right" w:leader="dot" w:pos="9071"/>
        </w:tabs>
        <w:spacing w:after="40" w:line="300" w:lineRule="auto"/>
        <w:ind w:left="1134" w:hanging="1134"/>
        <w:jc w:val="left"/>
      </w:pPr>
      <w:r>
        <w:t xml:space="preserve">Bảng 4.18. Trạng thái chạy của Stage 08 và phân bố mã lý do, hành động, mức tin cậy, khuyến nghị khuyến mãi trên 1.782 phiếu</w:t>
      </w:r>
      <w:r>
        <w:tab/>
        <w:t>220</w:t>
      </w:r>
    </w:p>
    <w:p>
      <w:pPr>
        <w:tabs>
          <w:tab w:val="right" w:leader="dot" w:pos="9071"/>
        </w:tabs>
        <w:spacing w:after="40" w:line="300" w:lineRule="auto"/>
        <w:ind w:left="1134" w:hanging="1134"/>
        <w:jc w:val="left"/>
      </w:pPr>
      <w:r>
        <w:t xml:space="preserve">Bảng 4.19. Mười phiếu khuyến nghị đầu hàng đợi ưu tiên của Stage 08</w:t>
      </w:r>
      <w:r>
        <w:tab/>
        <w:t>221</w:t>
      </w:r>
    </w:p>
    <w:p>
      <w:pPr>
        <w:tabs>
          <w:tab w:val="right" w:leader="dot" w:pos="9071"/>
        </w:tabs>
        <w:spacing w:after="40" w:line="300" w:lineRule="auto"/>
        <w:ind w:left="1134" w:hanging="1134"/>
        <w:jc w:val="left"/>
      </w:pPr>
      <w:r>
        <w:t xml:space="preserve">Bảng 4.20. Chỉ số dự báo, độ bao phủ, đại lượng tồn kho và vị trí trong hàng đợi quyết định của bốn trường hợp đại diện trên tập kiểm tra cuối 16 ngày</w:t>
      </w:r>
      <w:r>
        <w:tab/>
        <w:t>225</w:t>
      </w:r>
    </w:p>
    <w:p>
      <w:pPr>
        <w:tabs>
          <w:tab w:val="right" w:leader="dot" w:pos="9071"/>
        </w:tabs>
        <w:spacing w:after="40" w:line="300" w:lineRule="auto"/>
        <w:ind w:left="1134" w:hanging="1134"/>
        <w:jc w:val="left"/>
      </w:pPr>
      <w:r>
        <w:t xml:space="preserve">Bảng 4.21. Đối chiếu năm câu hỏi nghiên cứu với bằng chứng, kết quả chính và giới hạn diễn giải trong Chương 4</w:t>
      </w:r>
      <w:r>
        <w:tab/>
        <w:t>232</w:t>
      </w:r>
    </w:p>
    <w:p>
      <w:pPr>
        <w:tabs>
          <w:tab w:val="right" w:leader="dot" w:pos="9071"/>
        </w:tabs>
        <w:spacing w:after="40" w:line="300" w:lineRule="auto"/>
        <w:ind w:left="1134" w:hanging="1134"/>
        <w:jc w:val="left"/>
      </w:pPr>
      <w:r>
        <w:t xml:space="preserve">Bảng 4.22. Thí nghiệm độ nhạy: WAPE theo từng lần kiểm định, WAPE và RMSE trung bình, quy mô dữ liệu và thời gian huấn luyện của cấu hình chính thức và cấu hình thay đổi một yếu tố</w:t>
      </w:r>
      <w:r>
        <w:tab/>
        <w:t>235</w:t>
      </w:r>
    </w:p>
    <w:p>
      <w:pPr>
        <w:tabs>
          <w:tab w:val="right" w:leader="dot" w:pos="9071"/>
        </w:tabs>
        <w:spacing w:after="40" w:line="300" w:lineRule="auto"/>
        <w:ind w:left="1134" w:hanging="1134"/>
        <w:jc w:val="left"/>
      </w:pPr>
      <w:r>
        <w:t xml:space="preserve">Bảng 4.23. Chênh lệch WAPE giữa cấu hình thay đổi một yếu tố và cấu hình chính thức theo từng lần kiểm định (điểm phần trăm)</w:t>
      </w:r>
      <w:r>
        <w:tab/>
        <w:t>236</w:t>
      </w:r>
    </w:p>
    <w:p>
      <w:pPr>
        <w:tabs>
          <w:tab w:val="right" w:leader="dot" w:pos="9071"/>
        </w:tabs>
        <w:spacing w:after="40" w:line="300" w:lineRule="auto"/>
        <w:ind w:left="1134" w:hanging="1134"/>
        <w:jc w:val="left"/>
      </w:pPr>
      <w:r>
        <w:t xml:space="preserve">Bảng 5.1. So sánh XGBoost và LightGBM trong lần chạy chính thức theo độ chính xác và điều kiện huấn luyện</w:t>
      </w:r>
      <w:r>
        <w:tab/>
        <w:t>244</w:t>
      </w:r>
    </w:p>
    <w:p>
      <w:pPr>
        <w:tabs>
          <w:tab w:val="right" w:leader="dot" w:pos="9071"/>
        </w:tabs>
        <w:spacing w:after="40" w:line="300" w:lineRule="auto"/>
        <w:ind w:left="1134" w:hanging="1134"/>
        <w:jc w:val="left"/>
      </w:pPr>
      <w:r>
        <w:t xml:space="preserve">Bảng 5.2. Độ bao phủ, tỷ lệ nằm ngoài khoảng và độ rộng khoảng P10–P90 theo mức nhu cầu trên tập kiểm tra cuối</w:t>
      </w:r>
      <w:r>
        <w:tab/>
        <w:t>248</w:t>
      </w:r>
    </w:p>
    <w:p>
      <w:pPr>
        <w:tabs>
          <w:tab w:val="right" w:leader="dot" w:pos="9071"/>
        </w:tabs>
        <w:spacing w:after="40" w:line="300" w:lineRule="auto"/>
        <w:ind w:left="1134" w:hanging="1134"/>
        <w:jc w:val="left"/>
      </w:pPr>
      <w:r>
        <w:t xml:space="preserve">Bảng 5.3. Đọc lại ba nhãn rủi ro tồn kho theo vùng quy mô, tỷ trọng, độ bao phủ và hành động đề xuất</w:t>
      </w:r>
      <w:r>
        <w:tab/>
        <w:t>251</w:t>
      </w:r>
    </w:p>
    <w:p>
      <w:pPr>
        <w:tabs>
          <w:tab w:val="right" w:leader="dot" w:pos="9071"/>
        </w:tabs>
        <w:spacing w:after="40" w:line="300" w:lineRule="auto"/>
        <w:ind w:left="1134" w:hanging="1134"/>
        <w:jc w:val="left"/>
      </w:pPr>
      <w:r>
        <w:t xml:space="preserve">Bảng 5.4. Các hạn chế của nghiên cứu: bằng chứng, ảnh hưởng tới kết luận và hướng khắc phục</w:t>
      </w:r>
      <w:r>
        <w:tab/>
        <w:t>261</w:t>
      </w:r>
    </w:p>
    <w:p>
      <w:pPr>
        <w:tabs>
          <w:tab w:val="right" w:leader="dot" w:pos="9071"/>
        </w:tabs>
        <w:spacing w:after="40" w:line="300" w:lineRule="auto"/>
        <w:ind w:left="1134" w:hanging="1134"/>
        <w:jc w:val="left"/>
      </w:pPr>
      <w:r>
        <w:t xml:space="preserve">Bảng 6.1. Tổng hợp câu trả lời cho năm câu hỏi nghiên cứu theo lần chạy chính thức, bằng chứng chính và ranh giới kết luận</w:t>
      </w:r>
      <w:r>
        <w:tab/>
        <w:t>271</w:t>
      </w:r>
    </w:p>
    <w:p>
      <w:pPr>
        <w:tabs>
          <w:tab w:val="right" w:leader="dot" w:pos="9071"/>
        </w:tabs>
        <w:spacing w:after="40" w:line="300" w:lineRule="auto"/>
        <w:ind w:left="1134" w:hanging="1134"/>
        <w:jc w:val="left"/>
      </w:pPr>
      <w:r>
        <w:t xml:space="preserve">Bảng 6.2. Các giới hạn của thiết kế trong lần chạy chính thức và hướng hoàn thiện đề xuất</w:t>
      </w:r>
      <w:r>
        <w:tab/>
        <w:t>274</w:t>
      </w:r>
    </w:p>
    <w:p>
      <w:pPr>
        <w:tabs>
          <w:tab w:val="right" w:leader="dot" w:pos="9071"/>
        </w:tabs>
        <w:spacing w:after="40" w:line="300" w:lineRule="auto"/>
        <w:ind w:left="1134" w:hanging="1134"/>
        <w:jc w:val="left"/>
      </w:pPr>
      <w:r>
        <w:t xml:space="preserve">Bảng A.1. Sai số dự báo và độ bao phủ P10–P90 theo cửa hàng trên tập kiểm tra cuối 16 ngày</w:t>
      </w:r>
      <w:r>
        <w:tab/>
        <w:t>284</w:t>
      </w:r>
    </w:p>
    <w:p>
      <w:pPr>
        <w:tabs>
          <w:tab w:val="right" w:leader="dot" w:pos="9071"/>
        </w:tabs>
        <w:spacing w:after="40" w:line="300" w:lineRule="auto"/>
        <w:ind w:left="1134" w:hanging="1134"/>
        <w:jc w:val="left"/>
      </w:pPr>
      <w:r>
        <w:t xml:space="preserve">Bảng A.2. Tổng P10, P50, P90 (16 ngày), lượng bổ sung gợi ý và số nhóm theo nhãn rủi ro của từng cửa hàng</w:t>
      </w:r>
      <w:r>
        <w:tab/>
        <w:t>286</w:t>
      </w:r>
    </w:p>
    <w:p>
      <w:pPr>
        <w:tabs>
          <w:tab w:val="right" w:leader="dot" w:pos="9071"/>
        </w:tabs>
        <w:spacing w:after="40" w:line="300" w:lineRule="auto"/>
        <w:ind w:left="1134" w:hanging="1134"/>
        <w:jc w:val="left"/>
      </w:pPr>
      <w:r>
        <w:t xml:space="preserve">Bảng A.3. Mười nhóm sản phẩm có doanh số thực tế lớn nhất của cửa hàng 1 trên tập kiểm tra cuối</w:t>
      </w:r>
      <w:r>
        <w:tab/>
        <w:t>287</w:t>
      </w:r>
    </w:p>
    <w:p>
      <w:pPr>
        <w:tabs>
          <w:tab w:val="right" w:leader="dot" w:pos="9071"/>
        </w:tabs>
        <w:spacing w:after="40" w:line="300" w:lineRule="auto"/>
        <w:ind w:left="1134" w:hanging="1134"/>
        <w:jc w:val="left"/>
      </w:pPr>
      <w:r>
        <w:t xml:space="preserve">Bảng A.4. Mười nhóm sản phẩm có doanh số thực tế lớn nhất của cửa hàng 2 trên tập kiểm tra cuối</w:t>
      </w:r>
      <w:r>
        <w:tab/>
        <w:t>288</w:t>
      </w:r>
    </w:p>
    <w:p>
      <w:pPr>
        <w:tabs>
          <w:tab w:val="right" w:leader="dot" w:pos="9071"/>
        </w:tabs>
        <w:spacing w:after="40" w:line="300" w:lineRule="auto"/>
        <w:ind w:left="1134" w:hanging="1134"/>
        <w:jc w:val="left"/>
      </w:pPr>
      <w:r>
        <w:t xml:space="preserve">Bảng A.5. Mười nhóm sản phẩm có doanh số thực tế lớn nhất của cửa hàng 3 trên tập kiểm tra cuối</w:t>
      </w:r>
      <w:r>
        <w:tab/>
        <w:t>289</w:t>
      </w:r>
    </w:p>
    <w:p>
      <w:pPr>
        <w:tabs>
          <w:tab w:val="right" w:leader="dot" w:pos="9071"/>
        </w:tabs>
        <w:spacing w:after="40" w:line="300" w:lineRule="auto"/>
        <w:ind w:left="1134" w:hanging="1134"/>
        <w:jc w:val="left"/>
      </w:pPr>
      <w:r>
        <w:t xml:space="preserve">Bảng A.6. Mười nhóm sản phẩm có doanh số thực tế lớn nhất của cửa hàng 4 trên tập kiểm tra cuối</w:t>
      </w:r>
      <w:r>
        <w:tab/>
        <w:t>290</w:t>
      </w:r>
    </w:p>
    <w:p>
      <w:pPr>
        <w:tabs>
          <w:tab w:val="right" w:leader="dot" w:pos="9071"/>
        </w:tabs>
        <w:spacing w:after="40" w:line="300" w:lineRule="auto"/>
        <w:ind w:left="1134" w:hanging="1134"/>
        <w:jc w:val="left"/>
      </w:pPr>
      <w:r>
        <w:t xml:space="preserve">Bảng A.7. Mười nhóm sản phẩm có doanh số thực tế lớn nhất của cửa hàng 5 trên tập kiểm tra cuối</w:t>
      </w:r>
      <w:r>
        <w:tab/>
        <w:t>291</w:t>
      </w:r>
    </w:p>
    <w:p>
      <w:pPr>
        <w:tabs>
          <w:tab w:val="right" w:leader="dot" w:pos="9071"/>
        </w:tabs>
        <w:spacing w:after="40" w:line="300" w:lineRule="auto"/>
        <w:ind w:left="1134" w:hanging="1134"/>
        <w:jc w:val="left"/>
      </w:pPr>
      <w:r>
        <w:t xml:space="preserve">Bảng A.8. Mười nhóm sản phẩm có doanh số thực tế lớn nhất của cửa hàng 6 trên tập kiểm tra cuối</w:t>
      </w:r>
      <w:r>
        <w:tab/>
        <w:t>292</w:t>
      </w:r>
    </w:p>
    <w:p>
      <w:pPr>
        <w:tabs>
          <w:tab w:val="right" w:leader="dot" w:pos="9071"/>
        </w:tabs>
        <w:spacing w:after="40" w:line="300" w:lineRule="auto"/>
        <w:ind w:left="1134" w:hanging="1134"/>
        <w:jc w:val="left"/>
      </w:pPr>
      <w:r>
        <w:t xml:space="preserve">Bảng A.9. Mười nhóm sản phẩm có doanh số thực tế lớn nhất của cửa hàng 7 trên tập kiểm tra cuối</w:t>
      </w:r>
      <w:r>
        <w:tab/>
        <w:t>293</w:t>
      </w:r>
    </w:p>
    <w:p>
      <w:pPr>
        <w:tabs>
          <w:tab w:val="right" w:leader="dot" w:pos="9071"/>
        </w:tabs>
        <w:spacing w:after="40" w:line="300" w:lineRule="auto"/>
        <w:ind w:left="1134" w:hanging="1134"/>
        <w:jc w:val="left"/>
      </w:pPr>
      <w:r>
        <w:t xml:space="preserve">Bảng A.10. Mười nhóm sản phẩm có doanh số thực tế lớn nhất của cửa hàng 8 trên tập kiểm tra cuối</w:t>
      </w:r>
      <w:r>
        <w:tab/>
        <w:t>293</w:t>
      </w:r>
    </w:p>
    <w:p>
      <w:pPr>
        <w:tabs>
          <w:tab w:val="right" w:leader="dot" w:pos="9071"/>
        </w:tabs>
        <w:spacing w:after="40" w:line="300" w:lineRule="auto"/>
        <w:ind w:left="1134" w:hanging="1134"/>
        <w:jc w:val="left"/>
      </w:pPr>
      <w:r>
        <w:t xml:space="preserve">Bảng A.11. Mười nhóm sản phẩm có doanh số thực tế lớn nhất của cửa hàng 9 trên tập kiểm tra cuối</w:t>
      </w:r>
      <w:r>
        <w:tab/>
        <w:t>294</w:t>
      </w:r>
    </w:p>
    <w:p>
      <w:pPr>
        <w:tabs>
          <w:tab w:val="right" w:leader="dot" w:pos="9071"/>
        </w:tabs>
        <w:spacing w:after="40" w:line="300" w:lineRule="auto"/>
        <w:ind w:left="1134" w:hanging="1134"/>
        <w:jc w:val="left"/>
      </w:pPr>
      <w:r>
        <w:t xml:space="preserve">Bảng A.12. Mười nhóm sản phẩm có doanh số thực tế lớn nhất của cửa hàng 10 trên tập kiểm tra cuối</w:t>
      </w:r>
      <w:r>
        <w:tab/>
        <w:t>295</w:t>
      </w:r>
    </w:p>
    <w:p>
      <w:pPr>
        <w:tabs>
          <w:tab w:val="right" w:leader="dot" w:pos="9071"/>
        </w:tabs>
        <w:spacing w:after="40" w:line="300" w:lineRule="auto"/>
        <w:ind w:left="1134" w:hanging="1134"/>
        <w:jc w:val="left"/>
      </w:pPr>
      <w:r>
        <w:t xml:space="preserve">Bảng A.13. Mười nhóm sản phẩm có doanh số thực tế lớn nhất của cửa hàng 11 trên tập kiểm tra cuối</w:t>
      </w:r>
      <w:r>
        <w:tab/>
        <w:t>296</w:t>
      </w:r>
    </w:p>
    <w:p>
      <w:pPr>
        <w:tabs>
          <w:tab w:val="right" w:leader="dot" w:pos="9071"/>
        </w:tabs>
        <w:spacing w:after="40" w:line="300" w:lineRule="auto"/>
        <w:ind w:left="1134" w:hanging="1134"/>
        <w:jc w:val="left"/>
      </w:pPr>
      <w:r>
        <w:t xml:space="preserve">Bảng A.14. Mười nhóm sản phẩm có doanh số thực tế lớn nhất của cửa hàng 12 trên tập kiểm tra cuối</w:t>
      </w:r>
      <w:r>
        <w:tab/>
        <w:t>297</w:t>
      </w:r>
    </w:p>
    <w:p>
      <w:pPr>
        <w:tabs>
          <w:tab w:val="right" w:leader="dot" w:pos="9071"/>
        </w:tabs>
        <w:spacing w:after="40" w:line="300" w:lineRule="auto"/>
        <w:ind w:left="1134" w:hanging="1134"/>
        <w:jc w:val="left"/>
      </w:pPr>
      <w:r>
        <w:t xml:space="preserve">Bảng A.15. Mười nhóm sản phẩm có doanh số thực tế lớn nhất của cửa hàng 13 trên tập kiểm tra cuối</w:t>
      </w:r>
      <w:r>
        <w:tab/>
        <w:t>298</w:t>
      </w:r>
    </w:p>
    <w:p>
      <w:pPr>
        <w:tabs>
          <w:tab w:val="right" w:leader="dot" w:pos="9071"/>
        </w:tabs>
        <w:spacing w:after="40" w:line="300" w:lineRule="auto"/>
        <w:ind w:left="1134" w:hanging="1134"/>
        <w:jc w:val="left"/>
      </w:pPr>
      <w:r>
        <w:t xml:space="preserve">Bảng A.16. Mười nhóm sản phẩm có doanh số thực tế lớn nhất của cửa hàng 14 trên tập kiểm tra cuối</w:t>
      </w:r>
      <w:r>
        <w:tab/>
        <w:t>299</w:t>
      </w:r>
    </w:p>
    <w:p>
      <w:pPr>
        <w:tabs>
          <w:tab w:val="right" w:leader="dot" w:pos="9071"/>
        </w:tabs>
        <w:spacing w:after="40" w:line="300" w:lineRule="auto"/>
        <w:ind w:left="1134" w:hanging="1134"/>
        <w:jc w:val="left"/>
      </w:pPr>
      <w:r>
        <w:t xml:space="preserve">Bảng A.17. Mười nhóm sản phẩm có doanh số thực tế lớn nhất của cửa hàng 15 trên tập kiểm tra cuối</w:t>
      </w:r>
      <w:r>
        <w:tab/>
        <w:t>300</w:t>
      </w:r>
    </w:p>
    <w:p>
      <w:pPr>
        <w:tabs>
          <w:tab w:val="right" w:leader="dot" w:pos="9071"/>
        </w:tabs>
        <w:spacing w:after="40" w:line="300" w:lineRule="auto"/>
        <w:ind w:left="1134" w:hanging="1134"/>
        <w:jc w:val="left"/>
      </w:pPr>
      <w:r>
        <w:t xml:space="preserve">Bảng A.18. Mười nhóm sản phẩm có doanh số thực tế lớn nhất của cửa hàng 16 trên tập kiểm tra cuối</w:t>
      </w:r>
      <w:r>
        <w:tab/>
        <w:t>301</w:t>
      </w:r>
    </w:p>
    <w:p>
      <w:pPr>
        <w:tabs>
          <w:tab w:val="right" w:leader="dot" w:pos="9071"/>
        </w:tabs>
        <w:spacing w:after="40" w:line="300" w:lineRule="auto"/>
        <w:ind w:left="1134" w:hanging="1134"/>
        <w:jc w:val="left"/>
      </w:pPr>
      <w:r>
        <w:t xml:space="preserve">Bảng A.19. Mười nhóm sản phẩm có doanh số thực tế lớn nhất của cửa hàng 17 trên tập kiểm tra cuối</w:t>
      </w:r>
      <w:r>
        <w:tab/>
        <w:t>301</w:t>
      </w:r>
    </w:p>
    <w:p>
      <w:pPr>
        <w:tabs>
          <w:tab w:val="right" w:leader="dot" w:pos="9071"/>
        </w:tabs>
        <w:spacing w:after="40" w:line="300" w:lineRule="auto"/>
        <w:ind w:left="1134" w:hanging="1134"/>
        <w:jc w:val="left"/>
      </w:pPr>
      <w:r>
        <w:t xml:space="preserve">Bảng A.20. Mười nhóm sản phẩm có doanh số thực tế lớn nhất của cửa hàng 18 trên tập kiểm tra cuối</w:t>
      </w:r>
      <w:r>
        <w:tab/>
        <w:t>302</w:t>
      </w:r>
    </w:p>
    <w:p>
      <w:pPr>
        <w:tabs>
          <w:tab w:val="right" w:leader="dot" w:pos="9071"/>
        </w:tabs>
        <w:spacing w:after="40" w:line="300" w:lineRule="auto"/>
        <w:ind w:left="1134" w:hanging="1134"/>
        <w:jc w:val="left"/>
      </w:pPr>
      <w:r>
        <w:t xml:space="preserve">Bảng A.21. Mười nhóm sản phẩm có doanh số thực tế lớn nhất của cửa hàng 19 trên tập kiểm tra cuối</w:t>
      </w:r>
      <w:r>
        <w:tab/>
        <w:t>303</w:t>
      </w:r>
    </w:p>
    <w:p>
      <w:pPr>
        <w:tabs>
          <w:tab w:val="right" w:leader="dot" w:pos="9071"/>
        </w:tabs>
        <w:spacing w:after="40" w:line="300" w:lineRule="auto"/>
        <w:ind w:left="1134" w:hanging="1134"/>
        <w:jc w:val="left"/>
      </w:pPr>
      <w:r>
        <w:t xml:space="preserve">Bảng A.22. Mười nhóm sản phẩm có doanh số thực tế lớn nhất của cửa hàng 20 trên tập kiểm tra cuối</w:t>
      </w:r>
      <w:r>
        <w:tab/>
        <w:t>304</w:t>
      </w:r>
    </w:p>
    <w:p>
      <w:pPr>
        <w:tabs>
          <w:tab w:val="right" w:leader="dot" w:pos="9071"/>
        </w:tabs>
        <w:spacing w:after="40" w:line="300" w:lineRule="auto"/>
        <w:ind w:left="1134" w:hanging="1134"/>
        <w:jc w:val="left"/>
      </w:pPr>
      <w:r>
        <w:t xml:space="preserve">Bảng A.23. Mười nhóm sản phẩm có doanh số thực tế lớn nhất của cửa hàng 21 trên tập kiểm tra cuối</w:t>
      </w:r>
      <w:r>
        <w:tab/>
        <w:t>305</w:t>
      </w:r>
    </w:p>
    <w:p>
      <w:pPr>
        <w:tabs>
          <w:tab w:val="right" w:leader="dot" w:pos="9071"/>
        </w:tabs>
        <w:spacing w:after="40" w:line="300" w:lineRule="auto"/>
        <w:ind w:left="1134" w:hanging="1134"/>
        <w:jc w:val="left"/>
      </w:pPr>
      <w:r>
        <w:t xml:space="preserve">Bảng A.24. Mười nhóm sản phẩm có doanh số thực tế lớn nhất của cửa hàng 22 trên tập kiểm tra cuối</w:t>
      </w:r>
      <w:r>
        <w:tab/>
        <w:t>306</w:t>
      </w:r>
    </w:p>
    <w:p>
      <w:pPr>
        <w:tabs>
          <w:tab w:val="right" w:leader="dot" w:pos="9071"/>
        </w:tabs>
        <w:spacing w:after="40" w:line="300" w:lineRule="auto"/>
        <w:ind w:left="1134" w:hanging="1134"/>
        <w:jc w:val="left"/>
      </w:pPr>
      <w:r>
        <w:t xml:space="preserve">Bảng A.25. Mười nhóm sản phẩm có doanh số thực tế lớn nhất của cửa hàng 23 trên tập kiểm tra cuối</w:t>
      </w:r>
      <w:r>
        <w:tab/>
        <w:t>307</w:t>
      </w:r>
    </w:p>
    <w:p>
      <w:pPr>
        <w:tabs>
          <w:tab w:val="right" w:leader="dot" w:pos="9071"/>
        </w:tabs>
        <w:spacing w:after="40" w:line="300" w:lineRule="auto"/>
        <w:ind w:left="1134" w:hanging="1134"/>
        <w:jc w:val="left"/>
      </w:pPr>
      <w:r>
        <w:t xml:space="preserve">Bảng A.26. Mười nhóm sản phẩm có doanh số thực tế lớn nhất của cửa hàng 24 trên tập kiểm tra cuối</w:t>
      </w:r>
      <w:r>
        <w:tab/>
        <w:t>308</w:t>
      </w:r>
    </w:p>
    <w:p>
      <w:pPr>
        <w:tabs>
          <w:tab w:val="right" w:leader="dot" w:pos="9071"/>
        </w:tabs>
        <w:spacing w:after="40" w:line="300" w:lineRule="auto"/>
        <w:ind w:left="1134" w:hanging="1134"/>
        <w:jc w:val="left"/>
      </w:pPr>
      <w:r>
        <w:t xml:space="preserve">Bảng A.27. Mười nhóm sản phẩm có doanh số thực tế lớn nhất của cửa hàng 25 trên tập kiểm tra cuối</w:t>
      </w:r>
      <w:r>
        <w:tab/>
        <w:t>308</w:t>
      </w:r>
    </w:p>
    <w:p>
      <w:pPr>
        <w:tabs>
          <w:tab w:val="right" w:leader="dot" w:pos="9071"/>
        </w:tabs>
        <w:spacing w:after="40" w:line="300" w:lineRule="auto"/>
        <w:ind w:left="1134" w:hanging="1134"/>
        <w:jc w:val="left"/>
      </w:pPr>
      <w:r>
        <w:t xml:space="preserve">Bảng A.28. Mười nhóm sản phẩm có doanh số thực tế lớn nhất của cửa hàng 26 trên tập kiểm tra cuối</w:t>
      </w:r>
      <w:r>
        <w:tab/>
        <w:t>309</w:t>
      </w:r>
    </w:p>
    <w:p>
      <w:pPr>
        <w:tabs>
          <w:tab w:val="right" w:leader="dot" w:pos="9071"/>
        </w:tabs>
        <w:spacing w:after="40" w:line="300" w:lineRule="auto"/>
        <w:ind w:left="1134" w:hanging="1134"/>
        <w:jc w:val="left"/>
      </w:pPr>
      <w:r>
        <w:t xml:space="preserve">Bảng A.29. Mười nhóm sản phẩm có doanh số thực tế lớn nhất của cửa hàng 27 trên tập kiểm tra cuối</w:t>
      </w:r>
      <w:r>
        <w:tab/>
        <w:t>310</w:t>
      </w:r>
    </w:p>
    <w:p>
      <w:pPr>
        <w:tabs>
          <w:tab w:val="right" w:leader="dot" w:pos="9071"/>
        </w:tabs>
        <w:spacing w:after="40" w:line="300" w:lineRule="auto"/>
        <w:ind w:left="1134" w:hanging="1134"/>
        <w:jc w:val="left"/>
      </w:pPr>
      <w:r>
        <w:t xml:space="preserve">Bảng A.30. Mười nhóm sản phẩm có doanh số thực tế lớn nhất của cửa hàng 28 trên tập kiểm tra cuối</w:t>
      </w:r>
      <w:r>
        <w:tab/>
        <w:t>311</w:t>
      </w:r>
    </w:p>
    <w:p>
      <w:pPr>
        <w:tabs>
          <w:tab w:val="right" w:leader="dot" w:pos="9071"/>
        </w:tabs>
        <w:spacing w:after="40" w:line="300" w:lineRule="auto"/>
        <w:ind w:left="1134" w:hanging="1134"/>
        <w:jc w:val="left"/>
      </w:pPr>
      <w:r>
        <w:t xml:space="preserve">Bảng A.31. Mười nhóm sản phẩm có doanh số thực tế lớn nhất của cửa hàng 29 trên tập kiểm tra cuối</w:t>
      </w:r>
      <w:r>
        <w:tab/>
        <w:t>312</w:t>
      </w:r>
    </w:p>
    <w:p>
      <w:pPr>
        <w:tabs>
          <w:tab w:val="right" w:leader="dot" w:pos="9071"/>
        </w:tabs>
        <w:spacing w:after="40" w:line="300" w:lineRule="auto"/>
        <w:ind w:left="1134" w:hanging="1134"/>
        <w:jc w:val="left"/>
      </w:pPr>
      <w:r>
        <w:t xml:space="preserve">Bảng A.32. Mười nhóm sản phẩm có doanh số thực tế lớn nhất của cửa hàng 30 trên tập kiểm tra cuối</w:t>
      </w:r>
      <w:r>
        <w:tab/>
        <w:t>313</w:t>
      </w:r>
    </w:p>
    <w:p>
      <w:pPr>
        <w:tabs>
          <w:tab w:val="right" w:leader="dot" w:pos="9071"/>
        </w:tabs>
        <w:spacing w:after="40" w:line="300" w:lineRule="auto"/>
        <w:ind w:left="1134" w:hanging="1134"/>
        <w:jc w:val="left"/>
      </w:pPr>
      <w:r>
        <w:t xml:space="preserve">Bảng A.33. Mười nhóm sản phẩm có doanh số thực tế lớn nhất của cửa hàng 31 trên tập kiểm tra cuối</w:t>
      </w:r>
      <w:r>
        <w:tab/>
        <w:t>314</w:t>
      </w:r>
    </w:p>
    <w:p>
      <w:pPr>
        <w:tabs>
          <w:tab w:val="right" w:leader="dot" w:pos="9071"/>
        </w:tabs>
        <w:spacing w:after="40" w:line="300" w:lineRule="auto"/>
        <w:ind w:left="1134" w:hanging="1134"/>
        <w:jc w:val="left"/>
      </w:pPr>
      <w:r>
        <w:t xml:space="preserve">Bảng A.34. Mười nhóm sản phẩm có doanh số thực tế lớn nhất của cửa hàng 32 trên tập kiểm tra cuối</w:t>
      </w:r>
      <w:r>
        <w:tab/>
        <w:t>315</w:t>
      </w:r>
    </w:p>
    <w:p>
      <w:pPr>
        <w:tabs>
          <w:tab w:val="right" w:leader="dot" w:pos="9071"/>
        </w:tabs>
        <w:spacing w:after="40" w:line="300" w:lineRule="auto"/>
        <w:ind w:left="1134" w:hanging="1134"/>
        <w:jc w:val="left"/>
      </w:pPr>
      <w:r>
        <w:t xml:space="preserve">Bảng A.35. Mười nhóm sản phẩm có doanh số thực tế lớn nhất của cửa hàng 33 trên tập kiểm tra cuối</w:t>
      </w:r>
      <w:r>
        <w:tab/>
        <w:t>315</w:t>
      </w:r>
    </w:p>
    <w:p>
      <w:pPr>
        <w:tabs>
          <w:tab w:val="right" w:leader="dot" w:pos="9071"/>
        </w:tabs>
        <w:spacing w:after="40" w:line="300" w:lineRule="auto"/>
        <w:ind w:left="1134" w:hanging="1134"/>
        <w:jc w:val="left"/>
      </w:pPr>
      <w:r>
        <w:t xml:space="preserve">Bảng A.36. Mười nhóm sản phẩm có doanh số thực tế lớn nhất của cửa hàng 34 trên tập kiểm tra cuối</w:t>
      </w:r>
      <w:r>
        <w:tab/>
        <w:t>316</w:t>
      </w:r>
    </w:p>
    <w:p>
      <w:pPr>
        <w:tabs>
          <w:tab w:val="right" w:leader="dot" w:pos="9071"/>
        </w:tabs>
        <w:spacing w:after="40" w:line="300" w:lineRule="auto"/>
        <w:ind w:left="1134" w:hanging="1134"/>
        <w:jc w:val="left"/>
      </w:pPr>
      <w:r>
        <w:t xml:space="preserve">Bảng A.37. Mười nhóm sản phẩm có doanh số thực tế lớn nhất của cửa hàng 35 trên tập kiểm tra cuối</w:t>
      </w:r>
      <w:r>
        <w:tab/>
        <w:t>317</w:t>
      </w:r>
    </w:p>
    <w:p>
      <w:pPr>
        <w:tabs>
          <w:tab w:val="right" w:leader="dot" w:pos="9071"/>
        </w:tabs>
        <w:spacing w:after="40" w:line="300" w:lineRule="auto"/>
        <w:ind w:left="1134" w:hanging="1134"/>
        <w:jc w:val="left"/>
      </w:pPr>
      <w:r>
        <w:t xml:space="preserve">Bảng A.38. Mười nhóm sản phẩm có doanh số thực tế lớn nhất của cửa hàng 36 trên tập kiểm tra cuối</w:t>
      </w:r>
      <w:r>
        <w:tab/>
        <w:t>318</w:t>
      </w:r>
    </w:p>
    <w:p>
      <w:pPr>
        <w:tabs>
          <w:tab w:val="right" w:leader="dot" w:pos="9071"/>
        </w:tabs>
        <w:spacing w:after="40" w:line="300" w:lineRule="auto"/>
        <w:ind w:left="1134" w:hanging="1134"/>
        <w:jc w:val="left"/>
      </w:pPr>
      <w:r>
        <w:t xml:space="preserve">Bảng A.39. Mười nhóm sản phẩm có doanh số thực tế lớn nhất của cửa hàng 37 trên tập kiểm tra cuối</w:t>
      </w:r>
      <w:r>
        <w:tab/>
        <w:t>319</w:t>
      </w:r>
    </w:p>
    <w:p>
      <w:pPr>
        <w:tabs>
          <w:tab w:val="right" w:leader="dot" w:pos="9071"/>
        </w:tabs>
        <w:spacing w:after="40" w:line="300" w:lineRule="auto"/>
        <w:ind w:left="1134" w:hanging="1134"/>
        <w:jc w:val="left"/>
      </w:pPr>
      <w:r>
        <w:t xml:space="preserve">Bảng A.40. Mười nhóm sản phẩm có doanh số thực tế lớn nhất của cửa hàng 38 trên tập kiểm tra cuối</w:t>
      </w:r>
      <w:r>
        <w:tab/>
        <w:t>320</w:t>
      </w:r>
    </w:p>
    <w:p>
      <w:pPr>
        <w:tabs>
          <w:tab w:val="right" w:leader="dot" w:pos="9071"/>
        </w:tabs>
        <w:spacing w:after="40" w:line="300" w:lineRule="auto"/>
        <w:ind w:left="1134" w:hanging="1134"/>
        <w:jc w:val="left"/>
      </w:pPr>
      <w:r>
        <w:t xml:space="preserve">Bảng A.41. Mười nhóm sản phẩm có doanh số thực tế lớn nhất của cửa hàng 39 trên tập kiểm tra cuối</w:t>
      </w:r>
      <w:r>
        <w:tab/>
        <w:t>321</w:t>
      </w:r>
    </w:p>
    <w:p>
      <w:pPr>
        <w:tabs>
          <w:tab w:val="right" w:leader="dot" w:pos="9071"/>
        </w:tabs>
        <w:spacing w:after="40" w:line="300" w:lineRule="auto"/>
        <w:ind w:left="1134" w:hanging="1134"/>
        <w:jc w:val="left"/>
      </w:pPr>
      <w:r>
        <w:t xml:space="preserve">Bảng A.42. Mười nhóm sản phẩm có doanh số thực tế lớn nhất của cửa hàng 40 trên tập kiểm tra cuối</w:t>
      </w:r>
      <w:r>
        <w:tab/>
        <w:t>322</w:t>
      </w:r>
    </w:p>
    <w:p>
      <w:pPr>
        <w:tabs>
          <w:tab w:val="right" w:leader="dot" w:pos="9071"/>
        </w:tabs>
        <w:spacing w:after="40" w:line="300" w:lineRule="auto"/>
        <w:ind w:left="1134" w:hanging="1134"/>
        <w:jc w:val="left"/>
      </w:pPr>
      <w:r>
        <w:t xml:space="preserve">Bảng A.43. Mười nhóm sản phẩm có doanh số thực tế lớn nhất của cửa hàng 41 trên tập kiểm tra cuối</w:t>
      </w:r>
      <w:r>
        <w:tab/>
        <w:t>322</w:t>
      </w:r>
    </w:p>
    <w:p>
      <w:pPr>
        <w:tabs>
          <w:tab w:val="right" w:leader="dot" w:pos="9071"/>
        </w:tabs>
        <w:spacing w:after="40" w:line="300" w:lineRule="auto"/>
        <w:ind w:left="1134" w:hanging="1134"/>
        <w:jc w:val="left"/>
      </w:pPr>
      <w:r>
        <w:t xml:space="preserve">Bảng A.44. Mười nhóm sản phẩm có doanh số thực tế lớn nhất của cửa hàng 42 trên tập kiểm tra cuối</w:t>
      </w:r>
      <w:r>
        <w:tab/>
        <w:t>323</w:t>
      </w:r>
    </w:p>
    <w:p>
      <w:pPr>
        <w:tabs>
          <w:tab w:val="right" w:leader="dot" w:pos="9071"/>
        </w:tabs>
        <w:spacing w:after="40" w:line="300" w:lineRule="auto"/>
        <w:ind w:left="1134" w:hanging="1134"/>
        <w:jc w:val="left"/>
      </w:pPr>
      <w:r>
        <w:t xml:space="preserve">Bảng A.45. Mười nhóm sản phẩm có doanh số thực tế lớn nhất của cửa hàng 43 trên tập kiểm tra cuối</w:t>
      </w:r>
      <w:r>
        <w:tab/>
        <w:t>324</w:t>
      </w:r>
    </w:p>
    <w:p>
      <w:pPr>
        <w:tabs>
          <w:tab w:val="right" w:leader="dot" w:pos="9071"/>
        </w:tabs>
        <w:spacing w:after="40" w:line="300" w:lineRule="auto"/>
        <w:ind w:left="1134" w:hanging="1134"/>
        <w:jc w:val="left"/>
      </w:pPr>
      <w:r>
        <w:t xml:space="preserve">Bảng A.46. Mười nhóm sản phẩm có doanh số thực tế lớn nhất của cửa hàng 44 trên tập kiểm tra cuối</w:t>
      </w:r>
      <w:r>
        <w:tab/>
        <w:t>325</w:t>
      </w:r>
    </w:p>
    <w:p>
      <w:pPr>
        <w:tabs>
          <w:tab w:val="right" w:leader="dot" w:pos="9071"/>
        </w:tabs>
        <w:spacing w:after="40" w:line="300" w:lineRule="auto"/>
        <w:ind w:left="1134" w:hanging="1134"/>
        <w:jc w:val="left"/>
      </w:pPr>
      <w:r>
        <w:t xml:space="preserve">Bảng A.47. Mười nhóm sản phẩm có doanh số thực tế lớn nhất của cửa hàng 45 trên tập kiểm tra cuối</w:t>
      </w:r>
      <w:r>
        <w:tab/>
        <w:t>326</w:t>
      </w:r>
    </w:p>
    <w:p>
      <w:pPr>
        <w:tabs>
          <w:tab w:val="right" w:leader="dot" w:pos="9071"/>
        </w:tabs>
        <w:spacing w:after="40" w:line="300" w:lineRule="auto"/>
        <w:ind w:left="1134" w:hanging="1134"/>
        <w:jc w:val="left"/>
      </w:pPr>
      <w:r>
        <w:t xml:space="preserve">Bảng A.48. Mười nhóm sản phẩm có doanh số thực tế lớn nhất của cửa hàng 46 trên tập kiểm tra cuối</w:t>
      </w:r>
      <w:r>
        <w:tab/>
        <w:t>327</w:t>
      </w:r>
    </w:p>
    <w:p>
      <w:pPr>
        <w:tabs>
          <w:tab w:val="right" w:leader="dot" w:pos="9071"/>
        </w:tabs>
        <w:spacing w:after="40" w:line="300" w:lineRule="auto"/>
        <w:ind w:left="1134" w:hanging="1134"/>
        <w:jc w:val="left"/>
      </w:pPr>
      <w:r>
        <w:t xml:space="preserve">Bảng A.49. Mười nhóm sản phẩm có doanh số thực tế lớn nhất của cửa hàng 47 trên tập kiểm tra cuối</w:t>
      </w:r>
      <w:r>
        <w:tab/>
        <w:t>328</w:t>
      </w:r>
    </w:p>
    <w:p>
      <w:pPr>
        <w:tabs>
          <w:tab w:val="right" w:leader="dot" w:pos="9071"/>
        </w:tabs>
        <w:spacing w:after="40" w:line="300" w:lineRule="auto"/>
        <w:ind w:left="1134" w:hanging="1134"/>
        <w:jc w:val="left"/>
      </w:pPr>
      <w:r>
        <w:t xml:space="preserve">Bảng A.50. Mười nhóm sản phẩm có doanh số thực tế lớn nhất của cửa hàng 48 trên tập kiểm tra cuối</w:t>
      </w:r>
      <w:r>
        <w:tab/>
        <w:t>329</w:t>
      </w:r>
    </w:p>
    <w:p>
      <w:pPr>
        <w:tabs>
          <w:tab w:val="right" w:leader="dot" w:pos="9071"/>
        </w:tabs>
        <w:spacing w:after="40" w:line="300" w:lineRule="auto"/>
        <w:ind w:left="1134" w:hanging="1134"/>
        <w:jc w:val="left"/>
      </w:pPr>
      <w:r>
        <w:t xml:space="preserve">Bảng A.51. Mười nhóm sản phẩm có doanh số thực tế lớn nhất của cửa hàng 49 trên tập kiểm tra cuối</w:t>
      </w:r>
      <w:r>
        <w:tab/>
        <w:t>329</w:t>
      </w:r>
    </w:p>
    <w:p>
      <w:pPr>
        <w:tabs>
          <w:tab w:val="right" w:leader="dot" w:pos="9071"/>
        </w:tabs>
        <w:spacing w:after="40" w:line="300" w:lineRule="auto"/>
        <w:ind w:left="1134" w:hanging="1134"/>
        <w:jc w:val="left"/>
      </w:pPr>
      <w:r>
        <w:t xml:space="preserve">Bảng A.52. Mười nhóm sản phẩm có doanh số thực tế lớn nhất của cửa hàng 50 trên tập kiểm tra cuối</w:t>
      </w:r>
      <w:r>
        <w:tab/>
        <w:t>330</w:t>
      </w:r>
    </w:p>
    <w:p>
      <w:pPr>
        <w:tabs>
          <w:tab w:val="right" w:leader="dot" w:pos="9071"/>
        </w:tabs>
        <w:spacing w:after="40" w:line="300" w:lineRule="auto"/>
        <w:ind w:left="1134" w:hanging="1134"/>
        <w:jc w:val="left"/>
      </w:pPr>
      <w:r>
        <w:t xml:space="preserve">Bảng A.53. Mười nhóm sản phẩm có doanh số thực tế lớn nhất của cửa hàng 51 trên tập kiểm tra cuối</w:t>
      </w:r>
      <w:r>
        <w:tab/>
        <w:t>331</w:t>
      </w:r>
    </w:p>
    <w:p>
      <w:pPr>
        <w:tabs>
          <w:tab w:val="right" w:leader="dot" w:pos="9071"/>
        </w:tabs>
        <w:spacing w:after="40" w:line="300" w:lineRule="auto"/>
        <w:ind w:left="1134" w:hanging="1134"/>
        <w:jc w:val="left"/>
      </w:pPr>
      <w:r>
        <w:t xml:space="preserve">Bảng A.54. Mười nhóm sản phẩm có doanh số thực tế lớn nhất của cửa hàng 52 trên tập kiểm tra cuối</w:t>
      </w:r>
      <w:r>
        <w:tab/>
        <w:t>332</w:t>
      </w:r>
    </w:p>
    <w:p>
      <w:pPr>
        <w:tabs>
          <w:tab w:val="right" w:leader="dot" w:pos="9071"/>
        </w:tabs>
        <w:spacing w:after="40" w:line="300" w:lineRule="auto"/>
        <w:ind w:left="1134" w:hanging="1134"/>
        <w:jc w:val="left"/>
      </w:pPr>
      <w:r>
        <w:t xml:space="preserve">Bảng A.55. Mười nhóm sản phẩm có doanh số thực tế lớn nhất của cửa hàng 53 trên tập kiểm tra cuối</w:t>
      </w:r>
      <w:r>
        <w:tab/>
        <w:t>333</w:t>
      </w:r>
    </w:p>
    <w:p>
      <w:pPr>
        <w:tabs>
          <w:tab w:val="right" w:leader="dot" w:pos="9071"/>
        </w:tabs>
        <w:spacing w:after="40" w:line="300" w:lineRule="auto"/>
        <w:ind w:left="1134" w:hanging="1134"/>
        <w:jc w:val="left"/>
      </w:pPr>
      <w:r>
        <w:t xml:space="preserve">Bảng A.56. Mười nhóm sản phẩm có doanh số thực tế lớn nhất của cửa hàng 54 trên tập kiểm tra cuối</w:t>
      </w:r>
      <w:r>
        <w:tab/>
        <w:t>334</w:t>
      </w:r>
    </w:p>
    <w:p>
      <w:pPr>
        <w:tabs>
          <w:tab w:val="right" w:leader="dot" w:pos="9071"/>
        </w:tabs>
        <w:spacing w:after="40" w:line="300" w:lineRule="auto"/>
        <w:ind w:left="1134" w:hanging="1134"/>
        <w:jc w:val="left"/>
      </w:pPr>
      <w:r>
        <w:t xml:space="preserve">Bảng B.1. Sai số dự báo, bias và độ bao phủ P10–P90 theo nhóm sản phẩm trên tập kiểm tra cuối 16 ngày</w:t>
      </w:r>
      <w:r>
        <w:tab/>
        <w:t>335</w:t>
      </w:r>
    </w:p>
    <w:p>
      <w:pPr>
        <w:tabs>
          <w:tab w:val="right" w:leader="dot" w:pos="9071"/>
        </w:tabs>
        <w:spacing w:after="40" w:line="300" w:lineRule="auto"/>
        <w:ind w:left="1134" w:hanging="1134"/>
        <w:jc w:val="left"/>
      </w:pPr>
      <w:r>
        <w:t xml:space="preserve">Bảng B.2. Tổng P50, lượng bổ sung gợi ý, nhãn rủi ro và phản ứng P50 dưới kịch bản khuyến mãi theo nhóm sản phẩm</w:t>
      </w:r>
      <w:r>
        <w:tab/>
        <w:t>336</w:t>
      </w:r>
    </w:p>
    <w:p>
      <w:pPr>
        <w:tabs>
          <w:tab w:val="right" w:leader="dot" w:pos="9071"/>
        </w:tabs>
        <w:spacing w:after="40" w:line="300" w:lineRule="auto"/>
        <w:ind w:left="1134" w:hanging="1134"/>
        <w:jc w:val="left"/>
      </w:pPr>
      <w:r>
        <w:t xml:space="preserve">Bảng C.1. Ba mươi phiếu khuyến nghị đứng đầu hàng đợi ưu tiên của Stage 08 (kỳ 16 ngày)</w:t>
      </w:r>
      <w:r>
        <w:tab/>
        <w:t>350</w:t>
      </w:r>
    </w:p>
    <w:p>
      <w:pPr>
        <w:tabs>
          <w:tab w:val="right" w:leader="dot" w:pos="9071"/>
        </w:tabs>
        <w:spacing w:after="40" w:line="300" w:lineRule="auto"/>
        <w:ind w:left="1134" w:hanging="1134"/>
        <w:jc w:val="left"/>
      </w:pPr>
      <w:r>
        <w:t xml:space="preserve">Bảng C.2. Ba phương án số lượng của phiếu DEC-S10-BEVERAGES</w:t>
      </w:r>
      <w:r>
        <w:tab/>
        <w:t>354</w:t>
      </w:r>
    </w:p>
    <w:p>
      <w:pPr>
        <w:tabs>
          <w:tab w:val="right" w:leader="dot" w:pos="9071"/>
        </w:tabs>
        <w:spacing w:after="40" w:line="300" w:lineRule="auto"/>
        <w:ind w:left="1134" w:hanging="1134"/>
        <w:jc w:val="left"/>
      </w:pPr>
      <w:r>
        <w:t xml:space="preserve">Bảng C.3. Kịch bản khuyến mãi trong phiếu DEC-S10-BEVERAGES</w:t>
      </w:r>
      <w:r>
        <w:tab/>
        <w:t>354</w:t>
      </w:r>
    </w:p>
    <w:p>
      <w:pPr>
        <w:tabs>
          <w:tab w:val="right" w:leader="dot" w:pos="9071"/>
        </w:tabs>
        <w:spacing w:after="40" w:line="300" w:lineRule="auto"/>
        <w:ind w:left="1134" w:hanging="1134"/>
        <w:jc w:val="left"/>
      </w:pPr>
      <w:r>
        <w:t xml:space="preserve">Bảng D.1. Tham số của quy trình được đọc từ mã nguồn</w:t>
      </w:r>
      <w:r>
        <w:tab/>
        <w:t>357</w:t>
      </w:r>
    </w:p>
    <w:p>
      <w:pPr>
        <w:tabs>
          <w:tab w:val="right" w:leader="dot" w:pos="9071"/>
        </w:tabs>
        <w:spacing w:after="40" w:line="300" w:lineRule="auto"/>
        <w:ind w:left="1134" w:hanging="1134"/>
        <w:jc w:val="left"/>
      </w:pPr>
      <w:r>
        <w:t xml:space="preserve">Bảng D.2. Các bảng và hình trong REPORT_READY</w:t>
      </w:r>
      <w:r>
        <w:tab/>
        <w:t>358</w:t>
      </w:r>
    </w:p>
    <w:p>
      <w:pPr>
        <w:tabs>
          <w:tab w:val="right" w:leader="dot" w:pos="9071"/>
        </w:tabs>
        <w:spacing w:after="40" w:line="300" w:lineRule="auto"/>
        <w:ind w:left="1134" w:hanging="1134"/>
        <w:jc w:val="left"/>
      </w:pPr>
      <w:r>
        <w:t xml:space="preserve">Bảng E.1. Thí nghiệm độ nhạy: WAPE theo từng lần kiểm định và trung bình</w:t>
      </w:r>
      <w:r>
        <w:tab/>
        <w:t>361</w:t>
      </w:r>
    </w:p>
    <w:p>
      <w:pPr>
        <w:tabs>
          <w:tab w:val="right" w:leader="dot" w:pos="9071"/>
        </w:tabs>
        <w:spacing w:after="40" w:line="300" w:lineRule="auto"/>
        <w:ind w:left="1134" w:hanging="1134"/>
        <w:jc w:val="left"/>
      </w:pPr>
      <w:r>
        <w:t xml:space="preserve">Bảng E.2. Thí nghiệm độ nhạy: RMSE theo từng lần kiểm định và thời gian huấn luyện trung bình</w:t>
      </w:r>
      <w:r>
        <w:tab/>
        <w:t>361</w:t>
      </w:r>
    </w:p>
    <w:p>
      <w:pPr>
        <w:tabs>
          <w:tab w:val="right" w:leader="dot" w:pos="9071"/>
        </w:tabs>
        <w:spacing w:after="40" w:line="300" w:lineRule="auto"/>
        <w:ind w:left="1134" w:hanging="1134"/>
        <w:jc w:val="left"/>
      </w:pPr>
      <w:r>
        <w:t xml:space="preserve">Bảng E.3. Các kiểm thử của quy trình, dashboard và công cụ xuất dữ liệu</w:t>
      </w:r>
      <w:r>
        <w:tab/>
        <w:t>362</w:t>
      </w:r>
    </w:p>
    <w:p/>
    <w:p>
      <w:pPr>
        <w:pStyle w:val="Heading1"/>
        <w:pageBreakBefore/>
      </w:pPr>
      <w:r>
        <w:t>MỤC LỤC</w:t>
      </w:r>
    </w:p>
    <w:p>
      <w:pPr>
        <w:tabs>
          <w:tab w:val="right" w:leader="dot" w:pos="9071"/>
        </w:tabs>
        <w:spacing w:after="40" w:line="300" w:lineRule="auto"/>
        <w:ind w:left="0" w:firstLine="0"/>
        <w:jc w:val="left"/>
      </w:pPr>
      <w:r>
        <w:fldChar w:fldCharType="begin" w:dirty="true"/>
      </w:r>
      <w:r>
        <w:instrText xml:space="preserve"> TOC \o "1-2" \h \z \u </w:instrText>
      </w:r>
      <w:r>
        <w:fldChar w:fldCharType="separate"/>
      </w:r>
      <w:r>
        <w:rPr>
          <w:b/>
        </w:rPr>
        <w:t xml:space="preserve">LỜI CAM ĐOAN</w:t>
      </w:r>
      <w:r>
        <w:rPr>
          <w:b/>
        </w:rPr>
        <w:tab/>
        <w:t>2</w:t>
      </w:r>
    </w:p>
    <w:p>
      <w:pPr>
        <w:tabs>
          <w:tab w:val="right" w:leader="dot" w:pos="9071"/>
        </w:tabs>
        <w:spacing w:after="40" w:line="300" w:lineRule="auto"/>
        <w:ind w:left="0" w:firstLine="0"/>
        <w:jc w:val="left"/>
      </w:pPr>
      <w:r>
        <w:rPr>
          <w:b/>
        </w:rPr>
        <w:t xml:space="preserve">LỜI CẢM ƠN</w:t>
      </w:r>
      <w:r>
        <w:rPr>
          <w:b/>
        </w:rPr>
        <w:tab/>
        <w:t>3</w:t>
      </w:r>
    </w:p>
    <w:p>
      <w:pPr>
        <w:tabs>
          <w:tab w:val="right" w:leader="dot" w:pos="9071"/>
        </w:tabs>
        <w:spacing w:after="40" w:line="300" w:lineRule="auto"/>
        <w:ind w:left="0" w:firstLine="0"/>
        <w:jc w:val="left"/>
      </w:pPr>
      <w:r>
        <w:rPr>
          <w:b/>
        </w:rPr>
        <w:t xml:space="preserve">TÓM TẮT</w:t>
      </w:r>
      <w:r>
        <w:rPr>
          <w:b/>
        </w:rPr>
        <w:tab/>
        <w:t>4</w:t>
      </w:r>
    </w:p>
    <w:p>
      <w:pPr>
        <w:tabs>
          <w:tab w:val="right" w:leader="dot" w:pos="9071"/>
        </w:tabs>
        <w:spacing w:after="40" w:line="300" w:lineRule="auto"/>
        <w:ind w:left="0" w:firstLine="0"/>
        <w:jc w:val="left"/>
      </w:pPr>
      <w:r>
        <w:rPr>
          <w:b/>
        </w:rPr>
        <w:t xml:space="preserve">ABSTRACT</w:t>
      </w:r>
      <w:r>
        <w:rPr>
          <w:b/>
        </w:rPr>
        <w:tab/>
        <w:t>6</w:t>
      </w:r>
    </w:p>
    <w:p>
      <w:pPr>
        <w:tabs>
          <w:tab w:val="right" w:leader="dot" w:pos="9071"/>
        </w:tabs>
        <w:spacing w:after="40" w:line="300" w:lineRule="auto"/>
        <w:ind w:left="0" w:firstLine="0"/>
        <w:jc w:val="left"/>
      </w:pPr>
      <w:r>
        <w:rPr>
          <w:b/>
        </w:rPr>
        <w:t xml:space="preserve">DANH MỤC TỪ VIẾT TẮT</w:t>
      </w:r>
      <w:r>
        <w:rPr>
          <w:b/>
        </w:rPr>
        <w:tab/>
        <w:t>7</w:t>
      </w:r>
    </w:p>
    <w:p>
      <w:pPr>
        <w:tabs>
          <w:tab w:val="right" w:leader="dot" w:pos="9071"/>
        </w:tabs>
        <w:spacing w:after="40" w:line="300" w:lineRule="auto"/>
        <w:ind w:left="0" w:firstLine="0"/>
        <w:jc w:val="left"/>
      </w:pPr>
      <w:r>
        <w:rPr>
          <w:b/>
        </w:rPr>
        <w:t xml:space="preserve">DANH MỤC HÌNH ẢNH</w:t>
      </w:r>
      <w:r>
        <w:rPr>
          <w:b/>
        </w:rPr>
        <w:tab/>
        <w:t>8</w:t>
      </w:r>
    </w:p>
    <w:p>
      <w:pPr>
        <w:tabs>
          <w:tab w:val="right" w:leader="dot" w:pos="9071"/>
        </w:tabs>
        <w:spacing w:after="40" w:line="300" w:lineRule="auto"/>
        <w:ind w:left="0" w:firstLine="0"/>
        <w:jc w:val="left"/>
      </w:pPr>
      <w:r>
        <w:rPr>
          <w:b/>
        </w:rPr>
        <w:t xml:space="preserve">DANH MỤC BẢNG BIỂU</w:t>
      </w:r>
      <w:r>
        <w:rPr>
          <w:b/>
        </w:rPr>
        <w:tab/>
        <w:t>10</w:t>
      </w:r>
    </w:p>
    <w:p>
      <w:pPr>
        <w:tabs>
          <w:tab w:val="right" w:leader="dot" w:pos="9071"/>
        </w:tabs>
        <w:spacing w:after="40" w:line="300" w:lineRule="auto"/>
        <w:ind w:left="0" w:firstLine="0"/>
        <w:jc w:val="left"/>
      </w:pPr>
      <w:r>
        <w:rPr>
          <w:b/>
        </w:rPr>
        <w:t xml:space="preserve">CHƯƠNG 1. GIỚI THIỆU NGHIÊN CỨU</w:t>
      </w:r>
      <w:r>
        <w:rPr>
          <w:b/>
        </w:rPr>
        <w:tab/>
        <w:t>20</w:t>
      </w:r>
    </w:p>
    <w:p>
      <w:pPr>
        <w:tabs>
          <w:tab w:val="right" w:leader="dot" w:pos="9071"/>
        </w:tabs>
        <w:spacing w:after="40" w:line="300" w:lineRule="auto"/>
        <w:ind w:left="400" w:firstLine="0"/>
        <w:jc w:val="left"/>
      </w:pPr>
      <w:r>
        <w:t xml:space="preserve">1.1. Bối cảnh nghiên cứu</w:t>
      </w:r>
      <w:r>
        <w:tab/>
        <w:t>20</w:t>
      </w:r>
    </w:p>
    <w:p>
      <w:pPr>
        <w:tabs>
          <w:tab w:val="right" w:leader="dot" w:pos="9071"/>
        </w:tabs>
        <w:spacing w:after="40" w:line="300" w:lineRule="auto"/>
        <w:ind w:left="400" w:firstLine="0"/>
        <w:jc w:val="left"/>
      </w:pPr>
      <w:r>
        <w:t xml:space="preserve">1.2. Vấn đề nghiên cứu</w:t>
      </w:r>
      <w:r>
        <w:tab/>
        <w:t>21</w:t>
      </w:r>
    </w:p>
    <w:p>
      <w:pPr>
        <w:tabs>
          <w:tab w:val="right" w:leader="dot" w:pos="9071"/>
        </w:tabs>
        <w:spacing w:after="40" w:line="300" w:lineRule="auto"/>
        <w:ind w:left="400" w:firstLine="0"/>
        <w:jc w:val="left"/>
      </w:pPr>
      <w:r>
        <w:t xml:space="preserve">1.3. Mục tiêu nghiên cứu</w:t>
      </w:r>
      <w:r>
        <w:tab/>
        <w:t>23</w:t>
      </w:r>
    </w:p>
    <w:p>
      <w:pPr>
        <w:tabs>
          <w:tab w:val="right" w:leader="dot" w:pos="9071"/>
        </w:tabs>
        <w:spacing w:after="40" w:line="300" w:lineRule="auto"/>
        <w:ind w:left="400" w:firstLine="0"/>
        <w:jc w:val="left"/>
      </w:pPr>
      <w:r>
        <w:t xml:space="preserve">1.4. Câu hỏi nghiên cứu</w:t>
      </w:r>
      <w:r>
        <w:tab/>
        <w:t>25</w:t>
      </w:r>
    </w:p>
    <w:p>
      <w:pPr>
        <w:tabs>
          <w:tab w:val="right" w:leader="dot" w:pos="9071"/>
        </w:tabs>
        <w:spacing w:after="40" w:line="300" w:lineRule="auto"/>
        <w:ind w:left="400" w:firstLine="0"/>
        <w:jc w:val="left"/>
      </w:pPr>
      <w:r>
        <w:t xml:space="preserve">1.5. Phạm vi nghiên cứu</w:t>
      </w:r>
      <w:r>
        <w:tab/>
        <w:t>27</w:t>
      </w:r>
    </w:p>
    <w:p>
      <w:pPr>
        <w:tabs>
          <w:tab w:val="right" w:leader="dot" w:pos="9071"/>
        </w:tabs>
        <w:spacing w:after="40" w:line="300" w:lineRule="auto"/>
        <w:ind w:left="400" w:firstLine="0"/>
        <w:jc w:val="left"/>
      </w:pPr>
      <w:r>
        <w:t xml:space="preserve">1.6. Phương pháp nghiên cứu tổng quát</w:t>
      </w:r>
      <w:r>
        <w:tab/>
        <w:t>29</w:t>
      </w:r>
    </w:p>
    <w:p>
      <w:pPr>
        <w:tabs>
          <w:tab w:val="right" w:leader="dot" w:pos="9071"/>
        </w:tabs>
        <w:spacing w:after="40" w:line="300" w:lineRule="auto"/>
        <w:ind w:left="400" w:firstLine="0"/>
        <w:jc w:val="left"/>
      </w:pPr>
      <w:r>
        <w:t xml:space="preserve">1.7. Đóng góp nghiên cứu</w:t>
      </w:r>
      <w:r>
        <w:tab/>
        <w:t>32</w:t>
      </w:r>
    </w:p>
    <w:p>
      <w:pPr>
        <w:tabs>
          <w:tab w:val="right" w:leader="dot" w:pos="9071"/>
        </w:tabs>
        <w:spacing w:after="40" w:line="300" w:lineRule="auto"/>
        <w:ind w:left="400" w:firstLine="0"/>
        <w:jc w:val="left"/>
      </w:pPr>
      <w:r>
        <w:t xml:space="preserve">1.8. Cấu trúc luận văn</w:t>
      </w:r>
      <w:r>
        <w:tab/>
        <w:t>35</w:t>
      </w:r>
    </w:p>
    <w:p>
      <w:pPr>
        <w:tabs>
          <w:tab w:val="right" w:leader="dot" w:pos="9071"/>
        </w:tabs>
        <w:spacing w:after="40" w:line="300" w:lineRule="auto"/>
        <w:ind w:left="0" w:firstLine="0"/>
        <w:jc w:val="left"/>
      </w:pPr>
      <w:r>
        <w:rPr>
          <w:b/>
        </w:rPr>
        <w:t xml:space="preserve">CHƯƠNG 2. CƠ SỞ LÝ THUYẾT VÀ TỔNG QUAN NGHIÊN CỨU</w:t>
      </w:r>
      <w:r>
        <w:rPr>
          <w:b/>
        </w:rPr>
        <w:tab/>
        <w:t>37</w:t>
      </w:r>
    </w:p>
    <w:p>
      <w:pPr>
        <w:tabs>
          <w:tab w:val="right" w:leader="dot" w:pos="9071"/>
        </w:tabs>
        <w:spacing w:after="40" w:line="300" w:lineRule="auto"/>
        <w:ind w:left="400" w:firstLine="0"/>
        <w:jc w:val="left"/>
      </w:pPr>
      <w:r>
        <w:t xml:space="preserve">2.1. Dự báo nhu cầu bán lẻ</w:t>
      </w:r>
      <w:r>
        <w:tab/>
        <w:t>37</w:t>
      </w:r>
    </w:p>
    <w:p>
      <w:pPr>
        <w:tabs>
          <w:tab w:val="right" w:leader="dot" w:pos="9071"/>
        </w:tabs>
        <w:spacing w:after="40" w:line="300" w:lineRule="auto"/>
        <w:ind w:left="400" w:firstLine="0"/>
        <w:jc w:val="left"/>
      </w:pPr>
      <w:r>
        <w:t xml:space="preserve">2.2. Xu hướng và mùa vụ</w:t>
      </w:r>
      <w:r>
        <w:tab/>
        <w:t>40</w:t>
      </w:r>
    </w:p>
    <w:p>
      <w:pPr>
        <w:tabs>
          <w:tab w:val="right" w:leader="dot" w:pos="9071"/>
        </w:tabs>
        <w:spacing w:after="40" w:line="300" w:lineRule="auto"/>
        <w:ind w:left="400" w:firstLine="0"/>
        <w:jc w:val="left"/>
      </w:pPr>
      <w:r>
        <w:t xml:space="preserve">2.3. STL bền vững</w:t>
      </w:r>
      <w:r>
        <w:tab/>
        <w:t>42</w:t>
      </w:r>
    </w:p>
    <w:p>
      <w:pPr>
        <w:tabs>
          <w:tab w:val="right" w:leader="dot" w:pos="9071"/>
        </w:tabs>
        <w:spacing w:after="40" w:line="300" w:lineRule="auto"/>
        <w:ind w:left="400" w:firstLine="0"/>
        <w:jc w:val="left"/>
      </w:pPr>
      <w:r>
        <w:t xml:space="preserve">2.4. Kỹ thuật tạo đặc trưng</w:t>
      </w:r>
      <w:r>
        <w:tab/>
        <w:t>45</w:t>
      </w:r>
    </w:p>
    <w:p>
      <w:pPr>
        <w:tabs>
          <w:tab w:val="right" w:leader="dot" w:pos="9071"/>
        </w:tabs>
        <w:spacing w:after="40" w:line="300" w:lineRule="auto"/>
        <w:ind w:left="400" w:firstLine="0"/>
        <w:jc w:val="left"/>
      </w:pPr>
      <w:r>
        <w:t xml:space="preserve">2.5. Seasonal Naive</w:t>
      </w:r>
      <w:r>
        <w:tab/>
        <w:t>50</w:t>
      </w:r>
    </w:p>
    <w:p>
      <w:pPr>
        <w:tabs>
          <w:tab w:val="right" w:leader="dot" w:pos="9071"/>
        </w:tabs>
        <w:spacing w:after="40" w:line="300" w:lineRule="auto"/>
        <w:ind w:left="400" w:firstLine="0"/>
        <w:jc w:val="left"/>
      </w:pPr>
      <w:r>
        <w:t xml:space="preserve">2.6. Ridge</w:t>
      </w:r>
      <w:r>
        <w:tab/>
        <w:t>53</w:t>
      </w:r>
    </w:p>
    <w:p>
      <w:pPr>
        <w:tabs>
          <w:tab w:val="right" w:leader="dot" w:pos="9071"/>
        </w:tabs>
        <w:spacing w:after="40" w:line="300" w:lineRule="auto"/>
        <w:ind w:left="400" w:firstLine="0"/>
        <w:jc w:val="left"/>
      </w:pPr>
      <w:r>
        <w:t xml:space="preserve">2.7. Random Forest</w:t>
      </w:r>
      <w:r>
        <w:tab/>
        <w:t>56</w:t>
      </w:r>
    </w:p>
    <w:p>
      <w:pPr>
        <w:tabs>
          <w:tab w:val="right" w:leader="dot" w:pos="9071"/>
        </w:tabs>
        <w:spacing w:after="40" w:line="300" w:lineRule="auto"/>
        <w:ind w:left="400" w:firstLine="0"/>
        <w:jc w:val="left"/>
      </w:pPr>
      <w:r>
        <w:t xml:space="preserve">2.8. XGBoost</w:t>
      </w:r>
      <w:r>
        <w:tab/>
        <w:t>58</w:t>
      </w:r>
    </w:p>
    <w:p>
      <w:pPr>
        <w:tabs>
          <w:tab w:val="right" w:leader="dot" w:pos="9071"/>
        </w:tabs>
        <w:spacing w:after="40" w:line="300" w:lineRule="auto"/>
        <w:ind w:left="400" w:firstLine="0"/>
        <w:jc w:val="left"/>
      </w:pPr>
      <w:r>
        <w:t xml:space="preserve">2.9. LightGBM</w:t>
      </w:r>
      <w:r>
        <w:tab/>
        <w:t>61</w:t>
      </w:r>
    </w:p>
    <w:p>
      <w:pPr>
        <w:tabs>
          <w:tab w:val="right" w:leader="dot" w:pos="9071"/>
        </w:tabs>
        <w:spacing w:after="40" w:line="300" w:lineRule="auto"/>
        <w:ind w:left="400" w:firstLine="0"/>
        <w:jc w:val="left"/>
      </w:pPr>
      <w:r>
        <w:t xml:space="preserve">2.10. MAE và RMSE</w:t>
      </w:r>
      <w:r>
        <w:tab/>
        <w:t>65</w:t>
      </w:r>
    </w:p>
    <w:p>
      <w:pPr>
        <w:tabs>
          <w:tab w:val="right" w:leader="dot" w:pos="9071"/>
        </w:tabs>
        <w:spacing w:after="40" w:line="300" w:lineRule="auto"/>
        <w:ind w:left="400" w:firstLine="0"/>
        <w:jc w:val="left"/>
      </w:pPr>
      <w:r>
        <w:t xml:space="preserve">2.11. WAPE, sMAPE và RMSLE</w:t>
      </w:r>
      <w:r>
        <w:tab/>
        <w:t>66</w:t>
      </w:r>
    </w:p>
    <w:p>
      <w:pPr>
        <w:tabs>
          <w:tab w:val="right" w:leader="dot" w:pos="9071"/>
        </w:tabs>
        <w:spacing w:after="40" w:line="300" w:lineRule="auto"/>
        <w:ind w:left="400" w:firstLine="0"/>
        <w:jc w:val="left"/>
      </w:pPr>
      <w:r>
        <w:t xml:space="preserve">2.12. Dự báo xác suất và phân vị</w:t>
      </w:r>
      <w:r>
        <w:tab/>
        <w:t>69</w:t>
      </w:r>
    </w:p>
    <w:p>
      <w:pPr>
        <w:tabs>
          <w:tab w:val="right" w:leader="dot" w:pos="9071"/>
        </w:tabs>
        <w:spacing w:after="40" w:line="300" w:lineRule="auto"/>
        <w:ind w:left="400" w:firstLine="0"/>
        <w:jc w:val="left"/>
      </w:pPr>
      <w:r>
        <w:t xml:space="preserve">2.13. Các kịch bản khuyến mãi</w:t>
      </w:r>
      <w:r>
        <w:tab/>
        <w:t>74</w:t>
      </w:r>
    </w:p>
    <w:p>
      <w:pPr>
        <w:tabs>
          <w:tab w:val="right" w:leader="dot" w:pos="9071"/>
        </w:tabs>
        <w:spacing w:after="40" w:line="300" w:lineRule="auto"/>
        <w:ind w:left="400" w:firstLine="0"/>
        <w:jc w:val="left"/>
      </w:pPr>
      <w:r>
        <w:t xml:space="preserve">2.14. Hỗ trợ quyết định tồn kho</w:t>
      </w:r>
      <w:r>
        <w:tab/>
        <w:t>76</w:t>
      </w:r>
    </w:p>
    <w:p>
      <w:pPr>
        <w:tabs>
          <w:tab w:val="right" w:leader="dot" w:pos="9071"/>
        </w:tabs>
        <w:spacing w:after="40" w:line="300" w:lineRule="auto"/>
        <w:ind w:left="400" w:firstLine="0"/>
        <w:jc w:val="left"/>
      </w:pPr>
      <w:r>
        <w:t xml:space="preserve">2.15. RAG, Generative AI và HITL</w:t>
      </w:r>
      <w:r>
        <w:tab/>
        <w:t>79</w:t>
      </w:r>
    </w:p>
    <w:p>
      <w:pPr>
        <w:tabs>
          <w:tab w:val="right" w:leader="dot" w:pos="9071"/>
        </w:tabs>
        <w:spacing w:after="40" w:line="300" w:lineRule="auto"/>
        <w:ind w:left="400" w:firstLine="0"/>
        <w:jc w:val="left"/>
      </w:pPr>
      <w:r>
        <w:t xml:space="preserve">2.16. Tổng quan các nghiên cứu liên quan</w:t>
      </w:r>
      <w:r>
        <w:tab/>
        <w:t>83</w:t>
      </w:r>
    </w:p>
    <w:p>
      <w:pPr>
        <w:tabs>
          <w:tab w:val="right" w:leader="dot" w:pos="9071"/>
        </w:tabs>
        <w:spacing w:after="40" w:line="300" w:lineRule="auto"/>
        <w:ind w:left="400" w:firstLine="0"/>
        <w:jc w:val="left"/>
      </w:pPr>
      <w:r>
        <w:t xml:space="preserve">2.17. Khoảng trống nghiên cứu và khung phân tích của luận văn</w:t>
      </w:r>
      <w:r>
        <w:tab/>
        <w:t>90</w:t>
      </w:r>
    </w:p>
    <w:p>
      <w:pPr>
        <w:tabs>
          <w:tab w:val="right" w:leader="dot" w:pos="9071"/>
        </w:tabs>
        <w:spacing w:after="40" w:line="300" w:lineRule="auto"/>
        <w:ind w:left="400" w:firstLine="0"/>
        <w:jc w:val="left"/>
      </w:pPr>
      <w:r>
        <w:t xml:space="preserve">2.18. Tiểu kết Chương 2</w:t>
      </w:r>
      <w:r>
        <w:tab/>
        <w:t>96</w:t>
      </w:r>
    </w:p>
    <w:p>
      <w:pPr>
        <w:tabs>
          <w:tab w:val="right" w:leader="dot" w:pos="9071"/>
        </w:tabs>
        <w:spacing w:after="40" w:line="300" w:lineRule="auto"/>
        <w:ind w:left="0" w:firstLine="0"/>
        <w:jc w:val="left"/>
      </w:pPr>
      <w:r>
        <w:rPr>
          <w:b/>
        </w:rPr>
        <w:t xml:space="preserve">CHƯƠNG 3. DỮ LIỆU, PHƯƠNG PHÁP LUẬN VÀ QUY TRÌNH THỰC NGHIỆM</w:t>
      </w:r>
      <w:r>
        <w:rPr>
          <w:b/>
        </w:rPr>
        <w:tab/>
        <w:t>98</w:t>
      </w:r>
    </w:p>
    <w:p>
      <w:pPr>
        <w:tabs>
          <w:tab w:val="right" w:leader="dot" w:pos="9071"/>
        </w:tabs>
        <w:spacing w:after="40" w:line="300" w:lineRule="auto"/>
        <w:ind w:left="400" w:firstLine="0"/>
        <w:jc w:val="left"/>
      </w:pPr>
      <w:r>
        <w:t xml:space="preserve">3.1. Thiết kế nghiên cứu</w:t>
      </w:r>
      <w:r>
        <w:tab/>
        <w:t>98</w:t>
      </w:r>
    </w:p>
    <w:p>
      <w:pPr>
        <w:tabs>
          <w:tab w:val="right" w:leader="dot" w:pos="9071"/>
        </w:tabs>
        <w:spacing w:after="40" w:line="300" w:lineRule="auto"/>
        <w:ind w:left="400" w:firstLine="0"/>
        <w:jc w:val="left"/>
      </w:pPr>
      <w:r>
        <w:t xml:space="preserve">3.2. Dữ liệu và kiểm tra chất lượng</w:t>
      </w:r>
      <w:r>
        <w:tab/>
        <w:t>102</w:t>
      </w:r>
    </w:p>
    <w:p>
      <w:pPr>
        <w:tabs>
          <w:tab w:val="right" w:leader="dot" w:pos="9071"/>
        </w:tabs>
        <w:spacing w:after="40" w:line="300" w:lineRule="auto"/>
        <w:ind w:left="400" w:firstLine="0"/>
        <w:jc w:val="left"/>
      </w:pPr>
      <w:r>
        <w:t xml:space="preserve">3.3. Phân tích khám phá dữ liệu</w:t>
      </w:r>
      <w:r>
        <w:tab/>
        <w:t>105</w:t>
      </w:r>
    </w:p>
    <w:p>
      <w:pPr>
        <w:tabs>
          <w:tab w:val="right" w:leader="dot" w:pos="9071"/>
        </w:tabs>
        <w:spacing w:after="40" w:line="300" w:lineRule="auto"/>
        <w:ind w:left="400" w:firstLine="0"/>
        <w:jc w:val="left"/>
      </w:pPr>
      <w:r>
        <w:t xml:space="preserve">3.4. Phân rã Robust STL</w:t>
      </w:r>
      <w:r>
        <w:tab/>
        <w:t>109</w:t>
      </w:r>
    </w:p>
    <w:p>
      <w:pPr>
        <w:tabs>
          <w:tab w:val="right" w:leader="dot" w:pos="9071"/>
        </w:tabs>
        <w:spacing w:after="40" w:line="300" w:lineRule="auto"/>
        <w:ind w:left="400" w:firstLine="0"/>
        <w:jc w:val="left"/>
      </w:pPr>
      <w:r>
        <w:t xml:space="preserve">3.5. Thiết kế đặc trưng</w:t>
      </w:r>
      <w:r>
        <w:tab/>
        <w:t>112</w:t>
      </w:r>
    </w:p>
    <w:p>
      <w:pPr>
        <w:tabs>
          <w:tab w:val="right" w:leader="dot" w:pos="9071"/>
        </w:tabs>
        <w:spacing w:after="40" w:line="300" w:lineRule="auto"/>
        <w:ind w:left="400" w:firstLine="0"/>
        <w:jc w:val="left"/>
      </w:pPr>
      <w:r>
        <w:t xml:space="preserve">3.6. Kiểm soát rò rỉ dữ liệu</w:t>
      </w:r>
      <w:r>
        <w:tab/>
        <w:t>117</w:t>
      </w:r>
    </w:p>
    <w:p>
      <w:pPr>
        <w:tabs>
          <w:tab w:val="right" w:leader="dot" w:pos="9071"/>
        </w:tabs>
        <w:spacing w:after="40" w:line="300" w:lineRule="auto"/>
        <w:ind w:left="400" w:firstLine="0"/>
        <w:jc w:val="left"/>
      </w:pPr>
      <w:r>
        <w:t xml:space="preserve">3.7. Cấu hình năm mô hình</w:t>
      </w:r>
      <w:r>
        <w:tab/>
        <w:t>120</w:t>
      </w:r>
    </w:p>
    <w:p>
      <w:pPr>
        <w:tabs>
          <w:tab w:val="right" w:leader="dot" w:pos="9071"/>
        </w:tabs>
        <w:spacing w:after="40" w:line="300" w:lineRule="auto"/>
        <w:ind w:left="400" w:firstLine="0"/>
        <w:jc w:val="left"/>
      </w:pPr>
      <w:r>
        <w:t xml:space="preserve">3.8. Kiểm định chéo cuốn chiếu theo thời gian</w:t>
      </w:r>
      <w:r>
        <w:tab/>
        <w:t>124</w:t>
      </w:r>
    </w:p>
    <w:p>
      <w:pPr>
        <w:tabs>
          <w:tab w:val="right" w:leader="dot" w:pos="9071"/>
        </w:tabs>
        <w:spacing w:after="40" w:line="300" w:lineRule="auto"/>
        <w:ind w:left="400" w:firstLine="0"/>
        <w:jc w:val="left"/>
      </w:pPr>
      <w:r>
        <w:t xml:space="preserve">3.9. Tập kiểm tra cuối</w:t>
      </w:r>
      <w:r>
        <w:tab/>
        <w:t>128</w:t>
      </w:r>
    </w:p>
    <w:p>
      <w:pPr>
        <w:tabs>
          <w:tab w:val="right" w:leader="dot" w:pos="9071"/>
        </w:tabs>
        <w:spacing w:after="40" w:line="300" w:lineRule="auto"/>
        <w:ind w:left="400" w:firstLine="0"/>
        <w:jc w:val="left"/>
      </w:pPr>
      <w:r>
        <w:t xml:space="preserve">3.10. Dự báo xác suất bằng Mondrian split-conformal</w:t>
      </w:r>
      <w:r>
        <w:tab/>
        <w:t>130</w:t>
      </w:r>
    </w:p>
    <w:p>
      <w:pPr>
        <w:tabs>
          <w:tab w:val="right" w:leader="dot" w:pos="9071"/>
        </w:tabs>
        <w:spacing w:after="40" w:line="300" w:lineRule="auto"/>
        <w:ind w:left="400" w:firstLine="0"/>
        <w:jc w:val="left"/>
      </w:pPr>
      <w:r>
        <w:t xml:space="preserve">3.11. Kịch bản khuyến mãi có điều kiện</w:t>
      </w:r>
      <w:r>
        <w:tab/>
        <w:t>135</w:t>
      </w:r>
    </w:p>
    <w:p>
      <w:pPr>
        <w:tabs>
          <w:tab w:val="right" w:leader="dot" w:pos="9071"/>
        </w:tabs>
        <w:spacing w:after="40" w:line="300" w:lineRule="auto"/>
        <w:ind w:left="400" w:firstLine="0"/>
        <w:jc w:val="left"/>
      </w:pPr>
      <w:r>
        <w:t xml:space="preserve">3.12. Hỗ trợ quyết định tồn kho và quy tắc nhãn rủi ro</w:t>
      </w:r>
      <w:r>
        <w:tab/>
        <w:t>138</w:t>
      </w:r>
    </w:p>
    <w:p>
      <w:pPr>
        <w:tabs>
          <w:tab w:val="right" w:leader="dot" w:pos="9071"/>
        </w:tabs>
        <w:spacing w:after="40" w:line="300" w:lineRule="auto"/>
        <w:ind w:left="400" w:firstLine="0"/>
        <w:jc w:val="left"/>
      </w:pPr>
      <w:r>
        <w:t xml:space="preserve">3.13. Lớp Generative AI, RAG, HITL và dashboard</w:t>
      </w:r>
      <w:r>
        <w:tab/>
        <w:t>141</w:t>
      </w:r>
    </w:p>
    <w:p>
      <w:pPr>
        <w:tabs>
          <w:tab w:val="right" w:leader="dot" w:pos="9071"/>
        </w:tabs>
        <w:spacing w:after="40" w:line="300" w:lineRule="auto"/>
        <w:ind w:left="400" w:firstLine="0"/>
        <w:jc w:val="left"/>
      </w:pPr>
      <w:r>
        <w:t xml:space="preserve">3.14. Tái lập và kiểm thử quy trình</w:t>
      </w:r>
      <w:r>
        <w:tab/>
        <w:t>148</w:t>
      </w:r>
    </w:p>
    <w:p>
      <w:pPr>
        <w:tabs>
          <w:tab w:val="right" w:leader="dot" w:pos="9071"/>
        </w:tabs>
        <w:spacing w:after="40" w:line="300" w:lineRule="auto"/>
        <w:ind w:left="400" w:firstLine="0"/>
        <w:jc w:val="left"/>
      </w:pPr>
      <w:r>
        <w:t xml:space="preserve">3.15. Tiểu kết Chương 3</w:t>
      </w:r>
      <w:r>
        <w:tab/>
        <w:t>153</w:t>
      </w:r>
    </w:p>
    <w:p>
      <w:pPr>
        <w:tabs>
          <w:tab w:val="right" w:leader="dot" w:pos="9071"/>
        </w:tabs>
        <w:spacing w:after="40" w:line="300" w:lineRule="auto"/>
        <w:ind w:left="0" w:firstLine="0"/>
        <w:jc w:val="left"/>
      </w:pPr>
      <w:r>
        <w:rPr>
          <w:b/>
        </w:rPr>
        <w:t xml:space="preserve">CHƯƠNG 4. KẾT QUẢ THỰC NGHIỆM VÀ PHÂN TÍCH</w:t>
      </w:r>
      <w:r>
        <w:rPr>
          <w:b/>
        </w:rPr>
        <w:tab/>
        <w:t>155</w:t>
      </w:r>
    </w:p>
    <w:p>
      <w:pPr>
        <w:tabs>
          <w:tab w:val="right" w:leader="dot" w:pos="9071"/>
        </w:tabs>
        <w:spacing w:after="40" w:line="300" w:lineRule="auto"/>
        <w:ind w:left="400" w:firstLine="0"/>
        <w:jc w:val="left"/>
      </w:pPr>
      <w:r>
        <w:t xml:space="preserve">4.1. Tổng quan kết quả</w:t>
      </w:r>
      <w:r>
        <w:tab/>
        <w:t>155</w:t>
      </w:r>
    </w:p>
    <w:p>
      <w:pPr>
        <w:tabs>
          <w:tab w:val="right" w:leader="dot" w:pos="9071"/>
        </w:tabs>
        <w:spacing w:after="40" w:line="300" w:lineRule="auto"/>
        <w:ind w:left="400" w:firstLine="0"/>
        <w:jc w:val="left"/>
      </w:pPr>
      <w:r>
        <w:t xml:space="preserve">4.2. Xếp hạng mô hình qua kiểm định chéo cuốn chiếu</w:t>
      </w:r>
      <w:r>
        <w:tab/>
        <w:t>158</w:t>
      </w:r>
    </w:p>
    <w:p>
      <w:pPr>
        <w:tabs>
          <w:tab w:val="right" w:leader="dot" w:pos="9071"/>
        </w:tabs>
        <w:spacing w:after="40" w:line="300" w:lineRule="auto"/>
        <w:ind w:left="400" w:firstLine="0"/>
        <w:jc w:val="left"/>
      </w:pPr>
      <w:r>
        <w:t xml:space="preserve">4.3. Độ ổn định giữa các lần kiểm định</w:t>
      </w:r>
      <w:r>
        <w:tab/>
        <w:t>163</w:t>
      </w:r>
    </w:p>
    <w:p>
      <w:pPr>
        <w:tabs>
          <w:tab w:val="right" w:leader="dot" w:pos="9071"/>
        </w:tabs>
        <w:spacing w:after="40" w:line="300" w:lineRule="auto"/>
        <w:ind w:left="400" w:firstLine="0"/>
        <w:jc w:val="left"/>
      </w:pPr>
      <w:r>
        <w:t xml:space="preserve">4.4. Kết quả trên tập kiểm tra cuối</w:t>
      </w:r>
      <w:r>
        <w:tab/>
        <w:t>167</w:t>
      </w:r>
    </w:p>
    <w:p>
      <w:pPr>
        <w:tabs>
          <w:tab w:val="right" w:leader="dot" w:pos="9071"/>
        </w:tabs>
        <w:spacing w:after="40" w:line="300" w:lineRule="auto"/>
        <w:ind w:left="400" w:firstLine="0"/>
        <w:jc w:val="left"/>
      </w:pPr>
      <w:r>
        <w:t xml:space="preserve">4.5. Đặc điểm kết quả theo từng họ mô hình</w:t>
      </w:r>
      <w:r>
        <w:tab/>
        <w:t>171</w:t>
      </w:r>
    </w:p>
    <w:p>
      <w:pPr>
        <w:tabs>
          <w:tab w:val="right" w:leader="dot" w:pos="9071"/>
        </w:tabs>
        <w:spacing w:after="40" w:line="300" w:lineRule="auto"/>
        <w:ind w:left="400" w:firstLine="0"/>
        <w:jc w:val="left"/>
      </w:pPr>
      <w:r>
        <w:t xml:space="preserve">4.6. Diễn biến theo ngày và chẩn đoán phần dư trên tập kiểm tra cuối</w:t>
      </w:r>
      <w:r>
        <w:tab/>
        <w:t>176</w:t>
      </w:r>
    </w:p>
    <w:p>
      <w:pPr>
        <w:tabs>
          <w:tab w:val="right" w:leader="dot" w:pos="9071"/>
        </w:tabs>
        <w:spacing w:after="40" w:line="300" w:lineRule="auto"/>
        <w:ind w:left="400" w:firstLine="0"/>
        <w:jc w:val="left"/>
      </w:pPr>
      <w:r>
        <w:t xml:space="preserve">4.7. Phân rã sai số theo mức nhu cầu, cửa hàng và nhóm sản phẩm</w:t>
      </w:r>
      <w:r>
        <w:tab/>
        <w:t>182</w:t>
      </w:r>
    </w:p>
    <w:p>
      <w:pPr>
        <w:tabs>
          <w:tab w:val="right" w:leader="dot" w:pos="9071"/>
        </w:tabs>
        <w:spacing w:after="40" w:line="300" w:lineRule="auto"/>
        <w:ind w:left="400" w:firstLine="0"/>
        <w:jc w:val="left"/>
      </w:pPr>
      <w:r>
        <w:t xml:space="preserve">4.8. Mức độ quan trọng của đặc trưng</w:t>
      </w:r>
      <w:r>
        <w:tab/>
        <w:t>192</w:t>
      </w:r>
    </w:p>
    <w:p>
      <w:pPr>
        <w:tabs>
          <w:tab w:val="right" w:leader="dot" w:pos="9071"/>
        </w:tabs>
        <w:spacing w:after="40" w:line="300" w:lineRule="auto"/>
        <w:ind w:left="400" w:firstLine="0"/>
        <w:jc w:val="left"/>
      </w:pPr>
      <w:r>
        <w:t xml:space="preserve">4.9. Kết quả dự báo xác suất P10/P50/P90</w:t>
      </w:r>
      <w:r>
        <w:tab/>
        <w:t>197</w:t>
      </w:r>
    </w:p>
    <w:p>
      <w:pPr>
        <w:tabs>
          <w:tab w:val="right" w:leader="dot" w:pos="9071"/>
        </w:tabs>
        <w:spacing w:after="40" w:line="300" w:lineRule="auto"/>
        <w:ind w:left="400" w:firstLine="0"/>
        <w:jc w:val="left"/>
      </w:pPr>
      <w:r>
        <w:t xml:space="preserve">4.10. Kịch bản khuyến mãi có điều kiện</w:t>
      </w:r>
      <w:r>
        <w:tab/>
        <w:t>207</w:t>
      </w:r>
    </w:p>
    <w:p>
      <w:pPr>
        <w:tabs>
          <w:tab w:val="right" w:leader="dot" w:pos="9071"/>
        </w:tabs>
        <w:spacing w:after="40" w:line="300" w:lineRule="auto"/>
        <w:ind w:left="400" w:firstLine="0"/>
        <w:jc w:val="left"/>
      </w:pPr>
      <w:r>
        <w:t xml:space="preserve">4.11. Hỗ trợ quyết định tồn kho và phân bố nhãn rủi ro</w:t>
      </w:r>
      <w:r>
        <w:tab/>
        <w:t>212</w:t>
      </w:r>
    </w:p>
    <w:p>
      <w:pPr>
        <w:tabs>
          <w:tab w:val="right" w:leader="dot" w:pos="9071"/>
        </w:tabs>
        <w:spacing w:after="40" w:line="300" w:lineRule="auto"/>
        <w:ind w:left="400" w:firstLine="0"/>
        <w:jc w:val="left"/>
      </w:pPr>
      <w:r>
        <w:t xml:space="preserve">4.12. Lớp Generative AI, RAG và HITL trong lần chạy</w:t>
      </w:r>
      <w:r>
        <w:tab/>
        <w:t>219</w:t>
      </w:r>
    </w:p>
    <w:p>
      <w:pPr>
        <w:tabs>
          <w:tab w:val="right" w:leader="dot" w:pos="9071"/>
        </w:tabs>
        <w:spacing w:after="40" w:line="300" w:lineRule="auto"/>
        <w:ind w:left="400" w:firstLine="0"/>
        <w:jc w:val="left"/>
      </w:pPr>
      <w:r>
        <w:t xml:space="preserve">4.13. Phân tích bốn trường hợp đại diện</w:t>
      </w:r>
      <w:r>
        <w:tab/>
        <w:t>225</w:t>
      </w:r>
    </w:p>
    <w:p>
      <w:pPr>
        <w:tabs>
          <w:tab w:val="right" w:leader="dot" w:pos="9071"/>
        </w:tabs>
        <w:spacing w:after="40" w:line="300" w:lineRule="auto"/>
        <w:ind w:left="400" w:firstLine="0"/>
        <w:jc w:val="left"/>
      </w:pPr>
      <w:r>
        <w:t xml:space="preserve">4.14. Tổng hợp kết quả theo câu hỏi nghiên cứu</w:t>
      </w:r>
      <w:r>
        <w:tab/>
        <w:t>231</w:t>
      </w:r>
    </w:p>
    <w:p>
      <w:pPr>
        <w:tabs>
          <w:tab w:val="right" w:leader="dot" w:pos="9071"/>
        </w:tabs>
        <w:spacing w:after="40" w:line="300" w:lineRule="auto"/>
        <w:ind w:left="400" w:firstLine="0"/>
        <w:jc w:val="left"/>
      </w:pPr>
      <w:r>
        <w:t xml:space="preserve">4.15. Thí nghiệm độ nhạy của các lựa chọn thiết kế</w:t>
      </w:r>
      <w:r>
        <w:tab/>
        <w:t>234</w:t>
      </w:r>
    </w:p>
    <w:p>
      <w:pPr>
        <w:tabs>
          <w:tab w:val="right" w:leader="dot" w:pos="9071"/>
        </w:tabs>
        <w:spacing w:after="40" w:line="300" w:lineRule="auto"/>
        <w:ind w:left="400" w:firstLine="0"/>
        <w:jc w:val="left"/>
      </w:pPr>
      <w:r>
        <w:t xml:space="preserve">4.16. Tiểu kết Chương 4</w:t>
      </w:r>
      <w:r>
        <w:tab/>
        <w:t>238</w:t>
      </w:r>
    </w:p>
    <w:p>
      <w:pPr>
        <w:tabs>
          <w:tab w:val="right" w:leader="dot" w:pos="9071"/>
        </w:tabs>
        <w:spacing w:after="40" w:line="300" w:lineRule="auto"/>
        <w:ind w:left="0" w:firstLine="0"/>
        <w:jc w:val="left"/>
      </w:pPr>
      <w:r>
        <w:rPr>
          <w:b/>
        </w:rPr>
        <w:t xml:space="preserve">CHƯƠNG 5. THẢO LUẬN KẾT QUẢ, HÀM Ý QUẢN TRỊ VÀ HẠN CHẾ</w:t>
      </w:r>
      <w:r>
        <w:rPr>
          <w:b/>
        </w:rPr>
        <w:tab/>
        <w:t>240</w:t>
      </w:r>
    </w:p>
    <w:p>
      <w:pPr>
        <w:tabs>
          <w:tab w:val="right" w:leader="dot" w:pos="9071"/>
        </w:tabs>
        <w:spacing w:after="40" w:line="300" w:lineRule="auto"/>
        <w:ind w:left="400" w:firstLine="0"/>
        <w:jc w:val="left"/>
      </w:pPr>
      <w:r>
        <w:t xml:space="preserve">5.1. Mô hình cơ sở và bằng chứng về lợi ích của học máy</w:t>
      </w:r>
      <w:r>
        <w:tab/>
        <w:t>240</w:t>
      </w:r>
    </w:p>
    <w:p>
      <w:pPr>
        <w:tabs>
          <w:tab w:val="right" w:leader="dot" w:pos="9071"/>
        </w:tabs>
        <w:spacing w:after="40" w:line="300" w:lineRule="auto"/>
        <w:ind w:left="400" w:firstLine="0"/>
        <w:jc w:val="left"/>
      </w:pPr>
      <w:r>
        <w:t xml:space="preserve">5.2. XGBoost và LightGBM: lợi thế nhất quán nhưng nhỏ</w:t>
      </w:r>
      <w:r>
        <w:tab/>
        <w:t>244</w:t>
      </w:r>
    </w:p>
    <w:p>
      <w:pPr>
        <w:tabs>
          <w:tab w:val="right" w:leader="dot" w:pos="9071"/>
        </w:tabs>
        <w:spacing w:after="40" w:line="300" w:lineRule="auto"/>
        <w:ind w:left="400" w:firstLine="0"/>
        <w:jc w:val="left"/>
      </w:pPr>
      <w:r>
        <w:t xml:space="preserve">5.3. Khoảng dự báo Mondrian: thích ứng theo quy mô nhưng bao phủ tổng vẫn dưới danh nghĩa</w:t>
      </w:r>
      <w:r>
        <w:tab/>
        <w:t>247</w:t>
      </w:r>
    </w:p>
    <w:p>
      <w:pPr>
        <w:tabs>
          <w:tab w:val="right" w:leader="dot" w:pos="9071"/>
        </w:tabs>
        <w:spacing w:after="40" w:line="300" w:lineRule="auto"/>
        <w:ind w:left="400" w:firstLine="0"/>
        <w:jc w:val="left"/>
      </w:pPr>
      <w:r>
        <w:t xml:space="preserve">5.4. Nhãn rủi ro tồn kho như chỉ báo bất định tương đối</w:t>
      </w:r>
      <w:r>
        <w:tab/>
        <w:t>250</w:t>
      </w:r>
    </w:p>
    <w:p>
      <w:pPr>
        <w:tabs>
          <w:tab w:val="right" w:leader="dot" w:pos="9071"/>
        </w:tabs>
        <w:spacing w:after="40" w:line="300" w:lineRule="auto"/>
        <w:ind w:left="400" w:firstLine="0"/>
        <w:jc w:val="left"/>
      </w:pPr>
      <w:r>
        <w:t xml:space="preserve">5.5. Kịch bản khuyến mãi: dự báo có điều kiện và vấn đề ngoại suy</w:t>
      </w:r>
      <w:r>
        <w:tab/>
        <w:t>253</w:t>
      </w:r>
    </w:p>
    <w:p>
      <w:pPr>
        <w:tabs>
          <w:tab w:val="right" w:leader="dot" w:pos="9071"/>
        </w:tabs>
        <w:spacing w:after="40" w:line="300" w:lineRule="auto"/>
        <w:ind w:left="400" w:firstLine="0"/>
        <w:jc w:val="left"/>
      </w:pPr>
      <w:r>
        <w:t xml:space="preserve">5.6. Lớp Generative AI, dashboard và cơ chế HITL</w:t>
      </w:r>
      <w:r>
        <w:tab/>
        <w:t>255</w:t>
      </w:r>
    </w:p>
    <w:p>
      <w:pPr>
        <w:tabs>
          <w:tab w:val="right" w:leader="dot" w:pos="9071"/>
        </w:tabs>
        <w:spacing w:after="40" w:line="300" w:lineRule="auto"/>
        <w:ind w:left="400" w:firstLine="0"/>
        <w:jc w:val="left"/>
      </w:pPr>
      <w:r>
        <w:t xml:space="preserve">5.7. Hàm ý quản trị cho bán lẻ và thương mại điện tử</w:t>
      </w:r>
      <w:r>
        <w:tab/>
        <w:t>258</w:t>
      </w:r>
    </w:p>
    <w:p>
      <w:pPr>
        <w:tabs>
          <w:tab w:val="right" w:leader="dot" w:pos="9071"/>
        </w:tabs>
        <w:spacing w:after="40" w:line="300" w:lineRule="auto"/>
        <w:ind w:left="400" w:firstLine="0"/>
        <w:jc w:val="left"/>
      </w:pPr>
      <w:r>
        <w:t xml:space="preserve">5.8. Hạn chế của nghiên cứu</w:t>
      </w:r>
      <w:r>
        <w:tab/>
        <w:t>261</w:t>
      </w:r>
    </w:p>
    <w:p>
      <w:pPr>
        <w:tabs>
          <w:tab w:val="right" w:leader="dot" w:pos="9071"/>
        </w:tabs>
        <w:spacing w:after="40" w:line="300" w:lineRule="auto"/>
        <w:ind w:left="400" w:firstLine="0"/>
        <w:jc w:val="left"/>
      </w:pPr>
      <w:r>
        <w:t xml:space="preserve">5.9. Tiểu kết Chương 5</w:t>
      </w:r>
      <w:r>
        <w:tab/>
        <w:t>264</w:t>
      </w:r>
    </w:p>
    <w:p>
      <w:pPr>
        <w:tabs>
          <w:tab w:val="right" w:leader="dot" w:pos="9071"/>
        </w:tabs>
        <w:spacing w:after="40" w:line="300" w:lineRule="auto"/>
        <w:ind w:left="0" w:firstLine="0"/>
        <w:jc w:val="left"/>
      </w:pPr>
      <w:r>
        <w:rPr>
          <w:b/>
        </w:rPr>
        <w:t xml:space="preserve">CHƯƠNG 6. KẾT LUẬN VÀ KIẾN NGHỊ</w:t>
      </w:r>
      <w:r>
        <w:rPr>
          <w:b/>
        </w:rPr>
        <w:tab/>
        <w:t>265</w:t>
      </w:r>
    </w:p>
    <w:p>
      <w:pPr>
        <w:tabs>
          <w:tab w:val="right" w:leader="dot" w:pos="9071"/>
        </w:tabs>
        <w:spacing w:after="40" w:line="300" w:lineRule="auto"/>
        <w:ind w:left="400" w:firstLine="0"/>
        <w:jc w:val="left"/>
      </w:pPr>
      <w:r>
        <w:t xml:space="preserve">6.1. Kết luận tổng quát</w:t>
      </w:r>
      <w:r>
        <w:tab/>
        <w:t>265</w:t>
      </w:r>
    </w:p>
    <w:p>
      <w:pPr>
        <w:tabs>
          <w:tab w:val="right" w:leader="dot" w:pos="9071"/>
        </w:tabs>
        <w:spacing w:after="40" w:line="300" w:lineRule="auto"/>
        <w:ind w:left="400" w:firstLine="0"/>
        <w:jc w:val="left"/>
      </w:pPr>
      <w:r>
        <w:t xml:space="preserve">6.2. Trả lời các câu hỏi nghiên cứu</w:t>
      </w:r>
      <w:r>
        <w:tab/>
        <w:t>267</w:t>
      </w:r>
    </w:p>
    <w:p>
      <w:pPr>
        <w:tabs>
          <w:tab w:val="right" w:leader="dot" w:pos="9071"/>
        </w:tabs>
        <w:spacing w:after="40" w:line="300" w:lineRule="auto"/>
        <w:ind w:left="400" w:firstLine="0"/>
        <w:jc w:val="left"/>
      </w:pPr>
      <w:r>
        <w:t xml:space="preserve">6.3. Kiến nghị và hướng nghiên cứu tiếp theo</w:t>
      </w:r>
      <w:r>
        <w:tab/>
        <w:t>272</w:t>
      </w:r>
    </w:p>
    <w:p>
      <w:pPr>
        <w:tabs>
          <w:tab w:val="right" w:leader="dot" w:pos="9071"/>
        </w:tabs>
        <w:spacing w:after="40" w:line="300" w:lineRule="auto"/>
        <w:ind w:left="400" w:firstLine="0"/>
        <w:jc w:val="left"/>
      </w:pPr>
      <w:r>
        <w:t xml:space="preserve">6.4. Kết luận cuối</w:t>
      </w:r>
      <w:r>
        <w:tab/>
        <w:t>277</w:t>
      </w:r>
    </w:p>
    <w:p>
      <w:pPr>
        <w:tabs>
          <w:tab w:val="right" w:leader="dot" w:pos="9071"/>
        </w:tabs>
        <w:spacing w:after="40" w:line="300" w:lineRule="auto"/>
        <w:ind w:left="0" w:firstLine="0"/>
        <w:jc w:val="left"/>
      </w:pPr>
      <w:r>
        <w:rPr>
          <w:b/>
        </w:rPr>
        <w:t xml:space="preserve">TÀI LIỆU THAM KHẢO</w:t>
      </w:r>
      <w:r>
        <w:rPr>
          <w:b/>
        </w:rPr>
        <w:tab/>
        <w:t>279</w:t>
      </w:r>
    </w:p>
    <w:p>
      <w:pPr>
        <w:tabs>
          <w:tab w:val="right" w:leader="dot" w:pos="9071"/>
        </w:tabs>
        <w:spacing w:after="40" w:line="300" w:lineRule="auto"/>
        <w:ind w:left="0" w:firstLine="0"/>
        <w:jc w:val="left"/>
      </w:pPr>
      <w:r>
        <w:rPr>
          <w:b/>
        </w:rPr>
        <w:t xml:space="preserve">PHỤ LỤC A. KẾT QUẢ CHI TIẾT THEO CỬA HÀNG</w:t>
      </w:r>
      <w:r>
        <w:rPr>
          <w:b/>
        </w:rPr>
        <w:tab/>
        <w:t>284</w:t>
      </w:r>
    </w:p>
    <w:p>
      <w:pPr>
        <w:tabs>
          <w:tab w:val="right" w:leader="dot" w:pos="9071"/>
        </w:tabs>
        <w:spacing w:after="40" w:line="300" w:lineRule="auto"/>
        <w:ind w:left="0" w:firstLine="0"/>
        <w:jc w:val="left"/>
      </w:pPr>
      <w:r>
        <w:rPr>
          <w:b/>
        </w:rPr>
        <w:t xml:space="preserve">PHỤ LỤC B. KẾT QUẢ CHI TIẾT THEO NHÓM SẢN PHẨM</w:t>
      </w:r>
      <w:r>
        <w:rPr>
          <w:b/>
        </w:rPr>
        <w:tab/>
        <w:t>335</w:t>
      </w:r>
    </w:p>
    <w:p>
      <w:pPr>
        <w:tabs>
          <w:tab w:val="right" w:leader="dot" w:pos="9071"/>
        </w:tabs>
        <w:spacing w:after="40" w:line="300" w:lineRule="auto"/>
        <w:ind w:left="0" w:firstLine="0"/>
        <w:jc w:val="left"/>
      </w:pPr>
      <w:r>
        <w:rPr>
          <w:b/>
        </w:rPr>
        <w:t xml:space="preserve">PHỤ LỤC C. PHIẾU KHUYẾN NGHỊ ƯU TIÊN CAO NHẤT CỦA STAGE 08</w:t>
      </w:r>
      <w:r>
        <w:rPr>
          <w:b/>
        </w:rPr>
        <w:tab/>
        <w:t>350</w:t>
      </w:r>
    </w:p>
    <w:p>
      <w:pPr>
        <w:tabs>
          <w:tab w:val="right" w:leader="dot" w:pos="9071"/>
        </w:tabs>
        <w:spacing w:after="40" w:line="300" w:lineRule="auto"/>
        <w:ind w:left="0" w:firstLine="0"/>
        <w:jc w:val="left"/>
      </w:pPr>
      <w:r>
        <w:rPr>
          <w:b/>
        </w:rPr>
        <w:t xml:space="preserve">PHỤ LỤC D. CẤU HÌNH, TỆP KẾT QUẢ VÀ NGUYÊN TẮC DIỄN GIẢI</w:t>
      </w:r>
      <w:r>
        <w:rPr>
          <w:b/>
        </w:rPr>
        <w:tab/>
        <w:t>357</w:t>
      </w:r>
    </w:p>
    <w:p>
      <w:pPr>
        <w:tabs>
          <w:tab w:val="right" w:leader="dot" w:pos="9071"/>
        </w:tabs>
        <w:spacing w:after="40" w:line="300" w:lineRule="auto"/>
        <w:ind w:left="0" w:firstLine="0"/>
        <w:jc w:val="left"/>
      </w:pPr>
      <w:r>
        <w:rPr>
          <w:b/>
        </w:rPr>
        <w:t xml:space="preserve">PHỤ LỤC E. THÍ NGHIỆM ĐỘ NHẠY VÀ KIỂM THỬ</w:t>
      </w:r>
      <w:r>
        <w:rPr>
          <w:b/>
        </w:rPr>
        <w:tab/>
        <w:t>361</w:t>
      </w:r>
      <w:r>
        <w:fldChar w:fldCharType="end"/>
      </w:r>
    </w:p>
    <w:p>
      <w:pPr>
        <w:pStyle w:val="Heading1"/>
        <w:pageBreakBefore/>
      </w:pPr>
      <w:r>
        <w:t xml:space="preserve">CHƯƠNG 1. GIỚI THIỆU NGHIÊN CỨU</w:t>
      </w:r>
    </w:p>
    <w:p>
      <w:pPr>
        <w:keepLines w:val="0"/>
        <w:spacing w:after="120"/>
        <w:ind w:firstLine="567"/>
      </w:pPr>
      <w:r>
        <w:t xml:space="preserve">Chương 1 xác định bài toán mà luận văn hướng tới và những ranh giới mà các kết luận phải tuân thủ. Chương lần lượt trình bày bối cảnh hình thành đề tài, ba vấn đề phương pháp luận cốt lõi, mục tiêu, năm câu hỏi nghiên cứu, phạm vi dữ liệu và ứng dụng, phương pháp tiếp cận tổng quát, các đóng góp và cấu trúc của những chương tiếp theo. Tư tưởng xuyên suốt là coi dự báo nhu cầu như mắt xích đầu tiên của chuỗi dữ liệu – dự báo – bất định – quyết định – diễn giải. Mọi kết quả được nêu trong luận văn là kết quả của một lần chạy chính thức duy nhất, trong đó toàn bộ quy trình được thực hiện tuần tự từ tệp dữ liệu gốc train.csv.</w:t>
      </w:r>
    </w:p>
    <w:p>
      <w:pPr>
        <w:pStyle w:val="Heading2"/>
        <w:keepNext/>
      </w:pPr>
      <w:r>
        <w:t xml:space="preserve">1.1. Bối cảnh nghiên cứu</w:t>
      </w:r>
    </w:p>
    <w:p>
      <w:pPr>
        <w:pStyle w:val="Heading3"/>
        <w:keepNext/>
      </w:pPr>
      <w:r>
        <w:t xml:space="preserve">1.1.1. Nhu cầu bán lẻ đa điểm và yêu cầu dự báo ở cấp chi tiết</w:t>
      </w:r>
    </w:p>
    <w:p>
      <w:pPr>
        <w:keepLines w:val="0"/>
        <w:spacing w:after="120"/>
        <w:ind w:firstLine="567"/>
      </w:pPr>
      <w:r>
        <w:t xml:space="preserve">Hoạt động bán lẻ quy mô lớn không tạo ra một chuỗi nhu cầu duy nhất mà đồng thời sinh ra rất nhiều chuỗi nhu cầu theo cửa hàng và nhóm sản phẩm. Dự báo tổng hợp cho toàn hệ thống không đủ để hỗ trợ vận hành, bởi quyết định bổ sung hàng hay khuyến mãi được đưa ra ở cấp chi tiết hơn. Tổng quan của Fildes và cộng sự (2022) nhấn mạnh rằng dự báo bán lẻ cần được xem xét ở nhiều cấp, tính đến khuyến mãi và cầu gián đoạn, và gắn với quyết định tồn kho thay vì chỉ dừng ở độ chính xác của một con số tổng. Bộ dữ liệu Corporación Favorita, công bố trong cuộc thi Store Sales – Time Series Forecasting (Kaggle, n.d.), là một trường hợp điển hình: 3.000.888 quan sát của 54 cửa hàng và 33 nhóm sản phẩm tạo thành 1.782 chuỗi, tức mọi nhóm đều hiện diện ở mọi cửa hàng.</w:t>
      </w:r>
    </w:p>
    <w:p>
      <w:pPr>
        <w:keepLines w:val="0"/>
        <w:spacing w:after="120"/>
        <w:ind w:firstLine="567"/>
      </w:pPr>
      <w:r>
        <w:t xml:space="preserve">Thay vì duy trì hàng nghìn mô hình cục bộ, mô hình toàn cục (global model) có thể khai thác thông tin chéo giữa các chuỗi (Montero-Manso và Hyndman, 2021); kết quả cuộc thi M5 cũng cho thấy ưu thế của các phương pháp toàn cục dựa trên cây tăng cường (Makridakis và cộng sự, 2022a). Cấu trúc dữ liệu còn đặt ra khó khăn riêng: 31,30% số dòng có doanh số bằng 0 và 20,37% số dòng có onpromotion lớn hơn 0. Tỷ lệ số không cao là dấu hiệu của nhu cầu gián đoạn (intermittent demand) (Croston, 1972), thường được phân loại theo tần suất phát sinh và mức biến thiên của lượng cầu (Syntetos và cộng sự, 2005). Đặc điểm này làm các thước đo phần trăm trên từng quan sát kém ổn định khi giá trị thực tế gần 0 (Hyndman và Koehler, 2006).</w:t>
      </w:r>
    </w:p>
    <w:p>
      <w:pPr>
        <w:pStyle w:val="Heading3"/>
        <w:keepNext/>
      </w:pPr>
      <w:r>
        <w:t xml:space="preserve">1.1.2. Từ độ chính xác dự báo đến quyết định có kiểm soát</w:t>
      </w:r>
    </w:p>
    <w:p>
      <w:pPr>
        <w:keepLines w:val="0"/>
        <w:spacing w:after="120"/>
        <w:ind w:firstLine="567"/>
      </w:pPr>
      <w:r>
        <w:t xml:space="preserve">Từ góc độ quản trị, độ chính xác của dự báo điểm chỉ giải quyết một phần bài toán. Hai chuỗi có cùng dự báo trung vị có thể cần xử lý khác nhau nếu độ bất định của chúng khác nhau. Việc cuộc thi M5 dành riêng một nhánh cho dự báo phân vị (Makridakis và cộng sự, 2022b) cho thấy thông tin bất định đã là thành phần chính danh của dự báo bán lẻ. Vì vậy, nghiên cứu được thiết kế theo chuỗi từ dữ liệu đến quyết định: kiểm tra dữ liệu; xây dựng đặc trưng có tích hợp các nguồn bổ sung; so sánh năm mô hình Seasonal Naive, Ridge, Random Forest, XGBoost và LightGBM bằng kiểm định chéo cuốn chiếu theo thời gian; lượng hóa bất định bằng P10/P50/P90; rồi chuyển kết quả sang kịch bản khuyến mãi, tín hiệu rủi ro tồn kho, phiếu khuyến nghị cho từng chuỗi và lớp diễn giải có con người kiểm duyệt trong một dashboard.</w:t>
      </w:r>
    </w:p>
    <w:p>
      <w:pPr>
        <w:keepLines w:val="0"/>
        <w:spacing w:after="120"/>
        <w:ind w:firstLine="567"/>
      </w:pPr>
      <w:r>
        <w:t xml:space="preserve">Cách tiếp cận này hướng tới nhu cầu của nhà bán lẻ, kể cả doanh nghiệp đa kênh có hoạt động thương mại điện tử, nơi quyết định bổ sung hàng lặp lại liên tục. Ngoài câu hỏi “sẽ bán được bao nhiêu”, hệ thống cần trả lời “dự báo đáng tin đến đâu”, “chuỗi nào cần ưu tiên kiểm tra”, “khuyến mãi làm dự báo thay đổi ra sao” và “trường hợp nào cần người quản lý xem xét”. Giá trị ứng dụng vì thế nằm ở việc nối dự báo với quy trình ra quyết định có kiểm soát, đồng thời giữ rõ ranh giới giữa kết quả mô hình và thông tin vận hành mà dữ liệu không cung cấp.</w:t>
      </w:r>
    </w:p>
    <w:p>
      <w:pPr>
        <w:pStyle w:val="Heading2"/>
        <w:keepNext/>
      </w:pPr>
      <w:r>
        <w:t xml:space="preserve">1.2. Vấn đề nghiên cứu</w:t>
      </w:r>
    </w:p>
    <w:p>
      <w:pPr>
        <w:pStyle w:val="Heading3"/>
        <w:keepNext/>
      </w:pPr>
      <w:r>
        <w:t xml:space="preserve">1.2.1. Tính hợp lệ theo thời gian và kiểm soát rò rỉ thông tin</w:t>
      </w:r>
    </w:p>
    <w:p>
      <w:pPr>
        <w:keepLines w:val="0"/>
        <w:spacing w:after="120"/>
        <w:ind w:firstLine="567"/>
      </w:pPr>
      <w:r>
        <w:t xml:space="preserve">Vấn đề thứ nhất là bảo đảm tính hợp lệ theo thời gian. Nếu thông tin tương lai lọt vào đặc trưng hoặc quá trình chọn mô hình, chỉ số đánh giá sẽ tốt một cách giả tạo. Rò rỉ dữ liệu (data leakage) đã được hình thức hóa (Kaufman và cộng sự, 2012) và là cạm bẫy phổ biến khi đánh giá dự báo (Hewamalage và cộng sự, 2023). Nghiên cứu xử lý rủi ro này bằng đánh giá ngoài mẫu theo gốc dự báo cuốn chiếu (Tashman, 2000) với ba lần kiểm định và cửa sổ huấn luyện mở rộng, còn 16 ngày cuối được giữ riêng làm tập kiểm tra cuối. Thống kê trượt được tính trên chuỗi đã dịch 16 ngày, lag_7 và lag_14 bị loại khỏi đầu vào của bốn mô hình học máy, và các biến bổ sung là thông tin tĩnh, lịch biết trước (cờ ngày lễ quốc gia) hoặc được làm trễ 16 ngày lịch.</w:t>
      </w:r>
    </w:p>
    <w:p>
      <w:pPr>
        <w:keepLines w:val="0"/>
        <w:spacing w:after="120"/>
        <w:ind w:firstLine="567"/>
      </w:pPr>
      <w:r>
        <w:t xml:space="preserve">Kiểm soát rò rỉ không chỉ là một nguyên tắc chung mà phải được cụ thể hóa trong từng lựa chọn thiết kế, kể cả ở mô hình cơ sở. Với kỳ dự báo 16 ngày, nếu Seasonal Naive dùng lag_7 cho mọi ngày thì các ngày 8–16 của mỗi cửa sổ sẽ lấy doanh số nằm trong chính kỳ dự báo, tức thông tin chưa có tại gốc dự báo, và mô hình cơ sở trở nên không khả thi trong vận hành. Vì vậy, Seasonal Naive được cố định tại gốc dự báo: ngày thứ h dùng doanh số cùng thứ trong tuần cuối cùng trước gốc, tức lag_7 với h = 1–7, lag_14 với h = 8–14 và lag_21 với h = 15–16. Tương tự, bốn ngày 25/12 không có dữ liệu vì cửa hàng đóng cửa; nếu dịch chuỗi theo dòng, quanh các ngày vắng này một bước dịch sẽ không tương ứng với một ngày lịch. Lịch ngày vì thế được hoàn thiện với cờ closed trước khi tính độ trễ và thống kê trượt. Cần lưu ý thêm rằng sMAPE và RMSLE thấp của Seasonal Naive không phải dấu hiệu dự báo tốt hơn, vì hai thước đo này ưu ái dự báo đúng giá trị 0 hoặc nhỏ.</w:t>
      </w:r>
    </w:p>
    <w:p>
      <w:pPr>
        <w:pStyle w:val="Heading3"/>
        <w:keepNext/>
      </w:pPr>
      <w:r>
        <w:t xml:space="preserve">1.2.2. Lựa chọn mô hình khi các mô hình mạnh cho kết quả sát nhau</w:t>
      </w:r>
    </w:p>
    <w:p>
      <w:pPr>
        <w:keepLines w:val="0"/>
        <w:spacing w:after="120"/>
        <w:ind w:firstLine="567"/>
      </w:pPr>
      <w:r>
        <w:t xml:space="preserve">Vấn đề thứ hai là lựa chọn mô hình khi hiệu quả thay đổi theo thời gian. Khi hai mô hình mạnh cho kết quả sát nhau, nguy cơ lớn nhất là chọn mô hình sau khi đã thấy kết quả thuận lợi. Trong lần chạy chính thức, XGBoost đạt WAPE trung bình 12,089% qua ba lần kiểm định chéo, thấp nhất trong năm mô hình, còn LightGBM đứng thứ hai với 12,568%. Quy tắc lựa chọn được xác định trước trong mã nguồn: ưu tiên WAPE trung bình thấp nhất, nếu hòa thì xét RMSE rồi MAE. Theo quy tắc đó, XGBoost được chọn trước khi tập kiểm tra cuối được dùng đến, và tập kiểm tra cuối không tham gia vào bước lựa chọn hay điều chỉnh nào. XGBoost cũng đứng đầu WAPE và có RMSE thấp nhất ở cả ba lần kiểm định.</w:t>
      </w:r>
    </w:p>
    <w:p>
      <w:pPr>
        <w:keepLines w:val="0"/>
        <w:spacing w:after="120"/>
        <w:ind w:firstLine="567"/>
      </w:pPr>
      <w:r>
        <w:t xml:space="preserve">Tuy vậy, khoảng cách 0,478 điểm % giữa XGBoost và LightGBM nhỏ hơn độ lệch chuẩn giữa các lần kiểm định của chính XGBoost (0,646 điểm %), và ba lần kiểm định không đủ để kiểm định ý nghĩa thống kê. Trên 16 ngày cuối, XGBoost đạt WAPE 14,327%, vẫn đứng đầu theo WAPE nhưng cao hơn mức trung bình kiểm định chéo 2,237 điểm %, trong khi LightGBM có RMSE thấp hơn rất ít (225,479 so với 225,602). Vấn đề nghiên cứu ở đây không phải là tìm “thuật toán tốt nhất” theo nghĩa tuyệt đối, mà là xây dựng một quy tắc lựa chọn minh bạch, có thể lặp lại, và diễn giải kết quả trong đúng giới hạn của thiết kế đánh giá.</w:t>
      </w:r>
    </w:p>
    <w:p>
      <w:pPr>
        <w:pStyle w:val="Heading3"/>
        <w:keepNext/>
      </w:pPr>
      <w:r>
        <w:t xml:space="preserve">1.2.3. Ranh giới giữa dự báo, nhân quả và quyết định</w:t>
      </w:r>
    </w:p>
    <w:p>
      <w:pPr>
        <w:keepLines w:val="0"/>
        <w:spacing w:after="120"/>
        <w:ind w:firstLine="567"/>
      </w:pPr>
      <w:r>
        <w:t xml:space="preserve">Vấn đề thứ ba là tránh diễn giải vượt quá bằng chứng. Biến onpromotion phản ánh số mặt hàng thuộc nhóm đang được khuyến mãi tại cửa hàng trong ngày (Kaggle, n.d.), không phải tỷ lệ giảm giá, và dữ liệu không có thiết kế nhân quả. Mô hình dự báo khác mô hình giải thích (Shmueli, 2010); khẳng định tác động của khuyến mãi cần điều kiện nhận diện theo khung kết quả tiềm năng (Imbens và Rubin, 2015) mà dữ liệu quan sát không đáp ứng. Các kịch bản giả định lại gán cùng một mức onpromotion cho mọi ngày, mọi chuỗi; trong lần chạy chính thức, 783 chuỗi (tính trên các chuỗi có P50 hiện tại lớn hơn 0) có P50 kịch bản High lệch hơn 100% so với hiện tại, tức là ngoại suy ngoài miền dữ liệu. Chênh lệch giữa các kịch bản vì thế chỉ là phản ứng có điều kiện của mô hình, không phải tác động nhân quả hay lợi tức đầu tư của khuyến mãi.</w:t>
      </w:r>
    </w:p>
    <w:p>
      <w:pPr>
        <w:keepLines w:val="0"/>
        <w:spacing w:after="120"/>
        <w:ind w:firstLine="567"/>
      </w:pPr>
      <w:r>
        <w:t xml:space="preserve">Tương tự, dữ liệu không có giá bán, biên lợi nhuận, tồn kho thực và thời gian cung ứng, nên lượng bổ sung gợi ý chỉ là kết quả mô phỏng dưới giả định chi phí và vị thế tồn kho giả định. Nhãn rủi ro tồn kho được xác định từ mức bất định tương đối r = (P90 − P10)/(P50 + 1) với ngưỡng 0,35 và 0,75, không phải từ so sánh tồn kho thực với mục tiêu; với ngưỡng cố định, nhãn vẫn gắn chặt với quy mô chuỗi (hệ số Spearman giữa P50 và r là −0,970). Với trí tuệ nhân tạo tạo sinh, mô hình ngôn ngữ có thể sinh nội dung không nhất quán với dữ kiện, tức hiện tượng ảo giác (hallucination) (Ji và cộng sự, 2023); vì vậy lớp Generative AI/RAG/HITL chỉ diễn giải bằng chứng đã có và giữ quyền phê duyệt ở con người.</w:t>
      </w:r>
    </w:p>
    <w:p>
      <w:pPr>
        <w:pStyle w:val="Heading2"/>
        <w:keepNext/>
      </w:pPr>
      <w:r>
        <w:t xml:space="preserve">1.3. Mục tiêu nghiên cứu</w:t>
      </w:r>
    </w:p>
    <w:p>
      <w:pPr>
        <w:pStyle w:val="Heading3"/>
        <w:keepNext/>
      </w:pPr>
      <w:r>
        <w:t xml:space="preserve">1.3.1. Mục tiêu tổng quát</w:t>
      </w:r>
    </w:p>
    <w:p>
      <w:pPr>
        <w:keepLines w:val="0"/>
        <w:spacing w:after="120"/>
        <w:ind w:firstLine="567"/>
      </w:pPr>
      <w:r>
        <w:t xml:space="preserve">Mục tiêu tổng quát của nghiên cứu là xây dựng và đánh giá một quy trình dự báo nhu cầu bán lẻ có khả năng chuyển kết quả dự báo thành thông tin hỗ trợ quyết định ở cấp cửa hàng × nhóm sản phẩm. Quy trình phải đồng thời đáp ứng ba yêu cầu: đánh giá mô hình đúng theo trật tự thời gian, lượng hóa được bất định của dự báo và giới hạn diễn giải trong phạm vi dữ liệu thực sự hỗ trợ. Ba yêu cầu này tương ứng trực tiếp với ba vấn đề nghiên cứu ở mục 1.2, nên mục tiêu có tiêu chí cụ thể để kiểm tra mức độ hoàn thành.</w:t>
      </w:r>
    </w:p>
    <w:p>
      <w:pPr>
        <w:keepLines w:val="0"/>
        <w:spacing w:after="120"/>
        <w:ind w:firstLine="567"/>
      </w:pPr>
      <w:r>
        <w:t xml:space="preserve">Mục tiêu tổng quát còn bao hàm yêu cầu minh bạch về chính quy trình. Một hệ thống hỗ trợ quyết định chỉ đáng tin khi người khác có thể chạy lại nó, kiểm tra từng bước và thấy rõ điểm yếu của nó. Vì vậy, quy trình được tổ chức thành các stage đánh số có đầu ra riêng, có thể sinh lại toàn bộ kết quả từ dữ liệu gốc bằng một lệnh chạy, và đi kèm các kiểm thử cho từng thành phần, từ quy trình dự báo đến dashboard và công cụ xuất dữ liệu. Hai lựa chọn thiết kế có ảnh hưởng trực tiếp đến kết quả so sánh mô hình, là quy mô dữ liệu huấn luyện của XGBoost và tham số subsample_freq của LightGBM, được đánh giá thêm bằng thí nghiệm độ nhạy trên cùng ba lần kiểm định. Các giới hạn của thiết kế được nêu rõ cùng mức ảnh hưởng, để người đọc phân biệt phần kết luận đã vững với phần còn phụ thuộc giả định.</w:t>
      </w:r>
    </w:p>
    <w:p>
      <w:pPr>
        <w:pStyle w:val="Heading3"/>
        <w:keepNext/>
      </w:pPr>
      <w:r>
        <w:t xml:space="preserve">1.3.2. Mục tiêu cụ thể</w:t>
      </w:r>
    </w:p>
    <w:p>
      <w:pPr>
        <w:keepLines w:val="0"/>
        <w:spacing w:after="120"/>
        <w:ind w:firstLine="567"/>
      </w:pPr>
      <w:r>
        <w:t xml:space="preserve">Để hiện thực hóa mục tiêu tổng quát, nghiên cứu đặt ra tám mục tiêu cụ thể, sắp xếp theo trình tự của quy trình từ dữ liệu, mô hình, bất định, hỗ trợ quyết định đến diễn giải và rà soát:</w:t>
      </w:r>
    </w:p>
    <w:p>
      <w:pPr>
        <w:keepLines w:val="0"/>
        <w:spacing w:after="60"/>
        <w:ind w:left="851" w:hanging="284"/>
      </w:pPr>
      <w:r>
        <w:t xml:space="preserve">1.	Kiểm tra chất lượng và đặc điểm dữ liệu.</w:t>
      </w:r>
    </w:p>
    <w:p>
      <w:pPr>
        <w:keepLines w:val="0"/>
        <w:spacing w:after="60"/>
        <w:ind w:left="851" w:hanging="284"/>
      </w:pPr>
      <w:r>
        <w:t xml:space="preserve">2.	Nhận diện xu hướng và mùa vụ bằng phân tích mô tả và phân rã Robust STL.</w:t>
      </w:r>
    </w:p>
    <w:p>
      <w:pPr>
        <w:keepLines w:val="0"/>
        <w:spacing w:after="60"/>
        <w:ind w:left="851" w:hanging="284"/>
      </w:pPr>
      <w:r>
        <w:t xml:space="preserve">3.	Xây dựng đặc trưng không rò rỉ trên lịch ngày hoàn chỉnh, tích hợp stores, oil, transactions và holidays_events.</w:t>
      </w:r>
    </w:p>
    <w:p>
      <w:pPr>
        <w:keepLines w:val="0"/>
        <w:spacing w:after="60"/>
        <w:ind w:left="851" w:hanging="284"/>
      </w:pPr>
      <w:r>
        <w:t xml:space="preserve">4.	So sánh năm mô hình bằng ba lần kiểm định chéo cuốn chiếu và khóa mô hình được chọn trước tập kiểm tra cuối.</w:t>
      </w:r>
    </w:p>
    <w:p>
      <w:pPr>
        <w:keepLines w:val="0"/>
        <w:spacing w:after="60"/>
        <w:ind w:left="851" w:hanging="284"/>
      </w:pPr>
      <w:r>
        <w:t xml:space="preserve">5.	Xây dựng và đánh giá P10/P50/P90 bằng hàm mất mát phân vị, độ bao phủ và độ rộng khoảng, kể cả theo mức nhu cầu và nhóm sản phẩm.</w:t>
      </w:r>
    </w:p>
    <w:p>
      <w:pPr>
        <w:keepLines w:val="0"/>
        <w:spacing w:after="60"/>
        <w:ind w:left="851" w:hanging="284"/>
      </w:pPr>
      <w:r>
        <w:t xml:space="preserve">6.	Phân tích kịch bản khuyến mãi có điều kiện và tạo tín hiệu ưu tiên tồn kho dưới giả định chi phí ghi rõ.</w:t>
      </w:r>
    </w:p>
    <w:p>
      <w:pPr>
        <w:keepLines w:val="0"/>
        <w:spacing w:after="60"/>
        <w:ind w:left="851" w:hanging="284"/>
      </w:pPr>
      <w:r>
        <w:t xml:space="preserve">7.	Xây dựng lớp Generative AI/RAG/HITL gồm phiếu khuyến nghị cho từng chuỗi và dashboard có ghi nhận quyết định của con người.</w:t>
      </w:r>
    </w:p>
    <w:p>
      <w:pPr>
        <w:keepLines w:val="0"/>
        <w:spacing w:after="60"/>
        <w:ind w:left="851" w:hanging="284"/>
      </w:pPr>
      <w:r>
        <w:t xml:space="preserve">8.	Bảo đảm tính tái lập, kiểm thử quy trình: chạy lại toàn bộ quy trình từ train.csv bằng một lệnh, kiểm thử quy trình, dashboard và công cụ xuất dữ liệu, đồng thời đánh giá độ nhạy của kết quả đối với các lựa chọn thiết kế chính.</w:t>
      </w:r>
    </w:p>
    <w:p>
      <w:pPr>
        <w:keepLines w:val="0"/>
        <w:spacing w:after="120"/>
        <w:ind w:firstLine="567"/>
      </w:pPr>
      <w:r>
        <w:t xml:space="preserve">Các mục tiêu trên có quan hệ phụ thuộc chứ không phải những mô-đun rời rạc. Kết quả lựa chọn mô hình quyết định mô hình nào được dùng cho dự báo xác suất; hình dạng khoảng dự báo quyết định cách tín hiệu tồn kho phân biệt các chuỗi; còn lớp diễn giải chỉ được dùng các số liệu đã được tạo và kiểm tra ở bước trước. Một lựa chọn ở mắt xích phía trước vì thế lan truyền xuống mọi mắt xích phía sau: trong lần chạy chính thức, độ rộng khoảng thay đổi theo quy mô dự báo, nhưng quy tắc nhãn với ngưỡng cố định vẫn chủ yếu phản ánh quy mô. Do đó, mỗi bước có đầu ra riêng để kiểm tra độc lập và mỗi kết luận đều truy ngược được về dữ liệu, phương pháp và giả định tương ứng.</w:t>
      </w:r>
    </w:p>
    <w:p>
      <w:pPr>
        <w:pStyle w:val="Heading2"/>
        <w:keepNext/>
      </w:pPr>
      <w:r>
        <w:t xml:space="preserve">1.4. Câu hỏi nghiên cứu</w:t>
      </w:r>
    </w:p>
    <w:p>
      <w:pPr>
        <w:pStyle w:val="Heading3"/>
        <w:keepNext/>
      </w:pPr>
      <w:r>
        <w:t xml:space="preserve">1.4.1. Năm câu hỏi nghiên cứu</w:t>
      </w:r>
    </w:p>
    <w:p>
      <w:pPr>
        <w:keepLines w:val="0"/>
        <w:spacing w:after="120"/>
        <w:ind w:firstLine="567"/>
      </w:pPr>
      <w:r>
        <w:t xml:space="preserve">Từ các mục tiêu cụ thể, nghiên cứu được tổ chức quanh năm câu hỏi. Mỗi câu hỏi tương ứng với một lớp của chuỗi dữ liệu – dự báo – bất định – quyết định – diễn giải và được trả lời bằng một loại bằng chứng riêng. Các câu hỏi đi từ tính chất mô tả (RQ1), sang so sánh có kiểm soát (RQ2), đánh giá chất lượng thông tin bất định (RQ3), rồi đến những câu hỏi mang tính thiết kế ứng dụng (RQ4 và RQ5). Trình tự đó cho thấy mức độ chắc chắn của kết luận giảm dần khi lập luận tiến gần hơn đến quyết định vận hành, vì mỗi bước về sau phụ thuộc thêm vào giả định:</w:t>
      </w:r>
    </w:p>
    <w:p>
      <w:pPr>
        <w:keepLines w:val="0"/>
        <w:spacing w:after="60"/>
        <w:ind w:left="851" w:hanging="284"/>
      </w:pPr>
      <w:r>
        <w:t xml:space="preserve">–	RQ1: Dữ liệu bán lẻ Favorita thể hiện những đặc điểm nào về quy mô, xu hướng, mùa vụ, tỷ lệ doanh số bằng không và trạng thái khuyến mãi có ảnh hưởng đến thiết kế dự báo?</w:t>
      </w:r>
    </w:p>
    <w:p>
      <w:pPr>
        <w:keepLines w:val="0"/>
        <w:spacing w:after="60"/>
        <w:ind w:left="851" w:hanging="284"/>
      </w:pPr>
      <w:r>
        <w:t xml:space="preserve">–	RQ2: Trong năm mô hình Seasonal Naive, Ridge, Random Forest, XGBoost và LightGBM, mô hình nào đạt hiệu quả và độ ổn định tốt hơn theo kiểm định chéo cuốn chiếu theo thời gian?</w:t>
      </w:r>
    </w:p>
    <w:p>
      <w:pPr>
        <w:keepLines w:val="0"/>
        <w:spacing w:after="60"/>
        <w:ind w:left="851" w:hanging="284"/>
      </w:pPr>
      <w:r>
        <w:t xml:space="preserve">–	RQ3: P10/P50/P90 mô tả bất định dự báo như thế nào xét theo hàm mất mát phân vị, độ bao phủ và độ rộng khoảng dự báo?</w:t>
      </w:r>
    </w:p>
    <w:p>
      <w:pPr>
        <w:keepLines w:val="0"/>
        <w:spacing w:after="60"/>
        <w:ind w:left="851" w:hanging="284"/>
      </w:pPr>
      <w:r>
        <w:t xml:space="preserve">–	RQ4: Kết quả dự báo và bất định có thể được chuyển thành kịch bản khuyến mãi và tín hiệu ưu tiên tồn kho như thế nào trong điều kiện thiếu dữ liệu vận hành đầy đủ?</w:t>
      </w:r>
    </w:p>
    <w:p>
      <w:pPr>
        <w:keepLines w:val="0"/>
        <w:spacing w:after="60"/>
        <w:ind w:left="851" w:hanging="284"/>
      </w:pPr>
      <w:r>
        <w:t xml:space="preserve">–	RQ5: Generative AI/RAG/HITL có thể hỗ trợ diễn giải và kiểm duyệt quyết định như thế nào mà không trở thành nguồn tạo số liệu dự báo mới?</w:t>
      </w:r>
    </w:p>
    <w:p>
      <w:pPr>
        <w:keepLines w:val="0"/>
        <w:spacing w:after="120"/>
        <w:ind w:firstLine="567"/>
      </w:pPr>
      <w:r>
        <w:t xml:space="preserve">Bảng 1.1 ánh xạ từng câu hỏi với mục tiêu cụ thể liên quan, bằng chứng chính và giới hạn của kết luận. Cột cuối ghi lại ngay từ khi đặt câu hỏi loại kết luận nào không thể rút ra từ bằng chứng tương ứng, nhờ đó việc đánh giá mức độ trả lời ở Chương 4 và Chương 6 có chuẩn đối chiếu định trước. Với RQ3–RQ5, bảng phản ánh đúng cách triển khai của lần chạy chính thức: khoảng dự báo thích ứng theo nhóm quy mô nhưng chưa đạt bao phủ danh nghĩa, nhãn rủi ro vẫn là mức bất định tương đối, còn luồng mô hình ngôn ngữ chưa được chạy thật.</w:t>
      </w:r>
    </w:p>
    <w:p>
      <w:pPr>
        <w:keepNext/>
        <w:spacing w:before="120" w:after="60"/>
        <w:ind w:firstLine="0"/>
        <w:jc w:val="center"/>
      </w:pPr>
      <w:r>
        <w:t xml:space="preserve">Bảng 1.1. Liên hệ giữa câu hỏi nghiên cứu, mục tiêu cụ thể, loại bằng chứng và phạm vi kết luận</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78"/>
        <w:gridCol w:w="2415"/>
        <w:gridCol w:w="2860"/>
        <w:gridCol w:w="3018"/>
      </w:tblGrid>
      <w:tr>
        <w:trPr>
          <w:tblHeader/>
          <w:cantSplit/>
        </w:trPr>
        <w:tc>
          <w:tcPr>
            <w:tcW w:type="dxa" w:w="778"/>
            <w:shd w:val="clear" w:color="auto" w:fill="D9E2F3"/>
            <w:vAlign w:val="center"/>
          </w:tcPr>
          <w:p>
            <w:pPr>
              <w:spacing w:before="20" w:after="20" w:line="260" w:lineRule="auto"/>
              <w:ind w:firstLine="0"/>
              <w:jc w:val="center"/>
            </w:pPr>
            <w:r>
              <w:rPr>
                <w:b/>
                <w:sz w:val="20"/>
                <w:szCs w:val="20"/>
              </w:rPr>
              <w:t xml:space="preserve">Câu hỏi</w:t>
            </w:r>
          </w:p>
        </w:tc>
        <w:tc>
          <w:tcPr>
            <w:tcW w:type="dxa" w:w="2415"/>
            <w:shd w:val="clear" w:color="auto" w:fill="D9E2F3"/>
            <w:vAlign w:val="center"/>
          </w:tcPr>
          <w:p>
            <w:pPr>
              <w:spacing w:before="20" w:after="20" w:line="260" w:lineRule="auto"/>
              <w:ind w:firstLine="0"/>
              <w:jc w:val="center"/>
            </w:pPr>
            <w:r>
              <w:rPr>
                <w:b/>
                <w:sz w:val="20"/>
                <w:szCs w:val="20"/>
              </w:rPr>
              <w:t xml:space="preserve">Mục tiêu cụ thể liên quan</w:t>
            </w:r>
          </w:p>
        </w:tc>
        <w:tc>
          <w:tcPr>
            <w:tcW w:type="dxa" w:w="2860"/>
            <w:shd w:val="clear" w:color="auto" w:fill="D9E2F3"/>
            <w:vAlign w:val="center"/>
          </w:tcPr>
          <w:p>
            <w:pPr>
              <w:spacing w:before="20" w:after="20" w:line="260" w:lineRule="auto"/>
              <w:ind w:firstLine="0"/>
              <w:jc w:val="center"/>
            </w:pPr>
            <w:r>
              <w:rPr>
                <w:b/>
                <w:sz w:val="20"/>
                <w:szCs w:val="20"/>
              </w:rPr>
              <w:t xml:space="preserve">Bằng chứng chính</w:t>
            </w:r>
          </w:p>
        </w:tc>
        <w:tc>
          <w:tcPr>
            <w:tcW w:type="dxa" w:w="3018"/>
            <w:shd w:val="clear" w:color="auto" w:fill="D9E2F3"/>
            <w:vAlign w:val="center"/>
          </w:tcPr>
          <w:p>
            <w:pPr>
              <w:spacing w:before="20" w:after="20" w:line="260" w:lineRule="auto"/>
              <w:ind w:firstLine="0"/>
              <w:jc w:val="center"/>
            </w:pPr>
            <w:r>
              <w:rPr>
                <w:b/>
                <w:sz w:val="20"/>
                <w:szCs w:val="20"/>
              </w:rPr>
              <w:t xml:space="preserve">Giới hạn kết luận</w:t>
            </w:r>
          </w:p>
        </w:tc>
      </w:tr>
      <w:tr>
        <w:trPr>
          <w:cantSplit/>
        </w:trPr>
        <w:tc>
          <w:tcPr>
            <w:tcW w:type="dxa" w:w="778"/>
            <w:vAlign w:val="center"/>
          </w:tcPr>
          <w:p>
            <w:pPr>
              <w:spacing w:before="20" w:after="20" w:line="260" w:lineRule="auto"/>
              <w:ind w:firstLine="0"/>
              <w:jc w:val="left"/>
            </w:pPr>
            <w:r>
              <w:rPr>
                <w:sz w:val="20"/>
                <w:szCs w:val="20"/>
              </w:rPr>
              <w:t xml:space="preserve">RQ1</w:t>
            </w:r>
          </w:p>
        </w:tc>
        <w:tc>
          <w:tcPr>
            <w:tcW w:type="dxa" w:w="2415"/>
            <w:vAlign w:val="center"/>
          </w:tcPr>
          <w:p>
            <w:pPr>
              <w:spacing w:before="20" w:after="20" w:line="260" w:lineRule="auto"/>
              <w:ind w:firstLine="0"/>
              <w:jc w:val="left"/>
            </w:pPr>
            <w:r>
              <w:rPr>
                <w:sz w:val="20"/>
                <w:szCs w:val="20"/>
              </w:rPr>
              <w:t xml:space="preserve">Kiểm tra dữ liệu; nhận diện xu hướng, mùa vụ, khác biệt giữa các chuỗi</w:t>
            </w:r>
          </w:p>
        </w:tc>
        <w:tc>
          <w:tcPr>
            <w:tcW w:type="dxa" w:w="2860"/>
            <w:vAlign w:val="center"/>
          </w:tcPr>
          <w:p>
            <w:pPr>
              <w:spacing w:before="20" w:after="20" w:line="260" w:lineRule="auto"/>
              <w:ind w:firstLine="0"/>
              <w:jc w:val="left"/>
            </w:pPr>
            <w:r>
              <w:rPr>
                <w:sz w:val="20"/>
                <w:szCs w:val="20"/>
              </w:rPr>
              <w:t xml:space="preserve">Kết quả kiểm tra chất lượng dữ liệu, thống kê mô tả, phân rã Robust STL</w:t>
            </w:r>
          </w:p>
        </w:tc>
        <w:tc>
          <w:tcPr>
            <w:tcW w:type="dxa" w:w="3018"/>
            <w:vAlign w:val="center"/>
          </w:tcPr>
          <w:p>
            <w:pPr>
              <w:spacing w:before="20" w:after="20" w:line="260" w:lineRule="auto"/>
              <w:ind w:firstLine="0"/>
              <w:jc w:val="left"/>
            </w:pPr>
            <w:r>
              <w:rPr>
                <w:sz w:val="20"/>
                <w:szCs w:val="20"/>
              </w:rPr>
              <w:t xml:space="preserve">Mô tả cấu trúc dữ liệu; thống kê theo trạng thái khuyến mãi không phải hiệu ứng nhân quả</w:t>
            </w:r>
          </w:p>
        </w:tc>
      </w:tr>
      <w:tr>
        <w:trPr>
          <w:cantSplit/>
        </w:trPr>
        <w:tc>
          <w:tcPr>
            <w:tcW w:type="dxa" w:w="778"/>
            <w:vAlign w:val="center"/>
          </w:tcPr>
          <w:p>
            <w:pPr>
              <w:spacing w:before="20" w:after="20" w:line="260" w:lineRule="auto"/>
              <w:ind w:firstLine="0"/>
              <w:jc w:val="left"/>
            </w:pPr>
            <w:r>
              <w:rPr>
                <w:sz w:val="20"/>
                <w:szCs w:val="20"/>
              </w:rPr>
              <w:t xml:space="preserve">RQ2</w:t>
            </w:r>
          </w:p>
        </w:tc>
        <w:tc>
          <w:tcPr>
            <w:tcW w:type="dxa" w:w="2415"/>
            <w:vAlign w:val="center"/>
          </w:tcPr>
          <w:p>
            <w:pPr>
              <w:spacing w:before="20" w:after="20" w:line="260" w:lineRule="auto"/>
              <w:ind w:firstLine="0"/>
              <w:jc w:val="left"/>
            </w:pPr>
            <w:r>
              <w:rPr>
                <w:sz w:val="20"/>
                <w:szCs w:val="20"/>
              </w:rPr>
              <w:t xml:space="preserve">Xây dựng đặc trưng; so sánh năm mô hình; khóa mô hình trước tập kiểm tra cuối</w:t>
            </w:r>
          </w:p>
        </w:tc>
        <w:tc>
          <w:tcPr>
            <w:tcW w:type="dxa" w:w="2860"/>
            <w:vAlign w:val="center"/>
          </w:tcPr>
          <w:p>
            <w:pPr>
              <w:spacing w:before="20" w:after="20" w:line="260" w:lineRule="auto"/>
              <w:ind w:firstLine="0"/>
              <w:jc w:val="left"/>
            </w:pPr>
            <w:r>
              <w:rPr>
                <w:sz w:val="20"/>
                <w:szCs w:val="20"/>
              </w:rPr>
              <w:t xml:space="preserve">WAPE trung bình và độ phân tán qua ba lần kiểm định; kết quả tập kiểm tra cuối; phân rã sai số</w:t>
            </w:r>
          </w:p>
        </w:tc>
        <w:tc>
          <w:tcPr>
            <w:tcW w:type="dxa" w:w="3018"/>
            <w:vAlign w:val="center"/>
          </w:tcPr>
          <w:p>
            <w:pPr>
              <w:spacing w:before="20" w:after="20" w:line="260" w:lineRule="auto"/>
              <w:ind w:firstLine="0"/>
              <w:jc w:val="left"/>
            </w:pPr>
            <w:r>
              <w:rPr>
                <w:sz w:val="20"/>
                <w:szCs w:val="20"/>
              </w:rPr>
              <w:t xml:space="preserve">Hiệu quả trong thiết kế kiểm định đã chọn; chênh lệch XGBoost – LightGBM nhỏ hơn độ lệch chuẩn giữa các lần, không kiểm định được ý nghĩa thống kê; không tinh chỉnh siêu tham số</w:t>
            </w:r>
          </w:p>
        </w:tc>
      </w:tr>
      <w:tr>
        <w:trPr>
          <w:cantSplit/>
        </w:trPr>
        <w:tc>
          <w:tcPr>
            <w:tcW w:type="dxa" w:w="778"/>
            <w:vAlign w:val="center"/>
          </w:tcPr>
          <w:p>
            <w:pPr>
              <w:spacing w:before="20" w:after="20" w:line="260" w:lineRule="auto"/>
              <w:ind w:firstLine="0"/>
              <w:jc w:val="left"/>
            </w:pPr>
            <w:r>
              <w:rPr>
                <w:sz w:val="20"/>
                <w:szCs w:val="20"/>
              </w:rPr>
              <w:t xml:space="preserve">RQ3</w:t>
            </w:r>
          </w:p>
        </w:tc>
        <w:tc>
          <w:tcPr>
            <w:tcW w:type="dxa" w:w="2415"/>
            <w:vAlign w:val="center"/>
          </w:tcPr>
          <w:p>
            <w:pPr>
              <w:spacing w:before="20" w:after="20" w:line="260" w:lineRule="auto"/>
              <w:ind w:firstLine="0"/>
              <w:jc w:val="left"/>
            </w:pPr>
            <w:r>
              <w:rPr>
                <w:sz w:val="20"/>
                <w:szCs w:val="20"/>
              </w:rPr>
              <w:t xml:space="preserve">Xây dựng P10/P50/P90</w:t>
            </w:r>
          </w:p>
        </w:tc>
        <w:tc>
          <w:tcPr>
            <w:tcW w:type="dxa" w:w="2860"/>
            <w:vAlign w:val="center"/>
          </w:tcPr>
          <w:p>
            <w:pPr>
              <w:spacing w:before="20" w:after="20" w:line="260" w:lineRule="auto"/>
              <w:ind w:firstLine="0"/>
              <w:jc w:val="left"/>
            </w:pPr>
            <w:r>
              <w:rPr>
                <w:sz w:val="20"/>
                <w:szCs w:val="20"/>
              </w:rPr>
              <w:t xml:space="preserve">Hàm mất mát phân vị, độ bao phủ P10–P90, độ rộng khoảng, bao phủ theo mức nhu cầu, cửa hàng và nhóm sản phẩm</w:t>
            </w:r>
          </w:p>
        </w:tc>
        <w:tc>
          <w:tcPr>
            <w:tcW w:type="dxa" w:w="3018"/>
            <w:vAlign w:val="center"/>
          </w:tcPr>
          <w:p>
            <w:pPr>
              <w:spacing w:before="20" w:after="20" w:line="260" w:lineRule="auto"/>
              <w:ind w:firstLine="0"/>
              <w:jc w:val="left"/>
            </w:pPr>
            <w:r>
              <w:rPr>
                <w:sz w:val="20"/>
                <w:szCs w:val="20"/>
              </w:rPr>
              <w:t xml:space="preserve">Khoảng Mondrian theo nhóm quy mô dự báo điểm; bao phủ tổng dưới danh nghĩa 80%; cửa sổ hiệu chỉnh trùng lần kiểm định 3; chưa phải chính sách tồn kho</w:t>
            </w:r>
          </w:p>
        </w:tc>
      </w:tr>
      <w:tr>
        <w:trPr>
          <w:cantSplit/>
        </w:trPr>
        <w:tc>
          <w:tcPr>
            <w:tcW w:type="dxa" w:w="778"/>
            <w:vAlign w:val="center"/>
          </w:tcPr>
          <w:p>
            <w:pPr>
              <w:spacing w:before="20" w:after="20" w:line="260" w:lineRule="auto"/>
              <w:ind w:firstLine="0"/>
              <w:jc w:val="left"/>
            </w:pPr>
            <w:r>
              <w:rPr>
                <w:sz w:val="20"/>
                <w:szCs w:val="20"/>
              </w:rPr>
              <w:t xml:space="preserve">RQ4</w:t>
            </w:r>
          </w:p>
        </w:tc>
        <w:tc>
          <w:tcPr>
            <w:tcW w:type="dxa" w:w="2415"/>
            <w:vAlign w:val="center"/>
          </w:tcPr>
          <w:p>
            <w:pPr>
              <w:spacing w:before="20" w:after="20" w:line="260" w:lineRule="auto"/>
              <w:ind w:firstLine="0"/>
              <w:jc w:val="left"/>
            </w:pPr>
            <w:r>
              <w:rPr>
                <w:sz w:val="20"/>
                <w:szCs w:val="20"/>
              </w:rPr>
              <w:t xml:space="preserve">Phân tích kịch bản khuyến mãi; tín hiệu ưu tiên rủi ro tồn kho</w:t>
            </w:r>
          </w:p>
        </w:tc>
        <w:tc>
          <w:tcPr>
            <w:tcW w:type="dxa" w:w="2860"/>
            <w:vAlign w:val="center"/>
          </w:tcPr>
          <w:p>
            <w:pPr>
              <w:spacing w:before="20" w:after="20" w:line="260" w:lineRule="auto"/>
              <w:ind w:firstLine="0"/>
              <w:jc w:val="left"/>
            </w:pPr>
            <w:r>
              <w:rPr>
                <w:sz w:val="20"/>
                <w:szCs w:val="20"/>
              </w:rPr>
              <w:t xml:space="preserve">Dự báo theo kịch bản onpromotion; lượng bổ sung mô phỏng; nhãn theo mức bất định tương đối</w:t>
            </w:r>
          </w:p>
        </w:tc>
        <w:tc>
          <w:tcPr>
            <w:tcW w:type="dxa" w:w="3018"/>
            <w:vAlign w:val="center"/>
          </w:tcPr>
          <w:p>
            <w:pPr>
              <w:spacing w:before="20" w:after="20" w:line="260" w:lineRule="auto"/>
              <w:ind w:firstLine="0"/>
              <w:jc w:val="left"/>
            </w:pPr>
            <w:r>
              <w:rPr>
                <w:sz w:val="20"/>
                <w:szCs w:val="20"/>
              </w:rPr>
              <w:t xml:space="preserve">Không nhân quả; có ngoại suy ở nhiều chuỗi; không tối ưu tồn kho thực; nhãn vẫn gắn với quy mô</w:t>
            </w:r>
          </w:p>
        </w:tc>
      </w:tr>
      <w:tr>
        <w:trPr>
          <w:cantSplit/>
        </w:trPr>
        <w:tc>
          <w:tcPr>
            <w:tcW w:type="dxa" w:w="778"/>
            <w:vAlign w:val="center"/>
          </w:tcPr>
          <w:p>
            <w:pPr>
              <w:spacing w:before="20" w:after="20" w:line="260" w:lineRule="auto"/>
              <w:ind w:firstLine="0"/>
              <w:jc w:val="left"/>
            </w:pPr>
            <w:r>
              <w:rPr>
                <w:sz w:val="20"/>
                <w:szCs w:val="20"/>
              </w:rPr>
              <w:t xml:space="preserve">RQ5</w:t>
            </w:r>
          </w:p>
        </w:tc>
        <w:tc>
          <w:tcPr>
            <w:tcW w:type="dxa" w:w="2415"/>
            <w:vAlign w:val="center"/>
          </w:tcPr>
          <w:p>
            <w:pPr>
              <w:spacing w:before="20" w:after="20" w:line="260" w:lineRule="auto"/>
              <w:ind w:firstLine="0"/>
              <w:jc w:val="left"/>
            </w:pPr>
            <w:r>
              <w:rPr>
                <w:sz w:val="20"/>
                <w:szCs w:val="20"/>
              </w:rPr>
              <w:t xml:space="preserve">Xây dựng lớp Generative AI/RAG/HITL và dashboard</w:t>
            </w:r>
          </w:p>
        </w:tc>
        <w:tc>
          <w:tcPr>
            <w:tcW w:type="dxa" w:w="2860"/>
            <w:vAlign w:val="center"/>
          </w:tcPr>
          <w:p>
            <w:pPr>
              <w:spacing w:before="20" w:after="20" w:line="260" w:lineRule="auto"/>
              <w:ind w:firstLine="0"/>
              <w:jc w:val="left"/>
            </w:pPr>
            <w:r>
              <w:rPr>
                <w:sz w:val="20"/>
                <w:szCs w:val="20"/>
              </w:rPr>
              <w:t xml:space="preserve">Phiếu khuyến nghị cho 1.782 chuỗi, căn cứ chính sách truy xuất, kiểm tra bám bằng chứng, nhật ký HITL 14 cột</w:t>
            </w:r>
          </w:p>
        </w:tc>
        <w:tc>
          <w:tcPr>
            <w:tcW w:type="dxa" w:w="3018"/>
            <w:vAlign w:val="center"/>
          </w:tcPr>
          <w:p>
            <w:pPr>
              <w:spacing w:before="20" w:after="20" w:line="260" w:lineRule="auto"/>
              <w:ind w:firstLine="0"/>
              <w:jc w:val="left"/>
            </w:pPr>
            <w:r>
              <w:rPr>
                <w:sz w:val="20"/>
                <w:szCs w:val="20"/>
              </w:rPr>
              <w:t xml:space="preserve">Chưa gọi mô hình ngôn ngữ thật; kiểm tra bám bằng chứng chỉ được kiểm thử bằng mô phỏng; chưa có quyết định phê duyệt thật nào trong lần chạy</w:t>
            </w:r>
          </w:p>
        </w:tc>
      </w:tr>
    </w:tbl>
    <w:p>
      <w:pPr>
        <w:spacing w:before="40" w:after="160"/>
        <w:ind w:firstLine="0"/>
      </w:pPr>
      <w:r>
        <w:rPr>
          <w:i/>
          <w:sz w:val="22"/>
          <w:szCs w:val="22"/>
        </w:rPr>
        <w:t xml:space="preserve">Nguồn: tổng hợp của tác giả.</w:t>
      </w:r>
    </w:p>
    <w:p>
      <w:pPr>
        <w:pStyle w:val="Heading3"/>
        <w:keepNext/>
      </w:pPr>
      <w:r>
        <w:t xml:space="preserve">1.4.2. Quan hệ giữa các câu hỏi và mức độ chắc chắn của kết luận</w:t>
      </w:r>
    </w:p>
    <w:p>
      <w:pPr>
        <w:keepLines w:val="0"/>
        <w:spacing w:after="120"/>
        <w:ind w:firstLine="567"/>
      </w:pPr>
      <w:r>
        <w:t xml:space="preserve">Việc tách câu hỏi theo từng lớp giúp tránh suy luận vượt cấp. Kết quả tốt ở RQ2 không tự động chứng minh hiệu quả tài chính. RQ3 bổ sung thông tin rủi ro, nhưng một con số bao phủ tổng không bảo đảm khoảng dự báo được hiệu chỉnh tốt ở từng nhóm: nếu độ rộng khoảng gần như bằng nhau bất kể quy mô, khoảng sẽ quá rộng ở chuỗi nhỏ và quá hẹp ở chuỗi lớn, và hai sai lệch ngược chiều này có thể bù trừ nhau trong con số tổng. Vì vậy, câu hỏi này đòi hỏi phân rã độ bao phủ theo mức nhu cầu, cửa hàng và nhóm sản phẩm. RQ4 minh họa cách chuyển dự báo thành quyết định dưới giả định cụ thể, còn RQ5 tập trung vào truy xuất nguồn, tính bám bằng chứng và kiểm soát của con người. Mỗi câu hỏi được đánh giá bằng đầu ra riêng, không dùng một chỉ số duy nhất đại diện cho toàn bộ hệ thống.</w:t>
      </w:r>
    </w:p>
    <w:p>
      <w:pPr>
        <w:keepLines w:val="0"/>
        <w:spacing w:after="120"/>
        <w:ind w:firstLine="567"/>
      </w:pPr>
      <w:r>
        <w:t xml:space="preserve">Cách đặt câu hỏi này cũng tạo cơ sở cho triển khai thực tế. Nhà quản lý có thể lần lượt kiểm tra: dữ liệu có đủ tin cậy hay không; mô hình nào phù hợp; bất định ở mức nào và phân bố ra sao giữa các chuỗi; chuỗi nào cần ưu tiên xử lý; và khuyến nghị nào cần phê duyệt thủ công. Trình tự đó phản ánh một quy trình kiểm soát nhiều lớp, trong đó lớp phía sau chỉ đáng tin khi lớp phía trước đạt yêu cầu. Mục 4.14 tổng hợp kết quả theo từng câu hỏi, còn Chương 6 trả lời lần lượt năm câu hỏi.</w:t>
      </w:r>
    </w:p>
    <w:p>
      <w:pPr>
        <w:pStyle w:val="Heading2"/>
        <w:keepNext/>
      </w:pPr>
      <w:r>
        <w:t xml:space="preserve">1.5. Phạm vi nghiên cứu</w:t>
      </w:r>
    </w:p>
    <w:p>
      <w:pPr>
        <w:pStyle w:val="Heading3"/>
        <w:keepNext/>
      </w:pPr>
      <w:r>
        <w:t xml:space="preserve">1.5.1. Phạm vi dữ liệu và thời gian</w:t>
      </w:r>
    </w:p>
    <w:p>
      <w:pPr>
        <w:keepLines w:val="0"/>
        <w:spacing w:after="120"/>
        <w:ind w:firstLine="567"/>
      </w:pPr>
      <w:r>
        <w:t xml:space="preserve">Phạm vi dữ liệu gồm 3.000.888 quan sát từ 01/01/2013 đến 15/08/2017 của 54 cửa hàng, 33 nhóm sản phẩm và 1.782 chuỗi cửa hàng × nhóm sản phẩm, không có giá trị thiếu ở doanh số và onpromotion, không có bản ghi trùng lặp. Đơn vị dự báo là ngày × cửa hàng × nhóm sản phẩm; biến mục tiêu là doanh số. Bốn nguồn bổ sung được tích hợp trên lịch ngày hoàn chỉnh: stores.csv (thông tin tĩnh về thành phố, bang, loại và cụm cửa hàng), oil.csv (giá dầu điền tiến theo ngày lịch rồi làm trễ 16 ngày lịch), transactions.csv (số giao dịch xử lý trên lịch ngày của từng cửa hàng rồi làm trễ 16 ngày) và holidays_events.csv (cờ ngày lễ cấp quốc gia, không tính ngày lễ đã dời và loại Work Day).</w:t>
      </w:r>
    </w:p>
    <w:p>
      <w:pPr>
        <w:keepLines w:val="0"/>
        <w:spacing w:after="120"/>
        <w:ind w:firstLine="567"/>
      </w:pPr>
      <w:r>
        <w:t xml:space="preserve">Về thời gian, kỳ dự báo được cố định là 16 ngày. Ba lần kiểm định chéo dùng ba cửa sổ liền kề 13/06–28/06/2017, 29/06–14/07/2017 và 15/07–30/07/2017; tập kiểm tra cuối là 31/07–15/08/2017. Mỗi cửa sổ gồm 16 ngày × 1.782 chuỗi = 28.512 quan sát, và cửa sổ kiểm định thứ ba đồng thời là cửa sổ hiệu chỉnh của lớp dự báo xác suất. Toàn bộ bằng chứng đánh giá vì thế tập trung vào giai đoạn giữa năm 2017, và kết luận về hiệu quả mô hình không được mặc nhiên mở rộng sang kỳ dự báo dài hơn hoặc các giai đoạn mùa vụ khác. Về môi trường tính toán, lần chạy chính thức dùng Python 3.11 với pandas 2.3.3, numpy 2.4.4, scikit-learn 1.8.0, xgboost 3.2.0, lightgbm 4.7.0 và statsmodels 0.15.0 trên 2 CPU. Môi trường.venv đi kèm thư mục đề tài dùng scikit-learn 1.9.1 và xgboost 3.4.1, nên khi chạy lại trong môi trường này, kết quả của XGBoost và Random Forest có thể lệch nhỏ so với số liệu được báo cáo.</w:t>
      </w:r>
    </w:p>
    <w:p>
      <w:pPr>
        <w:pStyle w:val="Heading3"/>
        <w:keepNext/>
      </w:pPr>
      <w:r>
        <w:t xml:space="preserve">1.5.2. Phạm vi ứng dụng và ranh giới kết luận</w:t>
      </w:r>
    </w:p>
    <w:p>
      <w:pPr>
        <w:keepLines w:val="0"/>
        <w:spacing w:after="120"/>
        <w:ind w:firstLine="567"/>
      </w:pPr>
      <w:r>
        <w:t xml:space="preserve">Phạm vi ứng dụng tập trung vào hỗ trợ lập kế hoạch nhu cầu, sàng lọc rủi ro và xây dựng kịch bản. Nghiên cứu không suy luận nhân quả về hiệu quả khuyến mãi, không tối ưu tồn kho thực do thiếu tồn kho khả dụng, thời gian cung ứng và chi phí thực, và không quy đổi sai số dự báo thành doanh thu hay lợi nhuận khi chưa có giá bán và biên lợi nhuận. Vị thế tồn kho giả định bằng 0,8 × P50, điểm đặt hàng lại lấy bằng P90 và các tham số chi phí Cu = 3, Co = 1 đều là giả định mô phỏng ghi rõ trong mã nguồn. Bảng 1.2 tổng hợp những nội dung thuộc và không thuộc phạm vi kết luận theo từng khía cạnh của quy trình.</w:t>
      </w:r>
    </w:p>
    <w:p>
      <w:pPr>
        <w:keepNext/>
        <w:spacing w:before="120" w:after="60"/>
        <w:ind w:firstLine="0"/>
        <w:jc w:val="center"/>
      </w:pPr>
      <w:r>
        <w:t xml:space="preserve">Bảng 1.2. Những nội dung thuộc và không thuộc phạm vi kết luận của luận văn</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655"/>
        <w:gridCol w:w="3867"/>
        <w:gridCol w:w="3549"/>
      </w:tblGrid>
      <w:tr>
        <w:trPr>
          <w:tblHeader/>
          <w:cantSplit/>
        </w:trPr>
        <w:tc>
          <w:tcPr>
            <w:tcW w:type="dxa" w:w="1655"/>
            <w:shd w:val="clear" w:color="auto" w:fill="D9E2F3"/>
            <w:vAlign w:val="center"/>
          </w:tcPr>
          <w:p>
            <w:pPr>
              <w:spacing w:before="20" w:after="20" w:line="260" w:lineRule="auto"/>
              <w:ind w:firstLine="0"/>
              <w:jc w:val="center"/>
            </w:pPr>
            <w:r>
              <w:rPr>
                <w:b/>
                <w:sz w:val="20"/>
                <w:szCs w:val="20"/>
              </w:rPr>
              <w:t xml:space="preserve">Khía cạnh</w:t>
            </w:r>
          </w:p>
        </w:tc>
        <w:tc>
          <w:tcPr>
            <w:tcW w:type="dxa" w:w="3867"/>
            <w:shd w:val="clear" w:color="auto" w:fill="D9E2F3"/>
            <w:vAlign w:val="center"/>
          </w:tcPr>
          <w:p>
            <w:pPr>
              <w:spacing w:before="20" w:after="20" w:line="260" w:lineRule="auto"/>
              <w:ind w:firstLine="0"/>
              <w:jc w:val="center"/>
            </w:pPr>
            <w:r>
              <w:rPr>
                <w:b/>
                <w:sz w:val="20"/>
                <w:szCs w:val="20"/>
              </w:rPr>
              <w:t xml:space="preserve">Thuộc phạm vi</w:t>
            </w:r>
          </w:p>
        </w:tc>
        <w:tc>
          <w:tcPr>
            <w:tcW w:type="dxa" w:w="3549"/>
            <w:shd w:val="clear" w:color="auto" w:fill="D9E2F3"/>
            <w:vAlign w:val="center"/>
          </w:tcPr>
          <w:p>
            <w:pPr>
              <w:spacing w:before="20" w:after="20" w:line="260" w:lineRule="auto"/>
              <w:ind w:firstLine="0"/>
              <w:jc w:val="center"/>
            </w:pPr>
            <w:r>
              <w:rPr>
                <w:b/>
                <w:sz w:val="20"/>
                <w:szCs w:val="20"/>
              </w:rPr>
              <w:t xml:space="preserve">Ngoài phạm vi</w:t>
            </w:r>
          </w:p>
        </w:tc>
      </w:tr>
      <w:tr>
        <w:trPr>
          <w:cantSplit/>
        </w:trPr>
        <w:tc>
          <w:tcPr>
            <w:tcW w:type="dxa" w:w="1655"/>
            <w:vAlign w:val="center"/>
          </w:tcPr>
          <w:p>
            <w:pPr>
              <w:spacing w:before="20" w:after="20" w:line="260" w:lineRule="auto"/>
              <w:ind w:firstLine="0"/>
              <w:jc w:val="left"/>
            </w:pPr>
            <w:r>
              <w:rPr>
                <w:sz w:val="20"/>
                <w:szCs w:val="20"/>
              </w:rPr>
              <w:t xml:space="preserve">Dữ liệu</w:t>
            </w:r>
          </w:p>
        </w:tc>
        <w:tc>
          <w:tcPr>
            <w:tcW w:type="dxa" w:w="3867"/>
            <w:vAlign w:val="center"/>
          </w:tcPr>
          <w:p>
            <w:pPr>
              <w:spacing w:before="20" w:after="20" w:line="260" w:lineRule="auto"/>
              <w:ind w:firstLine="0"/>
              <w:jc w:val="left"/>
            </w:pPr>
            <w:r>
              <w:rPr>
                <w:sz w:val="20"/>
                <w:szCs w:val="20"/>
              </w:rPr>
              <w:t xml:space="preserve">Doanh số theo ngày × cửa hàng × nhóm sản phẩm, 01/01/2013–15/08/2017; thông tin cửa hàng, giá dầu, giao dịch, ngày lễ quốc gia</w:t>
            </w:r>
          </w:p>
        </w:tc>
        <w:tc>
          <w:tcPr>
            <w:tcW w:type="dxa" w:w="3549"/>
            <w:vAlign w:val="center"/>
          </w:tcPr>
          <w:p>
            <w:pPr>
              <w:spacing w:before="20" w:after="20" w:line="260" w:lineRule="auto"/>
              <w:ind w:firstLine="0"/>
              <w:jc w:val="left"/>
            </w:pPr>
            <w:r>
              <w:rPr>
                <w:sz w:val="20"/>
                <w:szCs w:val="20"/>
              </w:rPr>
              <w:t xml:space="preserve">Dữ liệu cấp mặt hàng, giá bán, biên lợi nhuận, tồn kho thực, thời gian cung ứng</w:t>
            </w:r>
          </w:p>
        </w:tc>
      </w:tr>
      <w:tr>
        <w:trPr>
          <w:cantSplit/>
        </w:trPr>
        <w:tc>
          <w:tcPr>
            <w:tcW w:type="dxa" w:w="1655"/>
            <w:vAlign w:val="center"/>
          </w:tcPr>
          <w:p>
            <w:pPr>
              <w:spacing w:before="20" w:after="20" w:line="260" w:lineRule="auto"/>
              <w:ind w:firstLine="0"/>
              <w:jc w:val="left"/>
            </w:pPr>
            <w:r>
              <w:rPr>
                <w:sz w:val="20"/>
                <w:szCs w:val="20"/>
              </w:rPr>
              <w:t xml:space="preserve">Đánh giá mô hình</w:t>
            </w:r>
          </w:p>
        </w:tc>
        <w:tc>
          <w:tcPr>
            <w:tcW w:type="dxa" w:w="3867"/>
            <w:vAlign w:val="center"/>
          </w:tcPr>
          <w:p>
            <w:pPr>
              <w:spacing w:before="20" w:after="20" w:line="260" w:lineRule="auto"/>
              <w:ind w:firstLine="0"/>
              <w:jc w:val="left"/>
            </w:pPr>
            <w:r>
              <w:rPr>
                <w:sz w:val="20"/>
                <w:szCs w:val="20"/>
              </w:rPr>
              <w:t xml:space="preserve">Kỳ dự báo 16 ngày, ba lần kiểm định chéo cuốn chiếu và tập kiểm tra cuối 31/07–15/08/2017; cấu hình cố định</w:t>
            </w:r>
          </w:p>
        </w:tc>
        <w:tc>
          <w:tcPr>
            <w:tcW w:type="dxa" w:w="3549"/>
            <w:vAlign w:val="center"/>
          </w:tcPr>
          <w:p>
            <w:pPr>
              <w:spacing w:before="20" w:after="20" w:line="260" w:lineRule="auto"/>
              <w:ind w:firstLine="0"/>
              <w:jc w:val="left"/>
            </w:pPr>
            <w:r>
              <w:rPr>
                <w:sz w:val="20"/>
                <w:szCs w:val="20"/>
              </w:rPr>
              <w:t xml:space="preserve">Suy rộng sang kỳ dự báo dài hơn; kiểm định ý nghĩa thống kê giữa các mô hình; tinh chỉnh siêu tham số</w:t>
            </w:r>
          </w:p>
        </w:tc>
      </w:tr>
      <w:tr>
        <w:trPr>
          <w:cantSplit/>
        </w:trPr>
        <w:tc>
          <w:tcPr>
            <w:tcW w:type="dxa" w:w="1655"/>
            <w:vAlign w:val="center"/>
          </w:tcPr>
          <w:p>
            <w:pPr>
              <w:spacing w:before="20" w:after="20" w:line="260" w:lineRule="auto"/>
              <w:ind w:firstLine="0"/>
              <w:jc w:val="left"/>
            </w:pPr>
            <w:r>
              <w:rPr>
                <w:sz w:val="20"/>
                <w:szCs w:val="20"/>
              </w:rPr>
              <w:t xml:space="preserve">Dự báo xác suất</w:t>
            </w:r>
          </w:p>
        </w:tc>
        <w:tc>
          <w:tcPr>
            <w:tcW w:type="dxa" w:w="3867"/>
            <w:vAlign w:val="center"/>
          </w:tcPr>
          <w:p>
            <w:pPr>
              <w:spacing w:before="20" w:after="20" w:line="260" w:lineRule="auto"/>
              <w:ind w:firstLine="0"/>
              <w:jc w:val="left"/>
            </w:pPr>
            <w:r>
              <w:rPr>
                <w:sz w:val="20"/>
                <w:szCs w:val="20"/>
              </w:rPr>
              <w:t xml:space="preserve">P10/P50/P90 từ khoảng phần dư split-conformal theo nhóm quy mô dự báo điểm (Mondrian)</w:t>
            </w:r>
          </w:p>
        </w:tc>
        <w:tc>
          <w:tcPr>
            <w:tcW w:type="dxa" w:w="3549"/>
            <w:vAlign w:val="center"/>
          </w:tcPr>
          <w:p>
            <w:pPr>
              <w:spacing w:before="20" w:after="20" w:line="260" w:lineRule="auto"/>
              <w:ind w:firstLine="0"/>
              <w:jc w:val="left"/>
            </w:pPr>
            <w:r>
              <w:rPr>
                <w:sz w:val="20"/>
                <w:szCs w:val="20"/>
              </w:rPr>
              <w:t xml:space="preserve">Bảo đảm bao phủ danh nghĩa ở từng chuỗi; phân vị chính xác của tổng nhu cầu nhiều ngày</w:t>
            </w:r>
          </w:p>
        </w:tc>
      </w:tr>
      <w:tr>
        <w:trPr>
          <w:cantSplit/>
        </w:trPr>
        <w:tc>
          <w:tcPr>
            <w:tcW w:type="dxa" w:w="1655"/>
            <w:vAlign w:val="center"/>
          </w:tcPr>
          <w:p>
            <w:pPr>
              <w:spacing w:before="20" w:after="20" w:line="260" w:lineRule="auto"/>
              <w:ind w:firstLine="0"/>
              <w:jc w:val="left"/>
            </w:pPr>
            <w:r>
              <w:rPr>
                <w:sz w:val="20"/>
                <w:szCs w:val="20"/>
              </w:rPr>
              <w:t xml:space="preserve">Khuyến mãi</w:t>
            </w:r>
          </w:p>
        </w:tc>
        <w:tc>
          <w:tcPr>
            <w:tcW w:type="dxa" w:w="3867"/>
            <w:vAlign w:val="center"/>
          </w:tcPr>
          <w:p>
            <w:pPr>
              <w:spacing w:before="20" w:after="20" w:line="260" w:lineRule="auto"/>
              <w:ind w:firstLine="0"/>
              <w:jc w:val="left"/>
            </w:pPr>
            <w:r>
              <w:rPr>
                <w:sz w:val="20"/>
                <w:szCs w:val="20"/>
              </w:rPr>
              <w:t xml:space="preserve">Phản ứng dự báo có điều kiện theo mức onpromotion được gán, kèm cảnh báo ngoại suy</w:t>
            </w:r>
          </w:p>
        </w:tc>
        <w:tc>
          <w:tcPr>
            <w:tcW w:type="dxa" w:w="3549"/>
            <w:vAlign w:val="center"/>
          </w:tcPr>
          <w:p>
            <w:pPr>
              <w:spacing w:before="20" w:after="20" w:line="260" w:lineRule="auto"/>
              <w:ind w:firstLine="0"/>
              <w:jc w:val="left"/>
            </w:pPr>
            <w:r>
              <w:rPr>
                <w:sz w:val="20"/>
                <w:szCs w:val="20"/>
              </w:rPr>
              <w:t xml:space="preserve">Tác động nhân quả, lợi tức đầu tư của khuyến mãi</w:t>
            </w:r>
          </w:p>
        </w:tc>
      </w:tr>
      <w:tr>
        <w:trPr>
          <w:cantSplit/>
        </w:trPr>
        <w:tc>
          <w:tcPr>
            <w:tcW w:type="dxa" w:w="1655"/>
            <w:vAlign w:val="center"/>
          </w:tcPr>
          <w:p>
            <w:pPr>
              <w:spacing w:before="20" w:after="20" w:line="260" w:lineRule="auto"/>
              <w:ind w:firstLine="0"/>
              <w:jc w:val="left"/>
            </w:pPr>
            <w:r>
              <w:rPr>
                <w:sz w:val="20"/>
                <w:szCs w:val="20"/>
              </w:rPr>
              <w:t xml:space="preserve">Tồn kho</w:t>
            </w:r>
          </w:p>
        </w:tc>
        <w:tc>
          <w:tcPr>
            <w:tcW w:type="dxa" w:w="3867"/>
            <w:vAlign w:val="center"/>
          </w:tcPr>
          <w:p>
            <w:pPr>
              <w:spacing w:before="20" w:after="20" w:line="260" w:lineRule="auto"/>
              <w:ind w:firstLine="0"/>
              <w:jc w:val="left"/>
            </w:pPr>
            <w:r>
              <w:rPr>
                <w:sz w:val="20"/>
                <w:szCs w:val="20"/>
              </w:rPr>
              <w:t xml:space="preserve">Lượng bổ sung mô phỏng và nhãn theo mức bất định tương đối dưới giả định</w:t>
            </w:r>
          </w:p>
        </w:tc>
        <w:tc>
          <w:tcPr>
            <w:tcW w:type="dxa" w:w="3549"/>
            <w:vAlign w:val="center"/>
          </w:tcPr>
          <w:p>
            <w:pPr>
              <w:spacing w:before="20" w:after="20" w:line="260" w:lineRule="auto"/>
              <w:ind w:firstLine="0"/>
              <w:jc w:val="left"/>
            </w:pPr>
            <w:r>
              <w:rPr>
                <w:sz w:val="20"/>
                <w:szCs w:val="20"/>
              </w:rPr>
              <w:t xml:space="preserve">Tối ưu tồn kho thực tế, mức giảm thiếu hàng hoặc tồn dư</w:t>
            </w:r>
          </w:p>
        </w:tc>
      </w:tr>
      <w:tr>
        <w:trPr>
          <w:cantSplit/>
        </w:trPr>
        <w:tc>
          <w:tcPr>
            <w:tcW w:type="dxa" w:w="1655"/>
            <w:vAlign w:val="center"/>
          </w:tcPr>
          <w:p>
            <w:pPr>
              <w:spacing w:before="20" w:after="20" w:line="260" w:lineRule="auto"/>
              <w:ind w:firstLine="0"/>
              <w:jc w:val="left"/>
            </w:pPr>
            <w:r>
              <w:rPr>
                <w:sz w:val="20"/>
                <w:szCs w:val="20"/>
              </w:rPr>
              <w:t xml:space="preserve">Generative AI/RAG/HITL</w:t>
            </w:r>
          </w:p>
        </w:tc>
        <w:tc>
          <w:tcPr>
            <w:tcW w:type="dxa" w:w="3867"/>
            <w:vAlign w:val="center"/>
          </w:tcPr>
          <w:p>
            <w:pPr>
              <w:spacing w:before="20" w:after="20" w:line="260" w:lineRule="auto"/>
              <w:ind w:firstLine="0"/>
              <w:jc w:val="left"/>
            </w:pPr>
            <w:r>
              <w:rPr>
                <w:sz w:val="20"/>
                <w:szCs w:val="20"/>
              </w:rPr>
              <w:t xml:space="preserve">Phiếu khuyến nghị theo quy tắc cho mọi chuỗi, truy xuất trên kho chính sách mẫu, kiểm tra bám bằng chứng kiểm thử bằng mô phỏng, dashboard có nhật ký phê duyệt</w:t>
            </w:r>
          </w:p>
        </w:tc>
        <w:tc>
          <w:tcPr>
            <w:tcW w:type="dxa" w:w="3549"/>
            <w:vAlign w:val="center"/>
          </w:tcPr>
          <w:p>
            <w:pPr>
              <w:spacing w:before="20" w:after="20" w:line="260" w:lineRule="auto"/>
              <w:ind w:firstLine="0"/>
              <w:jc w:val="left"/>
            </w:pPr>
            <w:r>
              <w:rPr>
                <w:sz w:val="20"/>
                <w:szCs w:val="20"/>
              </w:rPr>
              <w:t xml:space="preserve">Chất lượng, tỷ lệ ảo giác của mô hình ngôn ngữ trực tuyến; năng suất người lập kế hoạch</w:t>
            </w:r>
          </w:p>
        </w:tc>
      </w:tr>
    </w:tbl>
    <w:p>
      <w:pPr>
        <w:spacing w:before="40" w:after="160"/>
        <w:ind w:firstLine="0"/>
      </w:pPr>
      <w:r>
        <w:rPr>
          <w:i/>
          <w:sz w:val="22"/>
          <w:szCs w:val="22"/>
        </w:rPr>
        <w:t xml:space="preserve">Nguồn: tổng hợp của tác giả.</w:t>
      </w:r>
    </w:p>
    <w:p>
      <w:pPr>
        <w:keepLines w:val="0"/>
        <w:spacing w:after="120"/>
        <w:ind w:firstLine="567"/>
      </w:pPr>
      <w:r>
        <w:t xml:space="preserve">Với lớp Generative AI/RAG/HITL, phạm vi là kiến trúc hỗ trợ diễn giải và kiểm duyệt, chưa phải một đánh giá mô hình ngôn ngữ. Lần chạy chính thức không có khóa API nên cả 1.782 phiếu khuyến nghị được tạo ở chế độ RULE_BASED; luồng gọi mô hình ngôn ngữ và kiểm tra bám bằng chứng chỉ được kiểm thử bằng mô phỏng. Trong lần chạy chưa có quyết định phê duyệt thật nào; tệp nhật ký HITL được tạo khi người dùng ghi quyết định đầu tiên trên dashboard, nên cơ chế ghi nhận mới được chứng minh ở mức thiết kế và kiểm thử, chưa phải bằng chứng về hành vi sử dụng. Ngoài ra, Favorita là dữ liệu lịch sử của một nhà bán lẻ cụ thể, và kho tri thức chỉ gồm chính sách mẫu, giả định, do tác giả soạn để minh họa, không phải chính sách của Favorita. Giá trị khái quát của luận văn vì thế chủ yếu nằm ở phương pháp.</w:t>
      </w:r>
    </w:p>
    <w:p>
      <w:pPr>
        <w:pStyle w:val="Heading2"/>
        <w:keepNext/>
      </w:pPr>
      <w:r>
        <w:t xml:space="preserve">1.6. Phương pháp nghiên cứu tổng quát</w:t>
      </w:r>
    </w:p>
    <w:p>
      <w:pPr>
        <w:pStyle w:val="Heading3"/>
        <w:keepNext/>
      </w:pPr>
      <w:r>
        <w:t xml:space="preserve">1.6.1. Tiếp cận thực nghiệm và chuẩn bị dữ liệu</w:t>
      </w:r>
    </w:p>
    <w:p>
      <w:pPr>
        <w:keepLines w:val="0"/>
        <w:spacing w:after="120"/>
        <w:ind w:firstLine="567"/>
      </w:pPr>
      <w:r>
        <w:t xml:space="preserve">Nghiên cứu theo hướng thực nghiệm định lượng, kết hợp phân tích mô tả, phân rã Robust STL (Cleveland và cộng sự, 1990), tạo đặc trưng, học máy, dự báo xác suất và phân tích kịch bản. Chuỗi tổng doanh số theo ngày được phân rã bằng STL bền vững với chu kỳ 7 ngày sau khi bốn ngày 25/12 vắng dữ liệu được nội suy. Ở bước mô hình hóa, bài toán chuỗi thời gian được chuyển thành hồi quy có giám sát trên dữ liệu bảng theo ngày, cửa hàng và nhóm sản phẩm. Một mô hình toàn cục được huấn luyện chung cho cả 1.782 chuỗi, học quy luật chung và khác biệt giữa các chuỗi thông qua mã cửa hàng, mã nhóm và đặc trưng lịch sử riêng.</w:t>
      </w:r>
    </w:p>
    <w:p>
      <w:pPr>
        <w:keepLines w:val="0"/>
        <w:spacing w:after="120"/>
        <w:ind w:firstLine="567"/>
      </w:pPr>
      <w:r>
        <w:t xml:space="preserve">Trước khi tạo đặc trưng, lịch ngày của mọi chuỗi được hoàn thiện: bốn ngày 25/12 được thêm với doanh số và onpromotion bằng 0 cùng cờ closed, nhờ đó mọi độ trễ là độ trễ theo ngày lịch; các ngày đóng cửa không vào huấn luyện hay đánh giá. Tập đặc trưng của bốn mô hình học máy gồm 29 biến: lag_16, lag_21, lag_28, lag_32, lag_35, lag_42 và lag_56; trung bình và độ lệch chuẩn trượt với cửa sổ 7, 14 và 28 ngày tính trên chuỗi đã dịch 16 ngày; đặc trưng lịch (thứ, tháng, ngày, tuần trong năm, cờ cuối tuần); mã cửa hàng, mã nhóm và onpromotion; cùng city_code, state_code, type_code, cluster, oil_price_lag16, transactions_lag16, transactions_roll28_lag16 và is_national_holiday. Chỉ các dòng đủ mọi đặc trưng (2.689.500 dòng) được giữ lại.</w:t>
      </w:r>
    </w:p>
    <w:p>
      <w:pPr>
        <w:pStyle w:val="Heading3"/>
        <w:keepNext/>
      </w:pPr>
      <w:r>
        <w:t xml:space="preserve">1.6.2. Mô hình so sánh và thiết kế đánh giá</w:t>
      </w:r>
    </w:p>
    <w:p>
      <w:pPr>
        <w:keepLines w:val="0"/>
        <w:spacing w:after="120"/>
        <w:ind w:firstLine="567"/>
      </w:pPr>
      <w:r>
        <w:t xml:space="preserve">Năm mô hình được đánh giá trong cùng khung thời gian, trải dài từ mô hình cơ sở theo mùa vụ (Seasonal Naive), mô hình tuyến tính có điều chuẩn (Hoerl và Kennard, 1970), rừng ngẫu nhiên (Breiman, 2001) đến hai mô hình tăng cường độ dốc (Friedman, 2001; Chen và Guestrin, 2016; Ke và cộng sự, 2017). Cấu hình mỗi mô hình được cố định trong mã nguồn, không tinh chỉnh siêu tham số; các thành phần có yếu tố ngẫu nhiên dùng hạt giống 42. Ridge dùng đặc trưng chuẩn hóa bằng StandardScaler vì hình phạt L2 phụ thuộc thang đo của đặc trưng; LightGBM đặt subsample_freq = 1 vì tham số subsample chỉ có hiệu lực khi subsample_freq lớn hơn 0. XGBoost, LightGBM và Ridge dùng toàn bộ dữ liệu huấn luyện, còn Random Forest được giới hạn ở mẫu ngẫu nhiên 600.000 dòng vì chi phí tính toán.</w:t>
      </w:r>
    </w:p>
    <w:p>
      <w:pPr>
        <w:keepLines w:val="0"/>
        <w:spacing w:after="120"/>
        <w:ind w:firstLine="567"/>
      </w:pPr>
      <w:r>
        <w:t xml:space="preserve">Tiêu chí lựa chọn chính là WAPE trung bình qua ba lần kiểm định, với WAPE của một lần đánh giá xác định theo công thức (1.1); nếu hòa, quy tắc định trước lần lượt xét RMSE rồi MAE trung bình. Do mẫu số là tổng nhu cầu thực tế, WAPE vẫn xác định khi nhiều quan sát bằng 0. MAE, RMSE, sMAPE và RMSLE được dùng bổ sung để nhận diện các dạng sai số khác, với lưu ý rằng sMAPE và RMSLE ưu ái dự báo đúng ở giá trị 0 hoặc nhỏ. Sau khi mô hình được khóa, mô hình cuối được huấn luyện lại trên mọi ngày trước 31/07/2017, và tập kiểm tra cuối chỉ dùng để đánh giá khả năng khái quát hóa theo thời gian.</w:t>
      </w:r>
    </w:p>
    <w:p>
      <w:pPr>
        <w:tabs>
          <w:tab w:val="center" w:pos="4535"/>
          <w:tab w:val="right" w:pos="9071"/>
        </w:tabs>
        <w:spacing w:before="60" w:after="60"/>
        <w:ind w:firstLine="0"/>
      </w:pPr>
      <w:r>
        <w:tab/>
      </w:r>
      <m:oMath xmlns:a="http://schemas.openxmlformats.org/drawingml/2006/main" xmlns:pic="http://schemas.openxmlformats.org/drawingml/2006/picture">
        <m:r>
          <m:rPr>
            <m:sty m:val="p"/>
          </m:rPr>
          <m:t>W</m:t>
        </m:r>
        <m:r>
          <m:rPr>
            <m:sty m:val="p"/>
          </m:rPr>
          <m:t>A</m:t>
        </m:r>
        <m:r>
          <m:rPr>
            <m:sty m:val="p"/>
          </m:rPr>
          <m:t>P</m:t>
        </m:r>
        <m:r>
          <m:rPr>
            <m:sty m:val="p"/>
          </m:rPr>
          <m:t>E</m:t>
        </m:r>
        <m:r>
          <m:rPr>
            <m:sty m:val="p"/>
          </m:rPr>
          <m:t>=</m:t>
        </m:r>
        <m:f>
          <m:fPr>
            <m:type m:val="bar"/>
          </m:fPr>
          <m:num>
            <m:nary>
              <m:naryPr>
                <m:chr m:val="∑"/>
                <m:limLoc m:val="undOvr"/>
                <m:subHide m:val="off"/>
                <m:supHide m:val="on"/>
              </m:naryPr>
              <m:sub>
                <m:r>
                  <m:t>i</m:t>
                </m:r>
              </m:sub>
              <m:sup>
                <m:r>
                  <m:t>​</m:t>
                </m:r>
              </m:sup>
              <m:e>
                <m:nary>
                  <m:naryPr>
                    <m:chr m:val="∑"/>
                    <m:limLoc m:val="undOvr"/>
                    <m:subHide m:val="off"/>
                    <m:supHide m:val="on"/>
                  </m:naryPr>
                  <m:sub>
                    <m:r>
                      <m:t>t</m:t>
                    </m:r>
                  </m:sub>
                  <m:sup>
                    <m:r>
                      <m:t>​</m:t>
                    </m:r>
                  </m:sup>
                  <m:e>
                    <m:d>
                      <m:dPr>
                        <m:begChr m:val="|"/>
                        <m:sepChr m:val=""/>
                        <m:endChr m:val="|"/>
                        <m:grow/>
                      </m:dPr>
                      <m:e>
                        <m:sSub>
                          <m:e>
                            <m:r>
                              <m:t>y</m:t>
                            </m:r>
                          </m:e>
                          <m:sub>
                            <m:r>
                              <m:t>i</m:t>
                            </m:r>
                            <m:r>
                              <m:rPr>
                                <m:sty m:val="p"/>
                              </m:rPr>
                              <m:t>,</m:t>
                            </m:r>
                            <m:r>
                              <m:t>t</m:t>
                            </m:r>
                          </m:sub>
                        </m:sSub>
                        <m:r>
                          <m:rPr>
                            <m:sty m:val="p"/>
                          </m:rPr>
                          <m:t>−</m:t>
                        </m:r>
                        <m:sSub>
                          <m:e>
                            <m:acc>
                              <m:accPr>
                                <m:chr m:val="̂"/>
                              </m:accPr>
                              <m:e>
                                <m:r>
                                  <m:t>y</m:t>
                                </m:r>
                              </m:e>
                            </m:acc>
                          </m:e>
                          <m:sub>
                            <m:r>
                              <m:t>i</m:t>
                            </m:r>
                            <m:r>
                              <m:rPr>
                                <m:sty m:val="p"/>
                              </m:rPr>
                              <m:t>,</m:t>
                            </m:r>
                            <m:r>
                              <m:t>t</m:t>
                            </m:r>
                          </m:sub>
                        </m:sSub>
                      </m:e>
                    </m:d>
                  </m:e>
                </m:nary>
              </m:e>
            </m:nary>
          </m:num>
          <m:den>
            <m:nary>
              <m:naryPr>
                <m:chr m:val="∑"/>
                <m:limLoc m:val="undOvr"/>
                <m:subHide m:val="off"/>
                <m:supHide m:val="on"/>
              </m:naryPr>
              <m:sub>
                <m:r>
                  <m:t>i</m:t>
                </m:r>
              </m:sub>
              <m:sup>
                <m:r>
                  <m:t>​</m:t>
                </m:r>
              </m:sup>
              <m:e>
                <m:nary>
                  <m:naryPr>
                    <m:chr m:val="∑"/>
                    <m:limLoc m:val="undOvr"/>
                    <m:subHide m:val="off"/>
                    <m:supHide m:val="on"/>
                  </m:naryPr>
                  <m:sub>
                    <m:r>
                      <m:t>t</m:t>
                    </m:r>
                  </m:sub>
                  <m:sup>
                    <m:r>
                      <m:t>​</m:t>
                    </m:r>
                  </m:sup>
                  <m:e>
                    <m:d>
                      <m:dPr>
                        <m:begChr m:val="|"/>
                        <m:sepChr m:val=""/>
                        <m:endChr m:val="|"/>
                        <m:grow/>
                      </m:dPr>
                      <m:e>
                        <m:sSub>
                          <m:e>
                            <m:r>
                              <m:t>y</m:t>
                            </m:r>
                          </m:e>
                          <m:sub>
                            <m:r>
                              <m:t>i</m:t>
                            </m:r>
                            <m:r>
                              <m:rPr>
                                <m:sty m:val="p"/>
                              </m:rPr>
                              <m:t>,</m:t>
                            </m:r>
                            <m:r>
                              <m:t>t</m:t>
                            </m:r>
                          </m:sub>
                        </m:sSub>
                      </m:e>
                    </m:d>
                  </m:e>
                </m:nary>
              </m:e>
            </m:nary>
          </m:den>
        </m:f>
        <m:r>
          <m:rPr>
            <m:sty m:val="p"/>
          </m:rPr>
          <m:t>×</m:t>
        </m:r>
        <m:r>
          <m:t>100</m:t>
        </m:r>
        <m:r>
          <m:rPr>
            <m:sty m:val="p"/>
          </m:rPr>
          <m:t>%</m:t>
        </m:r>
      </m:oMath>
      <w:r>
        <w:tab/>
        <w:t>(1.1)</w:t>
      </w:r>
    </w:p>
    <w:p>
      <w:pPr>
        <w:pStyle w:val="Heading3"/>
        <w:keepNext/>
      </w:pPr>
      <w:r>
        <w:t xml:space="preserve">1.6.3. Lượng hóa bất định, mô phỏng quyết định và lớp diễn giải</w:t>
      </w:r>
    </w:p>
    <w:p>
      <w:pPr>
        <w:keepLines w:val="0"/>
        <w:spacing w:after="120"/>
        <w:ind w:firstLine="567"/>
      </w:pPr>
      <w:r>
        <w:t xml:space="preserve">Vì XGBoost được chọn, P10/P50/P90 được tạo bằng khoảng phần dư split-conformal (Lei và cộng sự, 2018) theo nhóm, tức dạng Mondrian của dự báo phù hợp (conformal prediction) (Vovk và cộng sự, 2005). Một mô hình XGBoost cùng cấu hình, huấn luyện trên dữ liệu trước 15/07/2017, cho phần dư trên cửa sổ hiệu chỉnh 15/07–30/07/2017. Cửa sổ này được chia thành tối đa 10 nhóm theo phân vị của dự báo điểm (còn 9 nhóm do các biên trùng nhau ở vùng dự báo bằng 0 được gộp); phân vị 0,1, 0,5 và 0,9 của phần dư trong từng nhóm được cộng vào dự báo điểm của các dòng kiểm tra thuộc nhóm đó, rồi chặn tại 0. P10/P50/P90 được đánh giá bằng hàm mất mát phân vị (Koenker và Bassett, 1978), độ bao phủ và độ rộng khoảng, theo nguyên tắc tối đa độ sắc nét với ràng buộc hiệu chỉnh (Gneiting và cộng sự, 2007).</w:t>
      </w:r>
    </w:p>
    <w:p>
      <w:pPr>
        <w:keepLines w:val="0"/>
        <w:spacing w:after="120"/>
        <w:ind w:firstLine="567"/>
      </w:pPr>
      <w:r>
        <w:t xml:space="preserve">Kịch bản khuyến mãi được xây dựng bằng cách giữ nguyên onpromotion hiện có (Current) hoặc gán cố định 0, 1, 5 và 10 (No promotion, Low, Medium, High) cho mọi ngày, mọi chuỗi; P50 kịch bản là dự báo XGBoost, còn P10/P90 kịch bản dùng độ rộng dưới và trên theo từng dòng của lớp xác suất. Lớp tồn kho cộng P10/P50/P90 của 16 ngày theo chuỗi và áp dụng nghiệm phân vị tới hạn của bài toán Newsvendor (Arrow và cộng sự, 1951; Qin và cộng sự, 2011) theo công thức (1.2); với Cu = 3 và Co = 1, tỷ lệ tới hạn bằng 0,75, còn điểm đặt hàng lại được quy ước là P90. Lượng bổ sung gợi ý bằng P90 − 0,8 × P50 (không âm), và nhãn rủi ro gán theo r với hai ngưỡng 0,35 và 0,75.</w:t>
      </w:r>
    </w:p>
    <w:p>
      <w:pPr>
        <w:tabs>
          <w:tab w:val="center" w:pos="4535"/>
          <w:tab w:val="right" w:pos="9071"/>
        </w:tabs>
        <w:spacing w:before="60" w:after="60"/>
        <w:ind w:firstLine="0"/>
      </w:pPr>
      <w:r>
        <w:tab/>
      </w:r>
      <m:oMath xmlns:a="http://schemas.openxmlformats.org/drawingml/2006/main" xmlns:pic="http://schemas.openxmlformats.org/drawingml/2006/picture">
        <m:sSup>
          <m:e>
            <m:r>
              <m:t>Q</m:t>
            </m:r>
          </m:e>
          <m:sup>
            <m:r>
              <m:rPr>
                <m:sty m:val="p"/>
              </m:rPr>
              <m:t>*</m:t>
            </m:r>
          </m:sup>
        </m:sSup>
        <m:r>
          <m:rPr>
            <m:sty m:val="p"/>
          </m:rPr>
          <m:t>=</m:t>
        </m:r>
        <m:sSup>
          <m:e>
            <m:r>
              <m:t>F</m:t>
            </m:r>
          </m:e>
          <m:sup>
            <m:r>
              <m:rPr>
                <m:sty m:val="p"/>
              </m:rPr>
              <m:t>−</m:t>
            </m:r>
            <m:r>
              <m:t>1</m:t>
            </m:r>
          </m:sup>
        </m:sSup>
        <m:r>
          <m:t>​</m:t>
        </m:r>
        <m:d>
          <m:dPr>
            <m:begChr m:val="("/>
            <m:sepChr m:val=""/>
            <m:endChr m:val=")"/>
            <m:grow/>
          </m:dPr>
          <m:e>
            <m:sSup>
              <m:e>
                <m:r>
                  <m:t>q</m:t>
                </m:r>
              </m:e>
              <m:sup>
                <m:r>
                  <m:rPr>
                    <m:sty m:val="p"/>
                  </m:rPr>
                  <m:t>*</m:t>
                </m:r>
              </m:sup>
            </m:sSup>
          </m:e>
        </m:d>
        <m:r>
          <m:rPr>
            <m:sty m:val="p"/>
          </m:rPr>
          <m:t>,</m:t>
        </m:r>
        <m:r>
          <m:t>  </m:t>
        </m:r>
        <m:sSup>
          <m:e>
            <m:r>
              <m:t>q</m:t>
            </m:r>
          </m:e>
          <m:sup>
            <m:r>
              <m:rPr>
                <m:sty m:val="p"/>
              </m:rPr>
              <m:t>*</m:t>
            </m:r>
          </m:sup>
        </m:sSup>
        <m:r>
          <m:rPr>
            <m:sty m:val="p"/>
          </m:rPr>
          <m:t>=</m:t>
        </m:r>
        <m:f>
          <m:fPr>
            <m:type m:val="bar"/>
          </m:fPr>
          <m:num>
            <m:sSub>
              <m:e>
                <m:r>
                  <m:t>C</m:t>
                </m:r>
              </m:e>
              <m:sub>
                <m:r>
                  <m:t>u</m:t>
                </m:r>
              </m:sub>
            </m:sSub>
          </m:num>
          <m:den>
            <m:sSub>
              <m:e>
                <m:r>
                  <m:t>C</m:t>
                </m:r>
              </m:e>
              <m:sub>
                <m:r>
                  <m:t>u</m:t>
                </m:r>
              </m:sub>
            </m:sSub>
            <m:r>
              <m:rPr>
                <m:sty m:val="p"/>
              </m:rPr>
              <m:t>+</m:t>
            </m:r>
            <m:sSub>
              <m:e>
                <m:r>
                  <m:t>C</m:t>
                </m:r>
              </m:e>
              <m:sub>
                <m:r>
                  <m:t>o</m:t>
                </m:r>
              </m:sub>
            </m:sSub>
          </m:den>
        </m:f>
      </m:oMath>
      <w:r>
        <w:tab/>
        <w:t>(1.2)</w:t>
      </w:r>
    </w:p>
    <w:p>
      <w:pPr>
        <w:keepLines w:val="0"/>
        <w:spacing w:after="120"/>
        <w:ind w:firstLine="567"/>
      </w:pPr>
      <w:r>
        <w:t xml:space="preserve">Lớp hỗ trợ quyết định (Stage 08) tạo phiếu khuyến nghị cho tất cả 1.782 chuỗi và xếp hàng đợi theo điểm ưu tiên minh bạch, cộng điểm cho chuỗi quy mô lớn, nhãn rủi ro và cảnh báo ngoại suy khuyến mãi. Mỗi phiếu gồm ba phương án số lượng (theo P50, xấp xỉ theo q*, theo P90), hành động, khuyến nghị khuyến mãi, mức tin cậy, giả định, danh mục kiểm tra và căn cứ chính sách truy xuất bằng BM25 kết hợp thẻ trên kho chính sách mẫu, theo tinh thần sinh tăng cường truy xuất (Lewis và cộng sự, 2020). Khi có khóa API, mô hình ngôn ngữ chỉ viết lại phần diễn giải và phải qua kiểm tra bám bằng chứng: mọi số lớn hơn 31 phải khớp một số trong bằng chứng, nếu không bản viết lại bị loại.</w:t>
      </w:r>
    </w:p>
    <w:p>
      <w:pPr>
        <w:keepLines w:val="0"/>
        <w:spacing w:after="120"/>
        <w:ind w:firstLine="567"/>
      </w:pPr>
      <w:r>
        <w:t xml:space="preserve">Dashboard Streamlit 11 trang nêu rõ trợ lý không tạo dự báo số; trang trung tâm quyết định có hàng đợi ưu tiên và biểu mẫu HITL bắt buộc nhập người phê duyệt và lý do, kèm quyết định và số lượng cuối cùng, ghi vào hitl_audit_log.csv 14 cột, phù hợp với định hướng giữ con người trong vòng lặp (Wu và cộng sự, 2022). Trang xuất báo cáo cho phép tải workbook Excel nhiều sheet, báo cáo tóm tắt một trang và mẫu ra quyết định dự báo theo phạm vi được chọn. Stage 13 sinh thư mục REPORT_READY gồm 23 bảng và 27 hình trực tiếp từ các tệp đầu ra. Về kết quả chính, XGBoost đạt WAPE trung bình 12,089% ở kiểm định chéo và 14,327% trên tập kiểm tra cuối; khoảng P10–P90 bao phủ 75,40% số quan sát, thấp hơn danh nghĩa 80%, với bao phủ theo mức nhu cầu từ 70,86% đến 81,90%.</w:t>
      </w:r>
    </w:p>
    <w:p>
      <w:pPr>
        <w:pStyle w:val="Heading2"/>
        <w:keepNext/>
      </w:pPr>
      <w:r>
        <w:t xml:space="preserve">1.7. Đóng góp nghiên cứu</w:t>
      </w:r>
    </w:p>
    <w:p>
      <w:pPr>
        <w:pStyle w:val="Heading3"/>
        <w:keepNext/>
      </w:pPr>
      <w:r>
        <w:t xml:space="preserve">1.7.1. Quy trình khép kín từ dữ liệu đến phiếu khuyến nghị có con người phê duyệt</w:t>
      </w:r>
    </w:p>
    <w:p>
      <w:pPr>
        <w:keepLines w:val="0"/>
        <w:spacing w:after="120"/>
        <w:ind w:firstLine="567"/>
      </w:pPr>
      <w:r>
        <w:t xml:space="preserve">Đóng góp thứ nhất là một quy trình khép kín nối liền các mắt xích thường được nghiên cứu tách rời: kiểm tra dữ liệu, dự báo điểm, dự báo xác suất, kịch bản khuyến mãi, tín hiệu tồn kho và phiếu khuyến nghị chờ con người phê duyệt. Quy trình gồm 14 stage đánh số, mỗi stage đọc đầu ra của stage trước và ghi đầu ra riêng vào thư mục outputs/. Trên tập kiểm tra cuối 31/07–15/08/2017, mô hình được chọn là XGBoost đạt WAPE 14,327%; P10/P50/P90 quanh dự báo đó được dùng cho năm kịch bản onpromotion, cho lượng bổ sung mô phỏng và nhãn rủi ro của 1.782 chuỗi (HIGH 1.064, MEDIUM 634, LOW 84), rồi cho 1.782 phiếu khuyến nghị xếp trong một hàng đợi ưu tiên. Nhờ cấu trúc này, một số liệu xuất hiện ở phiếu khuyến nghị có thể truy ngược về dự báo, khoảng dự báo và giả định đã tạo ra nó.</w:t>
      </w:r>
    </w:p>
    <w:p>
      <w:pPr>
        <w:keepLines w:val="0"/>
        <w:spacing w:after="120"/>
        <w:ind w:firstLine="567"/>
      </w:pPr>
      <w:r>
        <w:t xml:space="preserve">Giá trị của đóng góp này không nằm ở từng thành phần riêng lẻ, vốn đều dựa trên phương pháp đã có trong tài liệu, mà ở cách các thành phần được ghép nối với ranh giới diễn giải rõ ràng. Kịch bản khuyến mãi được trình bày là dự báo có điều kiện kèm cảnh báo ngoại suy, không phải tác động nhân quả; lượng bổ sung là kết quả mô phỏng dưới vị thế tồn kho giả định 0,8 × P50 và tỷ lệ chi phí Cu = 3, Co = 1; nhãn rủi ro là mức bất định tương đối, không phải so sánh tồn kho thực với mục tiêu. Mỗi phiếu dừng ở trạng thái chờ người phê duyệt, nên quy trình tạo ra đề xuất có căn cứ chứ không tự động ra quyết định. Cách tổ chức này phù hợp với quan điểm của Fildes và cộng sự (2022) rằng dự báo bán lẻ cần được đánh giá trong mối liên hệ với quyết định mà nó phục vụ.</w:t>
      </w:r>
    </w:p>
    <w:p>
      <w:pPr>
        <w:pStyle w:val="Heading3"/>
        <w:keepNext/>
      </w:pPr>
      <w:r>
        <w:t xml:space="preserve">1.7.2. Thiết kế đặc trưng và mô hình cơ sở có kiểm soát rò rỉ cho kỳ dự báo trực tiếp 16 ngày</w:t>
      </w:r>
    </w:p>
    <w:p>
      <w:pPr>
        <w:keepLines w:val="0"/>
        <w:spacing w:after="120"/>
        <w:ind w:firstLine="567"/>
      </w:pPr>
      <w:r>
        <w:t xml:space="preserve">Đóng góp thứ hai là một thiết kế đặc trưng và mô hình cơ sở bảo đảm mọi thông tin đầu vào đều khả dụng tại gốc dự báo cho cả 16 ngày của kỳ dự báo trực tiếp. Bốn mô hình học máy chỉ dùng độ trễ từ 16 ngày trở lên và thống kê trượt trên chuỗi đã dịch 16 ngày; giá dầu được điền tiến trên lịch ngày rồi dịch 16 ngày lịch; số giao dịch được dịch và tính trung bình trượt trên lịch ngày của từng cửa hàng trước khi ghép vào bảng chuỗi, để tránh giá trị của cửa hàng khác tràn sang khi điền giá trị thiếu; cờ ngày lễ quốc gia loại ngày làm bù (Work Day) và ngày đã chuyển. Seasonal Naive được cố định tại gốc dự báo, nhờ đó so sánh giữa mô hình cơ sở và học máy diễn ra trong cùng điều kiện thông tin. Trong điều kiện đó, XGBoost đạt WAPE trung bình kiểm định chéo 12,089%, so với 15,718% của Seasonal Naive.</w:t>
      </w:r>
    </w:p>
    <w:p>
      <w:pPr>
        <w:keepLines w:val="0"/>
        <w:spacing w:after="120"/>
        <w:ind w:firstLine="567"/>
      </w:pPr>
      <w:r>
        <w:t xml:space="preserve">Thiết kế này đi kèm một quy tắc lựa chọn mô hình được xác định trước: ưu tiên WAPE trung bình thấp nhất qua ba lần kiểm định, hòa thì xét RMSE rồi MAE, và mô hình được khóa trước khi dùng đến tập kiểm tra cuối. Vì khoảng cách 0,478 điểm % giữa XGBoost và LightGBM nhỏ hơn độ lệch chuẩn giữa các lần kiểm định của XGBoost (0,646 điểm %), giá trị của đóng góp không nằm ở một thuật toán thắng cuộc mà ở một quy trình đánh giá có thể lặp lại và kiểm tra lại, phù hợp với khuyến nghị về thực hành đánh giá dự báo cẩn trọng (Hewamalage và cộng sự, 2023). Thí nghiệm độ nhạy cho thấy khi XGBoost chỉ huấn luyện trên mẫu 600.000 dòng, WAPE trung bình tăng 0,169 điểm %, còn LightGBM không đặt subsample_freq chỉ chênh 0,027 điểm %; với ba cửa sổ, các chênh lệch này chỉ mang tính tham khảo.</w:t>
      </w:r>
    </w:p>
    <w:p>
      <w:pPr>
        <w:pStyle w:val="Heading3"/>
        <w:keepNext/>
      </w:pPr>
      <w:r>
        <w:t xml:space="preserve">1.7.3. Khoảng dự báo thích ứng theo quy mô và đánh giá bao phủ phân rã</w:t>
      </w:r>
    </w:p>
    <w:p>
      <w:pPr>
        <w:keepLines w:val="0"/>
        <w:spacing w:after="120"/>
        <w:ind w:firstLine="567"/>
      </w:pPr>
      <w:r>
        <w:t xml:space="preserve">Đóng góp thứ ba là lớp dự báo xác suất có độ rộng thích ứng theo quy mô, cùng cách đánh giá độ bao phủ không dừng ở con số tổng. P10/P50/P90 được tạo quanh XGBoost bằng khoảng phần dư split-conformal theo nhóm (Mondrian): phân vị phần dư được tính riêng trong từng nhóm quy mô của dự báo điểm, và việc xếp nhóm chỉ dựa vào dự báo điểm, tức thông tin biết tại thời điểm dự báo. Trong lần chạy chính thức, cửa sổ hiệu chỉnh được chia thành 9 nhóm; độ rộng q90 − q10 tăng từ 4,22 ở nhóm dự báo điểm nhỏ nhất lên 1.175,96 ở nhóm lớn nhất. Lựa chọn này xuất phát từ lý do phương pháp: một bộ phân vị phần dư chung cho mọi chuỗi sẽ cho độ rộng gần như bằng nhau bất kể quy mô, quá rộng cho chuỗi nhỏ và quá hẹp cho chuỗi lớn.</w:t>
      </w:r>
    </w:p>
    <w:p>
      <w:pPr>
        <w:keepLines w:val="0"/>
        <w:spacing w:after="120"/>
        <w:ind w:firstLine="567"/>
      </w:pPr>
      <w:r>
        <w:t xml:space="preserve">Độ bao phủ của khoảng P10–P90 được đánh giá đồng thời ở cấp tổng và theo từng mức nhu cầu, cửa hàng và nhóm hàng. Trên tập kiểm tra cuối, bao phủ tổng là 75,40%, thấp hơn mức danh nghĩa 80%, với 17,35% quan sát thực tế nằm dưới P10 và 7,25% nằm trên P90. Theo bốn mức nhu cầu, bao phủ nằm trong khoảng 70,86%–81,90%, và hệ số Spearman giữa quy mô nhóm sản phẩm với bao phủ chỉ là 0,013, tức bao phủ gần như không phụ thuộc quy mô nhóm hàng. Dù vậy, chỉ 11 trong 33 nhóm đạt bao phủ từ 80% trở lên và 3 nhóm dưới 60%; cửa sổ hiệu chỉnh lại trùng lần kiểm định thứ ba. Đóng góp vì thế là một công cụ chẩn đoán hiệu chuẩn theo nhóm, được trình bày cùng những điểm còn hạn chế, chứ không phải lời khẳng định rằng khoảng dự báo đã đạt bao phủ danh nghĩa.</w:t>
      </w:r>
    </w:p>
    <w:p>
      <w:pPr>
        <w:pStyle w:val="Heading3"/>
        <w:keepNext/>
      </w:pPr>
      <w:r>
        <w:t xml:space="preserve">1.7.4. Lớp hỗ trợ quyết định có căn cứ</w:t>
      </w:r>
    </w:p>
    <w:p>
      <w:pPr>
        <w:keepLines w:val="0"/>
        <w:spacing w:after="120"/>
        <w:ind w:firstLine="567"/>
      </w:pPr>
      <w:r>
        <w:t xml:space="preserve">Đóng góp thứ tư là một lớp hỗ trợ quyết định tách biệt khỏi máy dự báo, trong đó mọi nội dung diễn giải đều bám vào bằng chứng do các bước định lượng tạo ra. Mỗi phiếu khuyến nghị gồm tóm tắt, ba phương án số lượng theo P50, xấp xỉ theo q* và theo P90, hành động, khuyến nghị khuyến mãi, mức tin cậy, giả định, danh mục kiểm tra và căn cứ chính sách truy xuất bằng BM25 kết hợp thẻ trên kho gồm 12 quy định mẫu, theo tinh thần sinh tăng cường truy xuất (Lewis và cộng sự, 2020). Khi có khóa API, mô hình ngôn ngữ chỉ được viết lại phần diễn giải và phải qua kiểm tra bám bằng chứng: mọi số lớn hơn 31 phải khớp một số trong bằng chứng, nếu không bản viết lại bị loại và phiếu quay về bản theo quy tắc. Cơ chế này nhằm hạn chế hiện tượng ảo giác của mô hình ngôn ngữ (Ji và cộng sự, 2023) mà không để mô hình trở thành nguồn tạo số liệu mới.</w:t>
      </w:r>
    </w:p>
    <w:p>
      <w:pPr>
        <w:keepLines w:val="0"/>
        <w:spacing w:after="120"/>
        <w:ind w:firstLine="567"/>
      </w:pPr>
      <w:r>
        <w:t xml:space="preserve">Quyền quyết định được giữ ở con người thông qua dashboard 11 trang. Trang trung tâm quyết định có hàng đợi ưu tiên, thẻ phiếu khuyến nghị và biểu mẫu HITL bắt buộc nhập người phê duyệt và lý do, với bốn loại quyết định và số lượng cuối cùng được ghi vào nhật ký 14 cột, phù hợp với các nguyên tắc tương tác người – AI (Amershi và cộng sự, 2019). Trang xuất báo cáo cho phép tải workbook Excel nhiều sheet, báo cáo tóm tắt một trang dạng HTML và PDF, cùng mẫu ra quyết định dự báo có ô nhập tồn kho thực tế, hàng đang về, quyết định, số lượng cuối và cột kiểm soát tự động; mọi giá trị đều đọc từ đầu ra của quy trình. Vì lần chạy chính thức không có khóa API và chưa có quyết định phê duyệt thật nào, lớp này được trình bày như một kiến trúc đã được kiểm thử, không phải một đánh giá mô hình ngôn ngữ lớn hay hành vi người dùng.</w:t>
      </w:r>
    </w:p>
    <w:p>
      <w:pPr>
        <w:pStyle w:val="Heading3"/>
        <w:keepNext/>
      </w:pPr>
      <w:r>
        <w:t xml:space="preserve">1.7.5. Tính tái lập của toàn bộ kết quả</w:t>
      </w:r>
    </w:p>
    <w:p>
      <w:pPr>
        <w:keepLines w:val="0"/>
        <w:spacing w:after="120"/>
        <w:ind w:firstLine="567"/>
      </w:pPr>
      <w:r>
        <w:t xml:space="preserve">Đóng góp thứ năm là tính tái lập theo nghĩa quy trình: toàn bộ các bước tạo ra kết quả trong luận văn có thể chạy lại từ dữ liệu gốc bằng một lệnh; để trùng khớp từng chữ số cần cố định đúng phiên bản thư viện của lần chạy chính thức. Tệp START_WINDOWS.bat tạo môi trường ảo, cài các thư viện theo requirements.txt, chạy lần lượt Stage 01–14 rồi mở dashboard; các stage cũng có thể được chạy riêng bằng Python. Trong lần chạy chính thức trên 2 CPU, Stage 01–14 được chạy tuần tự trong một lần, mất tổng cộng 53,0 phút, trong đó bước huấn luyện và so sánh năm mô hình chiếm 2.904 giây, còn thí nghiệm độ nhạy ở Stage 14 chiếm 171 giây. Stage 13 sinh 23 bảng và 27 hình của thư mục REPORT_READY trực tiếp từ outputs/, nhờ vậy mỗi con số trong luận văn truy được về một tệp kết quả cụ thể. Đây là điều kiện cần khi đưa hệ thống vào vận hành, nơi học máy dễ tích tụ nợ kỹ thuật ẩn (Sculley và cộng sự, 2015).</w:t>
      </w:r>
    </w:p>
    <w:p>
      <w:pPr>
        <w:keepLines w:val="0"/>
        <w:spacing w:after="120"/>
        <w:ind w:firstLine="567"/>
      </w:pPr>
      <w:r>
        <w:t xml:space="preserve">Tính tái lập được củng cố bằng các kiểm thử ở nhiều tầng. Smoke test toàn quy trình ở Stage 10 kiểm tra đủ đầu ra và các ràng buộc phương pháp; tệp tests/test_core.py đạt 4/4 kiểm thử đơn vị; Streamlit AppTest mở lần lượt cả 11 trang dashboard trên đầu ra của lần chạy mà không gặp lỗi; luồng mô hình ngôn ngữ được kiểm thử bằng phản hồi giả lập cho ba tình huống: bản hợp lệ, bản chứa số không có trong bằng chứng và phản hồi không phải JSON. Workbook Excel xuất từ dashboard được mở lại và đối chiếu, cho WAPE 14,327% và bao phủ 75,40%, khớp với kết quả của Stage 04 và Stage 05; mẫu ra quyết định cho 1.782 chuỗi được tính lại 7.140 công thức mà không có lỗi. Khác biệt phiên bản thư viện giữa môi trường.venv và môi trường của lần chạy chính thức, nêu ở mục 1.5.1, là giới hạn cần lưu ý khi chạy lại.</w:t>
      </w:r>
    </w:p>
    <w:p>
      <w:pPr>
        <w:pStyle w:val="Heading2"/>
        <w:keepNext/>
      </w:pPr>
      <w:r>
        <w:t xml:space="preserve">1.8. Cấu trúc luận văn</w:t>
      </w:r>
    </w:p>
    <w:p>
      <w:pPr>
        <w:pStyle w:val="Heading3"/>
        <w:keepNext/>
      </w:pPr>
      <w:r>
        <w:t xml:space="preserve">1.8.1. Nội dung các chương</w:t>
      </w:r>
    </w:p>
    <w:p>
      <w:pPr>
        <w:keepLines w:val="0"/>
        <w:spacing w:after="120"/>
        <w:ind w:firstLine="567"/>
      </w:pPr>
      <w:r>
        <w:t xml:space="preserve">Luận văn gồm sáu chương và năm phụ lục. Chương 2 (mục 2.1–2.18) trình bày cơ sở lý thuyết về dự báo nhu cầu bán lẻ, xu hướng và mùa vụ, STL bền vững, tạo đặc trưng, năm mô hình so sánh, các thước đo sai số, dự báo xác suất, kịch bản khuyến mãi, hỗ trợ quyết định tồn kho, RAG, Generative AI và HITL, tổng quan nghiên cứu và khung phân tích. Chương 3 (mục 3.1–3.15) mô tả thiết kế nghiên cứu, dữ liệu, đặc trưng, kiểm soát rò rỉ, cấu hình mô hình, thiết kế đánh giá, dự báo xác suất, kịch bản khuyến mãi, quy tắc tồn kho, lớp Generative AI cùng dashboard; mục 3.14 “Tái lập và kiểm thử quy trình” trình bày cách chạy lại toàn bộ quy trình từ train.csv, thứ tự 14 stage, môi trường, thời gian chạy và các kiểm thử, còn mục 3.15 là tiểu kết chương.</w:t>
      </w:r>
    </w:p>
    <w:p>
      <w:pPr>
        <w:keepLines w:val="0"/>
        <w:spacing w:after="120"/>
        <w:ind w:firstLine="567"/>
      </w:pPr>
      <w:r>
        <w:t xml:space="preserve">Chương 4 (mục 4.1–4.16) trình bày bằng chứng thực nghiệm của lần chạy chính thức: xếp hạng và độ ổn định của mô hình, tập kiểm tra cuối, phân rã sai số, mức độ quan trọng của đặc trưng, dự báo xác suất, kịch bản khuyến mãi, tồn kho, lớp Generative AI, bốn trường hợp đại diện và tổng hợp theo câu hỏi nghiên cứu; mục 4.15 “Thí nghiệm độ nhạy của các lựa chọn thiết kế” đánh giá ảnh hưởng của quy mô dữ liệu huấn luyện XGBoost và tham số subsample_freq của LightGBM, mục 4.16 là tiểu kết. Chương 5 mở đầu bằng mục 5.1 “Mô hình cơ sở và bằng chứng về lợi ích của học máy”, sau đó chuyển kết quả thành hàm ý ứng dụng, thảo luận điều kiện áp dụng, hạn chế và hướng mở rộng. Chương 6 tổng hợp kết luận, trả lời năm câu hỏi nghiên cứu và đưa ra kiến nghị cùng hướng nghiên cứu tiếp theo.</w:t>
      </w:r>
    </w:p>
    <w:p>
      <w:pPr>
        <w:pStyle w:val="Heading3"/>
        <w:keepNext/>
      </w:pPr>
      <w:r>
        <w:t xml:space="preserve">1.8.2. Phụ lục và mạch lập luận</w:t>
      </w:r>
    </w:p>
    <w:p>
      <w:pPr>
        <w:keepLines w:val="0"/>
        <w:spacing w:after="120"/>
        <w:ind w:firstLine="567"/>
      </w:pPr>
      <w:r>
        <w:t xml:space="preserve">Năm phụ lục cung cấp bằng chứng chi tiết để kiểm tra các kết luận tổng hợp. Phụ lục A trình bày kết quả theo 54 cửa hàng; Phụ lục B theo 33 nhóm sản phẩm; Phụ lục C liệt kê 30 phiếu khuyến nghị có mức ưu tiên cao nhất của Stage 08; Phụ lục D tổng hợp cấu hình, danh mục tệp kết quả và nguyên tắc diễn giải áp dụng trong toàn luận văn; Phụ lục E “Thí nghiệm độ nhạy và kiểm thử” trình bày bảng chi tiết của thí nghiệm độ nhạy theo từng lần kiểm định và kết quả các kiểm thử của quy trình, dashboard và công cụ xuất dữ liệu. Nhờ đó, các con số tổng hợp ở chương kết quả có thể được so khớp với số liệu chi tiết và tệp kết quả gốc.</w:t>
      </w:r>
    </w:p>
    <w:p>
      <w:pPr>
        <w:keepLines w:val="0"/>
        <w:spacing w:after="120"/>
        <w:ind w:firstLine="567"/>
      </w:pPr>
      <w:r>
        <w:t xml:space="preserve">Cách bố trí này giữ một mạch lập luận nhất quán: Chương 2 trả lời “dựa trên cơ sở nào”, Chương 3 trả lời “thực hiện và kiểm thử như thế nào”, Chương 4 trả lời “kết quả thực nghiệm là gì”, còn Chương 5 trả lời “kết quả đó có ý nghĩa gì và áp dụng trong điều kiện nào”. Hàm ý quản trị chỉ được đưa ra sau khi bằng chứng và giới hạn của dữ liệu đã được xác định, phản ánh nguyên tắc: quy tắc được xác định trước, bằng chứng được quan sát sau. Chương 6 quay về năm câu hỏi ở mục 1.4 để đánh giá mức độ hoàn thành của từng mục tiêu.</w:t>
      </w:r>
    </w:p>
    <w:p>
      <w:pPr>
        <w:pStyle w:val="Heading1"/>
        <w:pageBreakBefore/>
      </w:pPr>
      <w:r>
        <w:t xml:space="preserve">CHƯƠNG 2. CƠ SỞ LÝ THUYẾT VÀ TỔNG QUAN NGHIÊN CỨU</w:t>
      </w:r>
    </w:p>
    <w:p>
      <w:pPr>
        <w:keepLines w:val="0"/>
        <w:spacing w:after="120"/>
        <w:ind w:firstLine="567"/>
      </w:pPr>
      <w:r>
        <w:t xml:space="preserve">Chương 2 xây dựng nền tảng lý thuyết cho quy trình dự báo và hỗ trợ quyết định được triển khai ở các chương sau. Mỗi khái niệm được lựa chọn vì nó lý giải trực tiếp một quyết định phương pháp của luận văn: vì sao sử dụng mô hình toàn cục trên dữ liệu bảng theo thời gian, vì sao từng đặc trưng phải được kiểm soát theo kỳ dự báo, vì sao WAPE được chọn làm tiêu chí xếp hạng chính và vì sao dự báo điểm cần được bổ sung bằng các phân vị P10/P50/P90 trước khi được chuyển thành tín hiệu cho quyết định khuyến mãi và tồn kho. Bên cạnh đó, chương đối chiếu từng nguyên tắc với cách triển khai trong lần chạy chính thức của quy trình để chỉ rõ nguyên tắc nào đã được đáp ứng và giới hạn nào vẫn còn tồn tại.</w:t>
      </w:r>
    </w:p>
    <w:p>
      <w:pPr>
        <w:keepLines w:val="0"/>
        <w:spacing w:after="120"/>
        <w:ind w:firstLine="567"/>
      </w:pPr>
      <w:r>
        <w:t xml:space="preserve">Các mục 2.1 đến 2.4 trình bày bản chất của dự báo nhu cầu bán lẻ, xu hướng và mùa vụ, phương pháp phân rã STL bền vững và kỹ thuật xây dựng đặc trưng. Các mục 2.5 đến 2.9 phân tích năm mô hình được so sánh; các mục 2.10 đến 2.12 bàn về thước đo sai số và dự báo xác suất; các mục 2.13 đến 2.15 đề cập kịch bản khuyến mãi, hỗ trợ quyết định tồn kho và kiến trúc Generative AI/RAG/HITL. Chương khép lại bằng tổng quan các nghiên cứu liên quan (mục 2.16), khoảng trống nghiên cứu cùng khung phân tích (mục 2.17) và tiểu kết (mục 2.18).</w:t>
      </w:r>
    </w:p>
    <w:p>
      <w:pPr>
        <w:pStyle w:val="Heading2"/>
        <w:keepNext/>
      </w:pPr>
      <w:r>
        <w:t xml:space="preserve">2.1. Dự báo nhu cầu bán lẻ</w:t>
      </w:r>
    </w:p>
    <w:p>
      <w:pPr>
        <w:pStyle w:val="Heading3"/>
        <w:keepNext/>
      </w:pPr>
      <w:r>
        <w:t xml:space="preserve">2.1.1. Khái niệm và hình thức hóa bài toán</w:t>
      </w:r>
    </w:p>
    <w:p>
      <w:pPr>
        <w:keepLines w:val="0"/>
        <w:spacing w:after="120"/>
        <w:ind w:firstLine="567"/>
      </w:pPr>
      <w:r>
        <w:t xml:space="preserve">Dự báo nhu cầu là việc ước lượng giá trị trong tương lai của nhu cầu dựa trên thông tin sẵn có tại thời điểm dự báo (Hyndman và Athanasopoulos, 2021). Trọng tâm của định nghĩa nằm ở ràng buộc thông tin: mọi đầu vào phải được biết tại thời điểm gốc (forecast origin). Ký hiệu y(i,t) là doanh số của chuỗi i, tức một tổ hợp cửa hàng – nhóm sản phẩm, vào ngày t. Dữ liệu Favorita gồm 3.000.888 quan sát thuộc 1.782 chuỗi được tạo từ 54 cửa hàng và 33 nhóm sản phẩm, trải từ 01/01/2013 đến 15/08/2017 (Kaggle, n.d.). Với thời điểm gốc T, kỳ dự báo H và tập thông tin I(T), bài toán dự báo trực tiếp (direct forecasting) có dạng (2.1), trong đó hàm g được dùng chung cho mọi bước h, còn véc-tơ đặc trưng chỉ được chứa thông tin thuộc I(T).</w:t>
      </w:r>
    </w:p>
    <w:p>
      <w:pPr>
        <w:tabs>
          <w:tab w:val="center" w:pos="4535"/>
          <w:tab w:val="right" w:pos="9071"/>
        </w:tabs>
        <w:spacing w:before="60" w:after="60"/>
        <w:ind w:firstLine="0"/>
      </w:pPr>
      <w:r>
        <w:tab/>
      </w:r>
      <m:oMath xmlns:a="http://schemas.openxmlformats.org/drawingml/2006/main" xmlns:pic="http://schemas.openxmlformats.org/drawingml/2006/picture">
        <m:sSub>
          <m:e>
            <m:acc>
              <m:accPr>
                <m:chr m:val="̂"/>
              </m:accPr>
              <m:e>
                <m:r>
                  <m:t>y</m:t>
                </m:r>
              </m:e>
            </m:acc>
          </m:e>
          <m:sub>
            <m:r>
              <m:t>i</m:t>
            </m:r>
            <m:r>
              <m:rPr>
                <m:sty m:val="p"/>
              </m:rPr>
              <m:t>,</m:t>
            </m:r>
            <m:r>
              <m:t>T</m:t>
            </m:r>
            <m:r>
              <m:rPr>
                <m:sty m:val="p"/>
              </m:rPr>
              <m:t>+</m:t>
            </m:r>
            <m:r>
              <m:t>h</m:t>
            </m:r>
            <m:r>
              <m:rPr>
                <m:sty m:val="p"/>
              </m:rPr>
              <m:t>∣</m:t>
            </m:r>
            <m:r>
              <m:t>T</m:t>
            </m:r>
          </m:sub>
        </m:sSub>
        <m:r>
          <m:rPr>
            <m:sty m:val="p"/>
          </m:rPr>
          <m:t>=</m:t>
        </m:r>
        <m:r>
          <m:t>g</m:t>
        </m:r>
        <m:d>
          <m:dPr>
            <m:begChr m:val="("/>
            <m:sepChr m:val=""/>
            <m:endChr m:val=")"/>
            <m:grow/>
          </m:dPr>
          <m:e>
            <m:sSub>
              <m:e>
                <m:r>
                  <m:rPr>
                    <m:sty m:val="b"/>
                  </m:rPr>
                  <m:t>x</m:t>
                </m:r>
              </m:e>
              <m:sub>
                <m:r>
                  <m:t>i</m:t>
                </m:r>
                <m:r>
                  <m:rPr>
                    <m:sty m:val="p"/>
                  </m:rPr>
                  <m:t>,</m:t>
                </m:r>
                <m:r>
                  <m:t>T</m:t>
                </m:r>
                <m:r>
                  <m:rPr>
                    <m:sty m:val="p"/>
                  </m:rPr>
                  <m:t>+</m:t>
                </m:r>
                <m:r>
                  <m:t>h</m:t>
                </m:r>
                <m:r>
                  <m:rPr>
                    <m:sty m:val="p"/>
                  </m:rPr>
                  <m:t>∣</m:t>
                </m:r>
                <m:r>
                  <m:t>T</m:t>
                </m:r>
              </m:sub>
            </m:sSub>
          </m:e>
        </m:d>
        <m:r>
          <m:rPr>
            <m:sty m:val="p"/>
          </m:rPr>
          <m:t>,</m:t>
        </m:r>
        <m:r>
          <m:t>  </m:t>
        </m:r>
        <m:sSub>
          <m:e>
            <m:r>
              <m:rPr>
                <m:sty m:val="b"/>
              </m:rPr>
              <m:t>x</m:t>
            </m:r>
          </m:e>
          <m:sub>
            <m:r>
              <m:t>i</m:t>
            </m:r>
            <m:r>
              <m:rPr>
                <m:sty m:val="p"/>
              </m:rPr>
              <m:t>,</m:t>
            </m:r>
            <m:r>
              <m:t>T</m:t>
            </m:r>
            <m:r>
              <m:rPr>
                <m:sty m:val="p"/>
              </m:rPr>
              <m:t>+</m:t>
            </m:r>
            <m:r>
              <m:t>h</m:t>
            </m:r>
            <m:r>
              <m:rPr>
                <m:sty m:val="p"/>
              </m:rPr>
              <m:t>∣</m:t>
            </m:r>
            <m:r>
              <m:t>T</m:t>
            </m:r>
          </m:sub>
        </m:sSub>
        <m:r>
          <m:rPr>
            <m:sty m:val="p"/>
          </m:rPr>
          <m:t>∈</m:t>
        </m:r>
        <m:sSub>
          <m:e>
            <m:r>
              <m:rPr>
                <m:scr m:val="script"/>
                <m:sty m:val="p"/>
              </m:rPr>
              <m:t>I</m:t>
            </m:r>
          </m:e>
          <m:sub>
            <m:r>
              <m:t>T</m:t>
            </m:r>
          </m:sub>
        </m:sSub>
        <m:r>
          <m:rPr>
            <m:sty m:val="p"/>
          </m:rPr>
          <m:t>,</m:t>
        </m:r>
        <m:r>
          <m:t>  </m:t>
        </m:r>
        <m:r>
          <m:t>h</m:t>
        </m:r>
        <m:r>
          <m:rPr>
            <m:sty m:val="p"/>
          </m:rPr>
          <m:t>=</m:t>
        </m:r>
        <m:r>
          <m:t>1</m:t>
        </m:r>
        <m:r>
          <m:rPr>
            <m:sty m:val="p"/>
          </m:rPr>
          <m:t>,</m:t>
        </m:r>
        <m:r>
          <m:rPr>
            <m:sty m:val="p"/>
          </m:rPr>
          <m:t>…</m:t>
        </m:r>
        <m:r>
          <m:rPr>
            <m:sty m:val="p"/>
          </m:rPr>
          <m:t>,</m:t>
        </m:r>
        <m:r>
          <m:t>H</m:t>
        </m:r>
      </m:oMath>
      <w:r>
        <w:tab/>
        <w:t>(2.1)</w:t>
      </w:r>
    </w:p>
    <w:p>
      <w:pPr>
        <w:keepLines w:val="0"/>
        <w:spacing w:after="120"/>
        <w:ind w:firstLine="567"/>
      </w:pPr>
      <w:r>
        <w:t xml:space="preserve">Với H = 16 ngày như trong luận văn, mỗi thời điểm gốc sinh ra 16 giá trị dự báo cho từng chuỗi, tức 16 × 1.782 = 28.512 giá trị cho mỗi cửa sổ đánh giá. Tổng quát hơn, đối tượng mà dự báo hướng tới là phân phối có điều kiện (2.2) của nhu cầu tương lai; dự báo điểm chỉ là một đại lượng tóm tắt của phân phối này, như kỳ vọng hay trung vị, còn P10/P50/P90 là các lát cắt khác của cùng phân phối. Vì vậy, luận văn không dừng ở dự báo điểm mà xây dựng thêm lớp dự báo xác suất, có cơ sở lý thuyết được trình bày ở mục 2.12.</w:t>
      </w:r>
    </w:p>
    <w:p>
      <w:pPr>
        <w:tabs>
          <w:tab w:val="center" w:pos="4535"/>
          <w:tab w:val="right" w:pos="9071"/>
        </w:tabs>
        <w:spacing w:before="60" w:after="60"/>
        <w:ind w:firstLine="0"/>
      </w:pPr>
      <w:r>
        <w:tab/>
      </w:r>
      <m:oMath xmlns:a="http://schemas.openxmlformats.org/drawingml/2006/main" xmlns:pic="http://schemas.openxmlformats.org/drawingml/2006/picture">
        <m:sSub>
          <m:e>
            <m:r>
              <m:t>F</m:t>
            </m:r>
          </m:e>
          <m:sub>
            <m:r>
              <m:t>i</m:t>
            </m:r>
            <m:r>
              <m:rPr>
                <m:sty m:val="p"/>
              </m:rPr>
              <m:t>,</m:t>
            </m:r>
            <m:r>
              <m:t>T</m:t>
            </m:r>
            <m:r>
              <m:rPr>
                <m:sty m:val="p"/>
              </m:rPr>
              <m:t>+</m:t>
            </m:r>
            <m:r>
              <m:t>h</m:t>
            </m:r>
            <m:r>
              <m:rPr>
                <m:sty m:val="p"/>
              </m:rPr>
              <m:t>∣</m:t>
            </m:r>
            <m:r>
              <m:t>T</m:t>
            </m:r>
          </m:sub>
        </m:sSub>
        <m:d>
          <m:dPr>
            <m:begChr m:val="("/>
            <m:sepChr m:val=""/>
            <m:endChr m:val=")"/>
            <m:grow/>
          </m:dPr>
          <m:e>
            <m:r>
              <m:t>y</m:t>
            </m:r>
          </m:e>
        </m:d>
        <m:r>
          <m:rPr>
            <m:sty m:val="p"/>
          </m:rPr>
          <m:t>=</m:t>
        </m:r>
        <m:r>
          <m:rPr>
            <m:sty m:val="p"/>
          </m:rPr>
          <m:t>Pr</m:t>
        </m:r>
        <m:d>
          <m:dPr>
            <m:begChr m:val="("/>
            <m:sepChr m:val=""/>
            <m:endChr m:val=")"/>
            <m:grow/>
          </m:dPr>
          <m:e>
            <m:sSub>
              <m:e>
                <m:r>
                  <m:t>Y</m:t>
                </m:r>
              </m:e>
              <m:sub>
                <m:r>
                  <m:t>i</m:t>
                </m:r>
                <m:r>
                  <m:rPr>
                    <m:sty m:val="p"/>
                  </m:rPr>
                  <m:t>,</m:t>
                </m:r>
                <m:r>
                  <m:t>T</m:t>
                </m:r>
                <m:r>
                  <m:rPr>
                    <m:sty m:val="p"/>
                  </m:rPr>
                  <m:t>+</m:t>
                </m:r>
                <m:r>
                  <m:t>h</m:t>
                </m:r>
              </m:sub>
            </m:sSub>
            <m:r>
              <m:rPr>
                <m:sty m:val="p"/>
              </m:rPr>
              <m:t>≤</m:t>
            </m:r>
            <m:r>
              <m:t>y</m:t>
            </m:r>
            <m:r>
              <m:rPr>
                <m:sty m:val="p"/>
              </m:rPr>
              <m:t>∣</m:t>
            </m:r>
            <m:sSub>
              <m:e>
                <m:r>
                  <m:rPr>
                    <m:scr m:val="script"/>
                    <m:sty m:val="p"/>
                  </m:rPr>
                  <m:t>I</m:t>
                </m:r>
              </m:e>
              <m:sub>
                <m:r>
                  <m:t>T</m:t>
                </m:r>
              </m:sub>
            </m:sSub>
          </m:e>
        </m:d>
      </m:oMath>
      <w:r>
        <w:tab/>
        <w:t>(2.2)</w:t>
      </w:r>
    </w:p>
    <w:p>
      <w:pPr>
        <w:pStyle w:val="Heading3"/>
        <w:keepNext/>
      </w:pPr>
      <w:r>
        <w:t xml:space="preserve">2.1.2. Đặc thù của nhu cầu trong bán lẻ đa cửa hàng</w:t>
      </w:r>
    </w:p>
    <w:p>
      <w:pPr>
        <w:keepLines w:val="0"/>
        <w:spacing w:after="120"/>
        <w:ind w:firstLine="567"/>
      </w:pPr>
      <w:r>
        <w:t xml:space="preserve">Dữ liệu bán lẻ đa cửa hàng có những đặc điểm khiến các giả định cổ điển về tính dừng và phân phối chuẩn của sai số khó được thỏa mãn (Fildes và cộng sự, 2022), trước hết là cầu gián đoạn (intermittent demand). Croston (1972) đề xuất ước lượng tách biệt quy mô cầu và khoảng cách giữa các lần phát sinh cầu, còn Syntetos và cộng sự (2005) phân loại mẫu hình cầu thành trơn (smooth), thất thường (erratic), gián đoạn (intermittent) và cục (lumpy) theo hai đại lượng ở (2.3): khoảng cách trung bình giữa hai lần phát sinh cầu (ADI), với N(i) là số kỳ quan sát và n⁺(i) là số kỳ có cầu dương, cùng bình phương hệ số biến thiên của các giá trị cầu dương (CV²). Luận văn không thực hiện phân loại này, nhưng khung khái niệm đó giúp đọc đúng dữ liệu Favorita, nơi 31,30% số dòng có sales bằng 0.</w:t>
      </w:r>
    </w:p>
    <w:p>
      <w:pPr>
        <w:tabs>
          <w:tab w:val="center" w:pos="4535"/>
          <w:tab w:val="right" w:pos="9071"/>
        </w:tabs>
        <w:spacing w:before="60" w:after="60"/>
        <w:ind w:firstLine="0"/>
      </w:pPr>
      <w:r>
        <w:tab/>
      </w:r>
      <m:oMath xmlns:a="http://schemas.openxmlformats.org/drawingml/2006/main" xmlns:pic="http://schemas.openxmlformats.org/drawingml/2006/picture">
        <m:sSub>
          <m:e>
            <m:r>
              <m:rPr>
                <m:sty m:val="p"/>
              </m:rPr>
              <m:t>A</m:t>
            </m:r>
            <m:r>
              <m:rPr>
                <m:sty m:val="p"/>
              </m:rPr>
              <m:t>D</m:t>
            </m:r>
            <m:r>
              <m:rPr>
                <m:sty m:val="p"/>
              </m:rPr>
              <m:t>I</m:t>
            </m:r>
          </m:e>
          <m:sub>
            <m:r>
              <m:t>i</m:t>
            </m:r>
          </m:sub>
        </m:sSub>
        <m:r>
          <m:rPr>
            <m:sty m:val="p"/>
          </m:rPr>
          <m:t>=</m:t>
        </m:r>
        <m:f>
          <m:fPr>
            <m:type m:val="bar"/>
          </m:fPr>
          <m:num>
            <m:sSub>
              <m:e>
                <m:r>
                  <m:t>N</m:t>
                </m:r>
              </m:e>
              <m:sub>
                <m:r>
                  <m:t>i</m:t>
                </m:r>
              </m:sub>
            </m:sSub>
          </m:num>
          <m:den>
            <m:sSubSup>
              <m:e>
                <m:r>
                  <m:t>n</m:t>
                </m:r>
              </m:e>
              <m:sub>
                <m:r>
                  <m:t>i</m:t>
                </m:r>
              </m:sub>
              <m:sup>
                <m:r>
                  <m:rPr>
                    <m:sty m:val="p"/>
                  </m:rPr>
                  <m:t>+</m:t>
                </m:r>
              </m:sup>
            </m:sSubSup>
          </m:den>
        </m:f>
        <m:r>
          <m:rPr>
            <m:sty m:val="p"/>
          </m:rPr>
          <m:t>,</m:t>
        </m:r>
        <m:r>
          <m:t>  </m:t>
        </m:r>
        <m:sSubSup>
          <m:e>
            <m:r>
              <m:rPr>
                <m:sty m:val="p"/>
              </m:rPr>
              <m:t>C</m:t>
            </m:r>
            <m:r>
              <m:rPr>
                <m:sty m:val="p"/>
              </m:rPr>
              <m:t>V</m:t>
            </m:r>
          </m:e>
          <m:sub>
            <m:r>
              <m:t>i</m:t>
            </m:r>
          </m:sub>
          <m:sup>
            <m:r>
              <m:t>2</m:t>
            </m:r>
          </m:sup>
        </m:sSubSup>
        <m:r>
          <m:rPr>
            <m:sty m:val="p"/>
          </m:rPr>
          <m:t>=</m:t>
        </m:r>
        <m:sSup>
          <m:e>
            <m:d>
              <m:dPr>
                <m:begChr m:val="("/>
                <m:sepChr m:val=""/>
                <m:endChr m:val=")"/>
                <m:grow/>
              </m:dPr>
              <m:e>
                <m:f>
                  <m:fPr>
                    <m:type m:val="bar"/>
                  </m:fPr>
                  <m:num>
                    <m:sSubSup>
                      <m:e>
                        <m:r>
                          <m:t>σ</m:t>
                        </m:r>
                      </m:e>
                      <m:sub>
                        <m:r>
                          <m:t>i</m:t>
                        </m:r>
                      </m:sub>
                      <m:sup>
                        <m:r>
                          <m:rPr>
                            <m:sty m:val="p"/>
                          </m:rPr>
                          <m:t>+</m:t>
                        </m:r>
                      </m:sup>
                    </m:sSubSup>
                  </m:num>
                  <m:den>
                    <m:sSubSup>
                      <m:e>
                        <m:r>
                          <m:t>μ</m:t>
                        </m:r>
                      </m:e>
                      <m:sub>
                        <m:r>
                          <m:t>i</m:t>
                        </m:r>
                      </m:sub>
                      <m:sup>
                        <m:r>
                          <m:rPr>
                            <m:sty m:val="p"/>
                          </m:rPr>
                          <m:t>+</m:t>
                        </m:r>
                      </m:sup>
                    </m:sSubSup>
                  </m:den>
                </m:f>
              </m:e>
            </m:d>
          </m:e>
          <m:sup>
            <m:r>
              <m:t>2</m:t>
            </m:r>
          </m:sup>
        </m:sSup>
      </m:oMath>
      <w:r>
        <w:tab/>
        <w:t>(2.3)</w:t>
      </w:r>
    </w:p>
    <w:p>
      <w:pPr>
        <w:keepLines w:val="0"/>
        <w:spacing w:after="120"/>
        <w:ind w:firstLine="567"/>
      </w:pPr>
      <w:r>
        <w:t xml:space="preserve">Đặc điểm thứ hai là tác động của khuyến mãi và lịch. Có 20,37% số dòng có onpromotion lớn hơn 0; doanh số trung bình của nhóm dòng có khuyến mãi là 1.137,694 so với 158,247 của nhóm không khuyến mãi, trong khi trung vị tương ứng là 373,0 và 3,0. Khoảng cách lớn giữa trung bình và trung vị cho thấy phân phối lệch phải mạnh, còn chênh lệch giữa hai nhóm chỉ mang tính mô tả, bởi nhà bán lẻ có thể chủ động khuyến mãi các nhóm hàng vốn có nhu cầu cao. Ma và cộng sự (2016) cho thấy thông tin khuyến mãi có giá trị dự báo ở cấp SKU. Cùng với đột biến ngày lễ và cấu trúc phân cấp cửa hàng – nhóm hàng, các đặc điểm này dẫn tới ba hệ quả cho thiết kế: một thước đo theo khối lượng như WAPE được ưu tiên, mô hình phải phân biệt được các chuỗi, và khuyến mãi chỉ được xem là biến điều kiện chứ không phải nguyên nhân đã được nhận diện.</w:t>
      </w:r>
    </w:p>
    <w:p>
      <w:pPr>
        <w:pStyle w:val="Heading3"/>
        <w:keepNext/>
      </w:pPr>
      <w:r>
        <w:t xml:space="preserve">2.1.3. Mô hình cục bộ và mô hình toàn cục</w:t>
      </w:r>
    </w:p>
    <w:p>
      <w:pPr>
        <w:keepLines w:val="0"/>
        <w:spacing w:after="120"/>
        <w:ind w:firstLine="567"/>
      </w:pPr>
      <w:r>
        <w:t xml:space="preserve">Theo các tiêu chí phân loại của Januschowski và cộng sự (2020), mô hình cục bộ (local model) ước lượng bộ tham số riêng cho từng chuỗi như trong (2.4), còn mô hình toàn cục (global model) dùng chung một bộ tham số cho mọi chuỗi và học từ dữ liệu bảng theo thời gian được gộp lại như trong (2.5), với L là hàm mất mát và N là số chuỗi. Khác biệt nằm ở phạm vi dữ liệu dùng để ước lượng tham số: mô hình toàn cục nhìn thấy đồng thời mọi chuỗi và có thể chuyển thông tin từ chuỗi dài, ổn định sang chuỗi ngắn hoặc thưa.</w:t>
      </w:r>
    </w:p>
    <w:p>
      <w:pPr>
        <w:tabs>
          <w:tab w:val="center" w:pos="4535"/>
          <w:tab w:val="right" w:pos="9071"/>
        </w:tabs>
        <w:spacing w:before="60" w:after="60"/>
        <w:ind w:firstLine="0"/>
      </w:pPr>
      <w:r>
        <w:tab/>
      </w:r>
      <m:oMath xmlns:a="http://schemas.openxmlformats.org/drawingml/2006/main" xmlns:pic="http://schemas.openxmlformats.org/drawingml/2006/picture">
        <m:sSub>
          <m:e>
            <m:acc>
              <m:accPr>
                <m:chr m:val="̂"/>
              </m:accPr>
              <m:e>
                <m:r>
                  <m:t>θ</m:t>
                </m:r>
              </m:e>
            </m:acc>
          </m:e>
          <m:sub>
            <m:r>
              <m:t>i</m:t>
            </m:r>
          </m:sub>
        </m:sSub>
        <m:r>
          <m:rPr>
            <m:sty m:val="p"/>
          </m:rPr>
          <m:t>=</m:t>
        </m:r>
        <m:r>
          <m:rPr>
            <m:sty m:val="p"/>
          </m:rPr>
          <m:t>arg</m:t>
        </m:r>
        <m:limLow>
          <m:e>
            <m:r>
              <m:rPr>
                <m:sty m:val="p"/>
              </m:rPr>
              <m:t>min</m:t>
            </m:r>
          </m:e>
          <m:lim>
            <m:r>
              <m:t>θ</m:t>
            </m:r>
          </m:lim>
        </m:limLow>
        <m:nary>
          <m:naryPr>
            <m:chr m:val="∑"/>
            <m:limLoc m:val="undOvr"/>
            <m:subHide m:val="off"/>
            <m:supHide m:val="on"/>
          </m:naryPr>
          <m:sub>
            <m:r>
              <m:t>t</m:t>
            </m:r>
          </m:sub>
          <m:sup>
            <m:r>
              <m:t>​</m:t>
            </m:r>
          </m:sup>
          <m:e>
            <m:r>
              <m:t>L</m:t>
            </m:r>
          </m:e>
        </m:nary>
        <m:d>
          <m:dPr>
            <m:begChr m:val="("/>
            <m:sepChr m:val=""/>
            <m:endChr m:val=")"/>
            <m:grow/>
          </m:dPr>
          <m:e>
            <m:sSub>
              <m:e>
                <m:r>
                  <m:t>y</m:t>
                </m:r>
              </m:e>
              <m:sub>
                <m:r>
                  <m:t>i</m:t>
                </m:r>
                <m:r>
                  <m:rPr>
                    <m:sty m:val="p"/>
                  </m:rPr>
                  <m:t>,</m:t>
                </m:r>
                <m:r>
                  <m:t>t</m:t>
                </m:r>
              </m:sub>
            </m:sSub>
            <m:r>
              <m:rPr>
                <m:sty m:val="p"/>
              </m:rPr>
              <m:t>,</m:t>
            </m:r>
            <m:r>
              <m:t> </m:t>
            </m:r>
            <m:r>
              <m:t>f</m:t>
            </m:r>
            <m:d>
              <m:dPr>
                <m:begChr m:val="("/>
                <m:sepChr m:val=""/>
                <m:endChr m:val=")"/>
                <m:grow/>
              </m:dPr>
              <m:e>
                <m:sSub>
                  <m:e>
                    <m:r>
                      <m:rPr>
                        <m:sty m:val="b"/>
                      </m:rPr>
                      <m:t>x</m:t>
                    </m:r>
                  </m:e>
                  <m:sub>
                    <m:r>
                      <m:t>i</m:t>
                    </m:r>
                    <m:r>
                      <m:rPr>
                        <m:sty m:val="p"/>
                      </m:rPr>
                      <m:t>,</m:t>
                    </m:r>
                    <m:r>
                      <m:t>t</m:t>
                    </m:r>
                  </m:sub>
                </m:sSub>
                <m:r>
                  <m:rPr>
                    <m:sty m:val="p"/>
                  </m:rPr>
                  <m:t>;</m:t>
                </m:r>
                <m:r>
                  <m:t>θ</m:t>
                </m:r>
              </m:e>
            </m:d>
          </m:e>
        </m:d>
        <m:r>
          <m:rPr>
            <m:sty m:val="p"/>
          </m:rPr>
          <m:t>,</m:t>
        </m:r>
        <m:r>
          <m:t>  </m:t>
        </m:r>
        <m:r>
          <m:t>i</m:t>
        </m:r>
        <m:r>
          <m:rPr>
            <m:sty m:val="p"/>
          </m:rPr>
          <m:t>=</m:t>
        </m:r>
        <m:r>
          <m:t>1</m:t>
        </m:r>
        <m:r>
          <m:rPr>
            <m:sty m:val="p"/>
          </m:rPr>
          <m:t>,</m:t>
        </m:r>
        <m:r>
          <m:rPr>
            <m:sty m:val="p"/>
          </m:rPr>
          <m:t>…</m:t>
        </m:r>
        <m:r>
          <m:rPr>
            <m:sty m:val="p"/>
          </m:rPr>
          <m:t>,</m:t>
        </m:r>
        <m:r>
          <m:t>N</m:t>
        </m:r>
      </m:oMath>
      <w:r>
        <w:tab/>
        <w:t>(2.4)</w:t>
      </w:r>
    </w:p>
    <w:p>
      <w:pPr>
        <w:tabs>
          <w:tab w:val="center" w:pos="4535"/>
          <w:tab w:val="right" w:pos="9071"/>
        </w:tabs>
        <w:spacing w:before="60" w:after="60"/>
        <w:ind w:firstLine="0"/>
      </w:pPr>
      <w:r>
        <w:tab/>
      </w:r>
      <m:oMath xmlns:a="http://schemas.openxmlformats.org/drawingml/2006/main" xmlns:pic="http://schemas.openxmlformats.org/drawingml/2006/picture">
        <m:acc>
          <m:accPr>
            <m:chr m:val="̂"/>
          </m:accPr>
          <m:e>
            <m:r>
              <m:t>θ</m:t>
            </m:r>
          </m:e>
        </m:acc>
        <m:r>
          <m:rPr>
            <m:sty m:val="p"/>
          </m:rPr>
          <m:t>=</m:t>
        </m:r>
        <m:r>
          <m:rPr>
            <m:sty m:val="p"/>
          </m:rPr>
          <m:t>arg</m:t>
        </m:r>
        <m:limLow>
          <m:e>
            <m:r>
              <m:rPr>
                <m:sty m:val="p"/>
              </m:rPr>
              <m:t>min</m:t>
            </m:r>
          </m:e>
          <m:lim>
            <m:r>
              <m:t>θ</m:t>
            </m:r>
          </m:lim>
        </m:limLow>
        <m:nary>
          <m:naryPr>
            <m:chr m:val="∑"/>
            <m:limLoc m:val="undOvr"/>
            <m:subHide m:val="off"/>
            <m:supHide m:val="off"/>
          </m:naryPr>
          <m:sub>
            <m:r>
              <m:t>i</m:t>
            </m:r>
            <m:r>
              <m:rPr>
                <m:sty m:val="p"/>
              </m:rPr>
              <m:t>=</m:t>
            </m:r>
            <m:r>
              <m:t>1</m:t>
            </m:r>
          </m:sub>
          <m:sup>
            <m:r>
              <m:t>N</m:t>
            </m:r>
          </m:sup>
          <m:e>
            <m:nary>
              <m:naryPr>
                <m:chr m:val="∑"/>
                <m:limLoc m:val="undOvr"/>
                <m:subHide m:val="off"/>
                <m:supHide m:val="on"/>
              </m:naryPr>
              <m:sub>
                <m:r>
                  <m:t>t</m:t>
                </m:r>
              </m:sub>
              <m:sup>
                <m:r>
                  <m:t>​</m:t>
                </m:r>
              </m:sup>
              <m:e>
                <m:r>
                  <m:t>L</m:t>
                </m:r>
              </m:e>
            </m:nary>
          </m:e>
        </m:nary>
        <m:d>
          <m:dPr>
            <m:begChr m:val="("/>
            <m:sepChr m:val=""/>
            <m:endChr m:val=")"/>
            <m:grow/>
          </m:dPr>
          <m:e>
            <m:sSub>
              <m:e>
                <m:r>
                  <m:t>y</m:t>
                </m:r>
              </m:e>
              <m:sub>
                <m:r>
                  <m:t>i</m:t>
                </m:r>
                <m:r>
                  <m:rPr>
                    <m:sty m:val="p"/>
                  </m:rPr>
                  <m:t>,</m:t>
                </m:r>
                <m:r>
                  <m:t>t</m:t>
                </m:r>
              </m:sub>
            </m:sSub>
            <m:r>
              <m:rPr>
                <m:sty m:val="p"/>
              </m:rPr>
              <m:t>,</m:t>
            </m:r>
            <m:r>
              <m:t> </m:t>
            </m:r>
            <m:r>
              <m:t>f</m:t>
            </m:r>
            <m:d>
              <m:dPr>
                <m:begChr m:val="("/>
                <m:sepChr m:val=""/>
                <m:endChr m:val=")"/>
                <m:grow/>
              </m:dPr>
              <m:e>
                <m:sSub>
                  <m:e>
                    <m:r>
                      <m:rPr>
                        <m:sty m:val="b"/>
                      </m:rPr>
                      <m:t>x</m:t>
                    </m:r>
                  </m:e>
                  <m:sub>
                    <m:r>
                      <m:t>i</m:t>
                    </m:r>
                    <m:r>
                      <m:rPr>
                        <m:sty m:val="p"/>
                      </m:rPr>
                      <m:t>,</m:t>
                    </m:r>
                    <m:r>
                      <m:t>t</m:t>
                    </m:r>
                  </m:sub>
                </m:sSub>
                <m:r>
                  <m:rPr>
                    <m:sty m:val="p"/>
                  </m:rPr>
                  <m:t>;</m:t>
                </m:r>
                <m:r>
                  <m:t>θ</m:t>
                </m:r>
              </m:e>
            </m:d>
          </m:e>
        </m:d>
      </m:oMath>
      <w:r>
        <w:tab/>
        <w:t>(2.5)</w:t>
      </w:r>
    </w:p>
    <w:p>
      <w:pPr>
        <w:keepLines w:val="0"/>
        <w:spacing w:after="120"/>
        <w:ind w:firstLine="567"/>
      </w:pPr>
      <w:r>
        <w:t xml:space="preserve">Trong bán lẻ nhiều cửa hàng, mô hình phải đồng thời xử lý sự dị biệt giữa các chuỗi và nắm bắt quy luật chung. Montero-Manso và Hyndman (2021) chỉ ra rằng một mô hình toàn cục đủ linh hoạt có thể xấp xỉ một tập mô hình cục bộ, đồng thời hưởng lợi từ học chéo giữa các chuỗi; kết quả cuộc thi M5 trên dữ liệu bán lẻ phân cấp cũng cho thấy các phương pháp toàn cục dựa trên cây tăng cường, đặc biệt LightGBM, chiếm ưu thế (Makridakis và cộng sự, 2022a). Khi số chuỗi lên tới 1.782, một mô hình học từ toàn bộ dữ liệu bảng theo thời gian còn thuận lợi hơn về vận hành so với việc duy trì hàng nghìn mô hình riêng biệt. Cái giá phải trả là mô hình toàn cục cần được cung cấp thông tin nhận diện đủ để phân biệt các chuỗi; luận văn dựa vào store_code, family_code, các thuộc tính tĩnh của cửa hàng và các đặc trưng lịch sử tính riêng cho từng chuỗi (mục 2.4).</w:t>
      </w:r>
    </w:p>
    <w:p>
      <w:pPr>
        <w:pStyle w:val="Heading3"/>
        <w:keepNext/>
      </w:pPr>
      <w:r>
        <w:t xml:space="preserve">2.1.4. Dự báo phân phối, nguyên tắc đánh giá và định hướng vận dụng</w:t>
      </w:r>
    </w:p>
    <w:p>
      <w:pPr>
        <w:keepLines w:val="0"/>
        <w:spacing w:after="120"/>
        <w:ind w:firstLine="567"/>
      </w:pPr>
      <w:r>
        <w:t xml:space="preserve">Dự báo điểm tối ưu phụ thuộc vào hàm mất mát: nghiệm của (2.6) là kỳ vọng có điều kiện với mất mát bình phương, trung vị với mất mát tuyệt đối và phân vị bậc τ với hàm mất mát phân vị (Koenker, 2005). Do đó, lựa chọn thước đo không trung lập: một mô hình huấn luyện theo sai số bình phương, như cấu hình reg:squarederror của XGBoost trong luận văn, hướng tới trung bình có điều kiện, vốn lớn hơn trung vị khi phân phối lệch phải. Hơn nữa, hai chuỗi có cùng P50 vẫn cần được xử lý khác nhau nếu một chuỗi có khoảng bất định hẹp còn chuỗi kia có khoảng rộng; theo Gneiting và cộng sự (2007), dự báo phân phối tốt cần đạt độ sắc nét tối đa với ràng buộc được hiệu chỉnh tốt.</w:t>
      </w:r>
    </w:p>
    <w:p>
      <w:pPr>
        <w:tabs>
          <w:tab w:val="center" w:pos="4535"/>
          <w:tab w:val="right" w:pos="9071"/>
        </w:tabs>
        <w:spacing w:before="60" w:after="60"/>
        <w:ind w:firstLine="0"/>
      </w:pPr>
      <w:r>
        <w:tab/>
      </w:r>
      <m:oMath xmlns:a="http://schemas.openxmlformats.org/drawingml/2006/main" xmlns:pic="http://schemas.openxmlformats.org/drawingml/2006/picture">
        <m:sSub>
          <m:e>
            <m:acc>
              <m:accPr>
                <m:chr m:val="̂"/>
              </m:accPr>
              <m:e>
                <m:r>
                  <m:t>y</m:t>
                </m:r>
              </m:e>
            </m:acc>
          </m:e>
          <m:sub>
            <m:r>
              <m:t>i</m:t>
            </m:r>
            <m:r>
              <m:rPr>
                <m:sty m:val="p"/>
              </m:rPr>
              <m:t>,</m:t>
            </m:r>
            <m:r>
              <m:t>T</m:t>
            </m:r>
            <m:r>
              <m:rPr>
                <m:sty m:val="p"/>
              </m:rPr>
              <m:t>+</m:t>
            </m:r>
            <m:r>
              <m:t>h</m:t>
            </m:r>
            <m:r>
              <m:rPr>
                <m:sty m:val="p"/>
              </m:rPr>
              <m:t>∣</m:t>
            </m:r>
            <m:r>
              <m:t>T</m:t>
            </m:r>
          </m:sub>
        </m:sSub>
        <m:r>
          <m:rPr>
            <m:sty m:val="p"/>
          </m:rPr>
          <m:t>=</m:t>
        </m:r>
        <m:r>
          <m:rPr>
            <m:sty m:val="p"/>
          </m:rPr>
          <m:t>arg</m:t>
        </m:r>
        <m:limLow>
          <m:e>
            <m:r>
              <m:rPr>
                <m:sty m:val="p"/>
              </m:rPr>
              <m:t>min</m:t>
            </m:r>
          </m:e>
          <m:lim>
            <m:r>
              <m:t>a</m:t>
            </m:r>
          </m:lim>
        </m:limLow>
        <m:r>
          <m:t> </m:t>
        </m:r>
        <m:r>
          <m:rPr>
            <m:scr m:val="double-struck"/>
            <m:sty m:val="p"/>
          </m:rPr>
          <m:t>E</m:t>
        </m:r>
        <m:d>
          <m:dPr>
            <m:begChr m:val="["/>
            <m:sepChr m:val=""/>
            <m:endChr m:val="]"/>
            <m:grow/>
          </m:dPr>
          <m:e>
            <m:r>
              <m:t>L</m:t>
            </m:r>
            <m:d>
              <m:dPr>
                <m:begChr m:val="("/>
                <m:sepChr m:val=""/>
                <m:endChr m:val=")"/>
                <m:grow/>
              </m:dPr>
              <m:e>
                <m:sSub>
                  <m:e>
                    <m:r>
                      <m:t>Y</m:t>
                    </m:r>
                  </m:e>
                  <m:sub>
                    <m:r>
                      <m:t>i</m:t>
                    </m:r>
                    <m:r>
                      <m:rPr>
                        <m:sty m:val="p"/>
                      </m:rPr>
                      <m:t>,</m:t>
                    </m:r>
                    <m:r>
                      <m:t>T</m:t>
                    </m:r>
                    <m:r>
                      <m:rPr>
                        <m:sty m:val="p"/>
                      </m:rPr>
                      <m:t>+</m:t>
                    </m:r>
                    <m:r>
                      <m:t>h</m:t>
                    </m:r>
                  </m:sub>
                </m:sSub>
                <m:r>
                  <m:rPr>
                    <m:sty m:val="p"/>
                  </m:rPr>
                  <m:t>,</m:t>
                </m:r>
                <m:r>
                  <m:t>a</m:t>
                </m:r>
              </m:e>
            </m:d>
            <m:r>
              <m:rPr>
                <m:sty m:val="p"/>
              </m:rPr>
              <m:t>∣</m:t>
            </m:r>
            <m:sSub>
              <m:e>
                <m:r>
                  <m:rPr>
                    <m:scr m:val="script"/>
                    <m:sty m:val="p"/>
                  </m:rPr>
                  <m:t>I</m:t>
                </m:r>
              </m:e>
              <m:sub>
                <m:r>
                  <m:t>T</m:t>
                </m:r>
              </m:sub>
            </m:sSub>
          </m:e>
        </m:d>
      </m:oMath>
      <w:r>
        <w:tab/>
        <w:t>(2.6)</w:t>
      </w:r>
    </w:p>
    <w:p>
      <w:pPr>
        <w:keepLines w:val="0"/>
        <w:spacing w:after="120"/>
        <w:ind w:firstLine="567"/>
      </w:pPr>
      <w:r>
        <w:t xml:space="preserve">Đánh giá dự báo phải mô phỏng điều kiện triển khai: dữ liệu tương lai không được xuất hiện trong đặc trưng, trong tinh chỉnh siêu tham số hay trong lựa chọn mô hình, bởi rò rỉ dữ liệu làm chỉ số tốt một cách giả tạo (Kaufman và cộng sự, 2012). Thiết kế gốc dự báo cuốn chiếu (rolling origin) là một dạng đánh giá ngoài mẫu được Tashman (2000) phân tích; nó tôn trọng trật tự thời gian và cho phép quan sát độ ổn định của sai số qua nhiều thời điểm gốc thay vì phụ thuộc vào một lần chia duy nhất (Hyndman và Athanasopoulos, 2021). Luận văn áp dụng ba lần kiểm định chéo cuốn chiếu với cửa sổ 16 ngày liền kề và cửa sổ huấn luyện mở rộng, sau đó mới mở tập kiểm tra cuối 16 ngày (31/07/2017–15/08/2017) vốn không tham gia vào việc chọn mô hình; chi tiết được trình bày ở Chương 3.</w:t>
      </w:r>
    </w:p>
    <w:p>
      <w:pPr>
        <w:pStyle w:val="Heading2"/>
        <w:keepNext/>
      </w:pPr>
      <w:r>
        <w:t xml:space="preserve">2.2. Xu hướng và mùa vụ</w:t>
      </w:r>
    </w:p>
    <w:p>
      <w:pPr>
        <w:pStyle w:val="Heading3"/>
        <w:keepNext/>
      </w:pPr>
      <w:r>
        <w:t xml:space="preserve">2.2.1. Các thành phần của chuỗi thời gian và mô hình phân rã</w:t>
      </w:r>
    </w:p>
    <w:p>
      <w:pPr>
        <w:keepLines w:val="0"/>
        <w:spacing w:after="120"/>
        <w:ind w:firstLine="567"/>
      </w:pPr>
      <w:r>
        <w:t xml:space="preserve">Một chuỗi thời gian thường được xem là tổ hợp của ba thành phần: xu hướng (trend) phản ánh chuyển động dài hạn của mức nền, tính mùa vụ (seasonality) phản ánh mẫu hình lặp lại với chu kỳ cố định, và phần dư (residual) phản ánh phần biến động chưa được giải thích (Hyndman và Athanasopoulos, 2021). Trong nhiều tài liệu, xu hướng và các dao động chu kỳ không đều được gộp thành thành phần xu hướng – chu kỳ, còn độ dài chu kỳ mùa vụ được ký hiệu là m và mùa vụ được giả định lặp lại xấp xỉ sau mỗi m kỳ. Ký hiệu T(t), S(t), R(t) lần lượt là xu hướng, mùa vụ và phần dư, dạng phân rã cộng tính và nhân tính được viết như (2.7) và (2.8).</w:t>
      </w:r>
    </w:p>
    <w:p>
      <w:pPr>
        <w:tabs>
          <w:tab w:val="center" w:pos="4535"/>
          <w:tab w:val="right" w:pos="9071"/>
        </w:tabs>
        <w:spacing w:before="60" w:after="60"/>
        <w:ind w:firstLine="0"/>
      </w:pPr>
      <w:r>
        <w:tab/>
      </w:r>
      <m:oMath xmlns:a="http://schemas.openxmlformats.org/drawingml/2006/main" xmlns:pic="http://schemas.openxmlformats.org/drawingml/2006/picture">
        <m:sSub>
          <m:e>
            <m:r>
              <m:t>y</m:t>
            </m:r>
          </m:e>
          <m:sub>
            <m:r>
              <m:t>t</m:t>
            </m:r>
          </m:sub>
        </m:sSub>
        <m:r>
          <m:rPr>
            <m:sty m:val="p"/>
          </m:rPr>
          <m:t>=</m:t>
        </m:r>
        <m:sSub>
          <m:e>
            <m:r>
              <m:t>T</m:t>
            </m:r>
          </m:e>
          <m:sub>
            <m:r>
              <m:t>t</m:t>
            </m:r>
          </m:sub>
        </m:sSub>
        <m:r>
          <m:rPr>
            <m:sty m:val="p"/>
          </m:rPr>
          <m:t>+</m:t>
        </m:r>
        <m:sSub>
          <m:e>
            <m:r>
              <m:t>S</m:t>
            </m:r>
          </m:e>
          <m:sub>
            <m:r>
              <m:t>t</m:t>
            </m:r>
          </m:sub>
        </m:sSub>
        <m:r>
          <m:rPr>
            <m:sty m:val="p"/>
          </m:rPr>
          <m:t>+</m:t>
        </m:r>
        <m:sSub>
          <m:e>
            <m:r>
              <m:t>R</m:t>
            </m:r>
          </m:e>
          <m:sub>
            <m:r>
              <m:t>t</m:t>
            </m:r>
          </m:sub>
        </m:sSub>
      </m:oMath>
      <w:r>
        <w:tab/>
        <w:t>(2.7)</w:t>
      </w:r>
    </w:p>
    <w:p>
      <w:pPr>
        <w:tabs>
          <w:tab w:val="center" w:pos="4535"/>
          <w:tab w:val="right" w:pos="9071"/>
        </w:tabs>
        <w:spacing w:before="60" w:after="60"/>
        <w:ind w:firstLine="0"/>
      </w:pPr>
      <w:r>
        <w:tab/>
      </w:r>
      <m:oMath xmlns:a="http://schemas.openxmlformats.org/drawingml/2006/main" xmlns:pic="http://schemas.openxmlformats.org/drawingml/2006/picture">
        <m:sSub>
          <m:e>
            <m:r>
              <m:t>y</m:t>
            </m:r>
          </m:e>
          <m:sub>
            <m:r>
              <m:t>t</m:t>
            </m:r>
          </m:sub>
        </m:sSub>
        <m:r>
          <m:rPr>
            <m:sty m:val="p"/>
          </m:rPr>
          <m:t>=</m:t>
        </m:r>
        <m:sSub>
          <m:e>
            <m:r>
              <m:t>T</m:t>
            </m:r>
          </m:e>
          <m:sub>
            <m:r>
              <m:t>t</m:t>
            </m:r>
          </m:sub>
        </m:sSub>
        <m:r>
          <m:rPr>
            <m:sty m:val="p"/>
          </m:rPr>
          <m:t>×</m:t>
        </m:r>
        <m:sSub>
          <m:e>
            <m:r>
              <m:t>S</m:t>
            </m:r>
          </m:e>
          <m:sub>
            <m:r>
              <m:t>t</m:t>
            </m:r>
          </m:sub>
        </m:sSub>
        <m:r>
          <m:rPr>
            <m:sty m:val="p"/>
          </m:rPr>
          <m:t>×</m:t>
        </m:r>
        <m:sSub>
          <m:e>
            <m:r>
              <m:t>R</m:t>
            </m:r>
          </m:e>
          <m:sub>
            <m:r>
              <m:t>t</m:t>
            </m:r>
          </m:sub>
        </m:sSub>
        <m:r>
          <m:t> </m:t>
        </m:r>
        <m:r>
          <m:rPr>
            <m:sty m:val="p"/>
          </m:rPr>
          <m:t>⇔</m:t>
        </m:r>
        <m:r>
          <m:t> </m:t>
        </m:r>
        <m:r>
          <m:rPr>
            <m:sty m:val="p"/>
          </m:rPr>
          <m:t>log</m:t>
        </m:r>
        <m:sSub>
          <m:e>
            <m:r>
              <m:t>y</m:t>
            </m:r>
          </m:e>
          <m:sub>
            <m:r>
              <m:t>t</m:t>
            </m:r>
          </m:sub>
        </m:sSub>
        <m:r>
          <m:rPr>
            <m:sty m:val="p"/>
          </m:rPr>
          <m:t>=</m:t>
        </m:r>
        <m:r>
          <m:rPr>
            <m:sty m:val="p"/>
          </m:rPr>
          <m:t>log</m:t>
        </m:r>
        <m:sSub>
          <m:e>
            <m:r>
              <m:t>T</m:t>
            </m:r>
          </m:e>
          <m:sub>
            <m:r>
              <m:t>t</m:t>
            </m:r>
          </m:sub>
        </m:sSub>
        <m:r>
          <m:rPr>
            <m:sty m:val="p"/>
          </m:rPr>
          <m:t>+</m:t>
        </m:r>
        <m:r>
          <m:rPr>
            <m:sty m:val="p"/>
          </m:rPr>
          <m:t>log</m:t>
        </m:r>
        <m:sSub>
          <m:e>
            <m:r>
              <m:t>S</m:t>
            </m:r>
          </m:e>
          <m:sub>
            <m:r>
              <m:t>t</m:t>
            </m:r>
          </m:sub>
        </m:sSub>
        <m:r>
          <m:rPr>
            <m:sty m:val="p"/>
          </m:rPr>
          <m:t>+</m:t>
        </m:r>
        <m:r>
          <m:rPr>
            <m:sty m:val="p"/>
          </m:rPr>
          <m:t>log</m:t>
        </m:r>
        <m:sSub>
          <m:e>
            <m:r>
              <m:t>R</m:t>
            </m:r>
          </m:e>
          <m:sub>
            <m:r>
              <m:t>t</m:t>
            </m:r>
          </m:sub>
        </m:sSub>
      </m:oMath>
      <w:r>
        <w:tab/>
        <w:t>(2.8)</w:t>
      </w:r>
    </w:p>
    <w:p>
      <w:pPr>
        <w:keepLines w:val="0"/>
        <w:spacing w:after="120"/>
        <w:ind w:firstLine="567"/>
      </w:pPr>
      <w:r>
        <w:t xml:space="preserve">Dạng cộng tính phù hợp khi biên độ mùa vụ ổn định bất kể mức nền, còn dạng nhân tính phù hợp khi biên độ mùa vụ tỷ lệ với mức nền; phép logarit chuyển dạng nhân tính về cộng tính, nhưng với doanh số có nhiều giá trị bằng không thì cần dạng log(1 + y). Để lượng hóa độ rõ nét của mùa vụ, Hyndman và Athanasopoulos (2021) trình bày chỉ số độ mạnh mùa vụ (2.9), tiến gần 1 khi mùa vụ chi phối phần biến động đã khử xu hướng và gần 0 khi mùa vụ không đáng kể. Luận văn không tính chỉ số này; nó được nêu như công cụ cho hướng mở rộng khi cần so sánh cường độ mùa vụ giữa các chuỗi hoặc giữa các nhóm sản phẩm.</w:t>
      </w:r>
    </w:p>
    <w:p>
      <w:pPr>
        <w:tabs>
          <w:tab w:val="center" w:pos="4535"/>
          <w:tab w:val="right" w:pos="9071"/>
        </w:tabs>
        <w:spacing w:before="60" w:after="60"/>
        <w:ind w:firstLine="0"/>
      </w:pPr>
      <w:r>
        <w:tab/>
      </w:r>
      <m:oMath xmlns:a="http://schemas.openxmlformats.org/drawingml/2006/main" xmlns:pic="http://schemas.openxmlformats.org/drawingml/2006/picture">
        <m:sSub>
          <m:e>
            <m:r>
              <m:t>F</m:t>
            </m:r>
          </m:e>
          <m:sub>
            <m:r>
              <m:t>S</m:t>
            </m:r>
          </m:sub>
        </m:sSub>
        <m:r>
          <m:rPr>
            <m:sty m:val="p"/>
          </m:rPr>
          <m:t>=</m:t>
        </m:r>
        <m:r>
          <m:rPr>
            <m:sty m:val="p"/>
          </m:rPr>
          <m:t>max</m:t>
        </m:r>
        <m:d>
          <m:dPr>
            <m:begChr m:val="("/>
            <m:sepChr m:val=""/>
            <m:endChr m:val=")"/>
            <m:grow/>
          </m:dPr>
          <m:e>
            <m:r>
              <m:t>0</m:t>
            </m:r>
            <m:r>
              <m:rPr>
                <m:sty m:val="p"/>
              </m:rPr>
              <m:t>,</m:t>
            </m:r>
            <m:r>
              <m:t> </m:t>
            </m:r>
            <m:r>
              <m:t>1</m:t>
            </m:r>
            <m:r>
              <m:rPr>
                <m:sty m:val="p"/>
              </m:rPr>
              <m:t>−</m:t>
            </m:r>
            <m:f>
              <m:fPr>
                <m:type m:val="bar"/>
              </m:fPr>
              <m:num>
                <m:r>
                  <m:rPr>
                    <m:sty m:val="p"/>
                  </m:rPr>
                  <m:t>Var</m:t>
                </m:r>
                <m:d>
                  <m:dPr>
                    <m:begChr m:val="("/>
                    <m:sepChr m:val=""/>
                    <m:endChr m:val=")"/>
                    <m:grow/>
                  </m:dPr>
                  <m:e>
                    <m:sSub>
                      <m:e>
                        <m:r>
                          <m:t>R</m:t>
                        </m:r>
                      </m:e>
                      <m:sub>
                        <m:r>
                          <m:t>t</m:t>
                        </m:r>
                      </m:sub>
                    </m:sSub>
                  </m:e>
                </m:d>
              </m:num>
              <m:den>
                <m:r>
                  <m:rPr>
                    <m:sty m:val="p"/>
                  </m:rPr>
                  <m:t>Var</m:t>
                </m:r>
                <m:d>
                  <m:dPr>
                    <m:begChr m:val="("/>
                    <m:sepChr m:val=""/>
                    <m:endChr m:val=")"/>
                    <m:grow/>
                  </m:dPr>
                  <m:e>
                    <m:sSub>
                      <m:e>
                        <m:r>
                          <m:t>S</m:t>
                        </m:r>
                      </m:e>
                      <m:sub>
                        <m:r>
                          <m:t>t</m:t>
                        </m:r>
                      </m:sub>
                    </m:sSub>
                    <m:r>
                      <m:rPr>
                        <m:sty m:val="p"/>
                      </m:rPr>
                      <m:t>+</m:t>
                    </m:r>
                    <m:sSub>
                      <m:e>
                        <m:r>
                          <m:t>R</m:t>
                        </m:r>
                      </m:e>
                      <m:sub>
                        <m:r>
                          <m:t>t</m:t>
                        </m:r>
                      </m:sub>
                    </m:sSub>
                  </m:e>
                </m:d>
              </m:den>
            </m:f>
          </m:e>
        </m:d>
      </m:oMath>
      <w:r>
        <w:tab/>
        <w:t>(2.9)</w:t>
      </w:r>
    </w:p>
    <w:p>
      <w:pPr>
        <w:pStyle w:val="Heading3"/>
        <w:keepNext/>
      </w:pPr>
      <w:r>
        <w:t xml:space="preserve">2.2.2. Tính mùa vụ trong bán lẻ và vai trò của phân rã</w:t>
      </w:r>
    </w:p>
    <w:p>
      <w:pPr>
        <w:keepLines w:val="0"/>
        <w:spacing w:after="120"/>
        <w:ind w:firstLine="567"/>
      </w:pPr>
      <w:r>
        <w:t xml:space="preserve">Đối với bán lẻ, mùa vụ theo tuần thường có ý nghĩa do hành vi mua sắm thay đổi theo ngày trong tuần, tương ứng với chu kỳ m = 7 ở dữ liệu ngày. Dữ liệu kéo dài nhiều năm như Favorita còn có thể chứa mùa vụ năm và hiệu ứng ngày lễ, vốn không rơi vào cùng một thứ trong tuần qua các năm (Fildes và cộng sự, 2022). Hiện tượng đa mùa vụ này lý giải vì sao tập đặc trưng đồng thời chứa dow và is_weekend cho chu kỳ tuần, weekofyear, month và day cho vị trí của ngày trong năm và trong tháng, cùng cờ is_national_holiday cho các ngày lễ cấp quốc gia. Một phần dao động mang dáng dấp mùa vụ cũng có thể gắn với lịch khuyến mãi. Phân tích doanh số trung bình theo thứ trong tuần ở Chương 3 là phép kiểm tra trực quan cho các đặc trưng lịch này.</w:t>
      </w:r>
    </w:p>
    <w:p>
      <w:pPr>
        <w:keepLines w:val="0"/>
        <w:spacing w:after="120"/>
        <w:ind w:firstLine="567"/>
      </w:pPr>
      <w:r>
        <w:t xml:space="preserve">Tuy vậy, phân rã giúp hiểu dữ liệu và kiểm tra chu kỳ nhưng không tự động tạo ra dự báo tốt: một thành phần mùa vụ được ước lượng chính xác trên dữ liệu lịch sử không bảo đảm sai số nhỏ khi ngoại suy, nhất là khi phần dư còn lớn hoặc chính sách khuyến mãi thay đổi. Vì vậy, trong nghiên cứu, doanh số tổng hợp theo ngày được phân rã để phục vụ khám phá dữ liệu (EDA) chứ không dùng thay cho mô hình đối sánh. Các thành phần phân rã cũng không được đưa vào đầu vào của năm mô hình, và mọi thước đo sai số đều tính trên sales gốc. Sự tách bạch này còn tránh rò rỉ: phép phân rã được thực hiện trên toàn bộ chuỗi, nên nếu các thành phần của nó được dùng làm đặc trưng, thông tin tương lai sẽ lọt vào mô hình qua phép làm trơn hai phía.</w:t>
      </w:r>
    </w:p>
    <w:p>
      <w:pPr>
        <w:pStyle w:val="Heading3"/>
        <w:keepNext/>
      </w:pPr>
      <w:r>
        <w:t xml:space="preserve">2.2.3. Hiệu ứng tổng hợp và hàm ý cho thiết kế dự báo</w:t>
      </w:r>
    </w:p>
    <w:p>
      <w:pPr>
        <w:keepLines w:val="0"/>
        <w:spacing w:after="120"/>
        <w:ind w:firstLine="567"/>
      </w:pPr>
      <w:r>
        <w:t xml:space="preserve">Khi cộng doanh số của 1.782 chuỗi thành một chuỗi toàn hệ thống, dao động riêng lẻ có thể triệt tiêu hoặc làm trơn lẫn nhau, còn các chuỗi quy mô lớn chi phối hình dạng của tổng. Do đó, mùa vụ ở cấp toàn hệ thống có thể che khuất sự khác biệt giữa các tổ hợp cửa hàng – nhóm sản phẩm; mẫu hình của chuỗi tổng không nhất thiết đại diện cho từng chuỗi thành phần. Vì vậy, kết quả STL chỉ được sử dụng như bằng chứng mô tả, còn việc dự báo dựa trên các đặc trưng ở cấp dữ liệu bảng theo thời gian, nơi các mô hình cây có thể học tương tác giữa đặc trưng lịch và biến nhận diện để mẫu hình tuần thay đổi theo từng cửa hàng và nhóm sản phẩm.</w:t>
      </w:r>
    </w:p>
    <w:p>
      <w:pPr>
        <w:keepLines w:val="0"/>
        <w:spacing w:after="120"/>
        <w:ind w:firstLine="567"/>
      </w:pPr>
      <w:r>
        <w:t xml:space="preserve">Lý thuyết về xu hướng và mùa vụ vì thế được chuyển thành ba lựa chọn thiết kế cụ thể. Thứ nhất, sự tồn tại của mùa vụ tuần là cơ sở để dùng Seasonal Naive làm mốc tham chiếu và đưa các độ trễ theo bội số của 7 ngày vào tập đặc trưng; điều kiện để mốc tham chiếu này hợp lệ trong kỳ dự báo 16 ngày được phân tích ở mục 2.4.3 và mục 2.5. Thứ hai, vì một thành phần mùa vụ chung không đủ mô tả nhu cầu của từng chuỗi, mùa vụ được mã hóa gián tiếp qua đặc trưng lịch để mô hình toàn cục tự học mức độ khác biệt giữa các chuỗi. Thứ ba, phần dư sau phân rã là phần biến động không được cấu trúc thời gian giải thích, tức đối tượng mà lớp dự báo xác suất cần mô tả.</w:t>
      </w:r>
    </w:p>
    <w:p>
      <w:pPr>
        <w:pStyle w:val="Heading2"/>
        <w:keepNext/>
      </w:pPr>
      <w:r>
        <w:t xml:space="preserve">2.3. STL bền vững</w:t>
      </w:r>
    </w:p>
    <w:p>
      <w:pPr>
        <w:pStyle w:val="Heading3"/>
        <w:keepNext/>
      </w:pPr>
      <w:r>
        <w:t xml:space="preserve">2.3.1. Hồi quy cục bộ loess và vòng lặp trong</w:t>
      </w:r>
    </w:p>
    <w:p>
      <w:pPr>
        <w:keepLines w:val="0"/>
        <w:spacing w:after="120"/>
        <w:ind w:firstLine="567"/>
      </w:pPr>
      <w:r>
        <w:t xml:space="preserve">STL (Seasonal-Trend decomposition using Loess) do Cleveland và cộng sự (1990) đề xuất dùng hồi quy cục bộ để tách xu hướng và mùa vụ. Để ước lượng giá trị làm trơn tại thời điểm x, loess chọn q quan sát gần nhất, gán trọng số giảm dần theo khoảng cách bằng hàm tricube (2.10), trong đó λq(x) là khoảng cách tới quan sát xa nhất trong lân cận, rồi khớp đa thức bậc thấp bằng bình phương tối thiểu có trọng số. Vì không áp đặt dạng hàm toàn cục, loess cho phép xu hướng và mùa vụ thay đổi chậm theo thời gian, khác với phân rã cổ điển giả định mẫu hình mùa vụ lặp lại y hệt qua mọi chu kỳ (Hyndman và Athanasopoulos, 2021).</w:t>
      </w:r>
    </w:p>
    <w:p>
      <w:pPr>
        <w:tabs>
          <w:tab w:val="center" w:pos="4535"/>
          <w:tab w:val="right" w:pos="9071"/>
        </w:tabs>
        <w:spacing w:before="60" w:after="60"/>
        <w:ind w:firstLine="0"/>
      </w:pPr>
      <w:r>
        <w:tab/>
      </w:r>
      <m:oMath xmlns:a="http://schemas.openxmlformats.org/drawingml/2006/main" xmlns:pic="http://schemas.openxmlformats.org/drawingml/2006/picture">
        <m:sSub>
          <m:e>
            <m:r>
              <m:t>v</m:t>
            </m:r>
          </m:e>
          <m:sub>
            <m:r>
              <m:t>j</m:t>
            </m:r>
          </m:sub>
        </m:sSub>
        <m:d>
          <m:dPr>
            <m:begChr m:val="("/>
            <m:sepChr m:val=""/>
            <m:endChr m:val=")"/>
            <m:grow/>
          </m:dPr>
          <m:e>
            <m:r>
              <m:t>x</m:t>
            </m:r>
          </m:e>
        </m:d>
        <m:r>
          <m:rPr>
            <m:sty m:val="p"/>
          </m:rPr>
          <m:t>=</m:t>
        </m:r>
        <m:r>
          <m:t>W</m:t>
        </m:r>
        <m:d>
          <m:dPr>
            <m:begChr m:val="("/>
            <m:sepChr m:val=""/>
            <m:endChr m:val=")"/>
            <m:grow/>
          </m:dPr>
          <m:e>
            <m:f>
              <m:fPr>
                <m:type m:val="bar"/>
              </m:fPr>
              <m:num>
                <m:d>
                  <m:dPr>
                    <m:begChr m:val="|"/>
                    <m:sepChr m:val=""/>
                    <m:endChr m:val="|"/>
                    <m:grow/>
                  </m:dPr>
                  <m:e>
                    <m:sSub>
                      <m:e>
                        <m:r>
                          <m:t>x</m:t>
                        </m:r>
                      </m:e>
                      <m:sub>
                        <m:r>
                          <m:t>j</m:t>
                        </m:r>
                      </m:sub>
                    </m:sSub>
                    <m:r>
                      <m:rPr>
                        <m:sty m:val="p"/>
                      </m:rPr>
                      <m:t>−</m:t>
                    </m:r>
                    <m:r>
                      <m:t>x</m:t>
                    </m:r>
                  </m:e>
                </m:d>
              </m:num>
              <m:den>
                <m:sSub>
                  <m:e>
                    <m:r>
                      <m:t>λ</m:t>
                    </m:r>
                  </m:e>
                  <m:sub>
                    <m:r>
                      <m:t>q</m:t>
                    </m:r>
                  </m:sub>
                </m:sSub>
                <m:d>
                  <m:dPr>
                    <m:begChr m:val="("/>
                    <m:sepChr m:val=""/>
                    <m:endChr m:val=")"/>
                    <m:grow/>
                  </m:dPr>
                  <m:e>
                    <m:r>
                      <m:t>x</m:t>
                    </m:r>
                  </m:e>
                </m:d>
              </m:den>
            </m:f>
          </m:e>
        </m:d>
        <m:r>
          <m:rPr>
            <m:sty m:val="p"/>
          </m:rPr>
          <m:t>,</m:t>
        </m:r>
        <m:r>
          <m:t>  </m:t>
        </m:r>
        <m:r>
          <m:t>W</m:t>
        </m:r>
        <m:d>
          <m:dPr>
            <m:begChr m:val="("/>
            <m:sepChr m:val=""/>
            <m:endChr m:val=")"/>
            <m:grow/>
          </m:dPr>
          <m:e>
            <m:r>
              <m:t>u</m:t>
            </m:r>
          </m:e>
        </m:d>
        <m:r>
          <m:rPr>
            <m:sty m:val="p"/>
          </m:rPr>
          <m:t>=</m:t>
        </m:r>
        <m:d>
          <m:dPr>
            <m:begChr m:val="{"/>
            <m:sepChr m:val=""/>
            <m:endChr m:val=""/>
            <m:grow/>
          </m:dPr>
          <m:e>
            <m:m>
              <m:mPr>
                <m:baseJc m:val="center"/>
                <m:plcHide m:val="on"/>
                <m:mcs>
                  <m:mc>
                    <m:mcPr>
                      <m:count m:val="1"/>
                      <m:mcJc m:val="left"/>
                    </m:mcPr>
                  </m:mc>
                  <m:mc>
                    <m:mcPr>
                      <m:count m:val="1"/>
                      <m:mcJc m:val="left"/>
                    </m:mcPr>
                  </m:mc>
                </m:mcs>
              </m:mPr>
              <m:mr>
                <m:e>
                  <m:sSup>
                    <m:e>
                      <m:d>
                        <m:dPr>
                          <m:begChr m:val="("/>
                          <m:sepChr m:val=""/>
                          <m:endChr m:val=")"/>
                          <m:grow/>
                        </m:dPr>
                        <m:e>
                          <m:r>
                            <m:t>1</m:t>
                          </m:r>
                          <m:r>
                            <m:rPr>
                              <m:sty m:val="p"/>
                            </m:rPr>
                            <m:t>−</m:t>
                          </m:r>
                          <m:sSup>
                            <m:e>
                              <m:r>
                                <m:t>u</m:t>
                              </m:r>
                            </m:e>
                            <m:sup>
                              <m:r>
                                <m:t>3</m:t>
                              </m:r>
                            </m:sup>
                          </m:sSup>
                        </m:e>
                      </m:d>
                    </m:e>
                    <m:sup>
                      <m:r>
                        <m:t>3</m:t>
                      </m:r>
                    </m:sup>
                  </m:sSup>
                  <m:r>
                    <m:rPr>
                      <m:sty m:val="p"/>
                    </m:rPr>
                    <m:t>,</m:t>
                  </m:r>
                </m:e>
                <m:e>
                  <m:r>
                    <m:t>0</m:t>
                  </m:r>
                  <m:r>
                    <m:rPr>
                      <m:sty m:val="p"/>
                    </m:rPr>
                    <m:t>≤</m:t>
                  </m:r>
                  <m:r>
                    <m:t>u</m:t>
                  </m:r>
                  <m:r>
                    <m:rPr>
                      <m:sty m:val="p"/>
                    </m:rPr>
                    <m:t>&lt;</m:t>
                  </m:r>
                  <m:r>
                    <m:t>1</m:t>
                  </m:r>
                </m:e>
              </m:mr>
              <m:mr>
                <m:e>
                  <m:r>
                    <m:t>0</m:t>
                  </m:r>
                  <m:r>
                    <m:rPr>
                      <m:sty m:val="p"/>
                    </m:rPr>
                    <m:t>,</m:t>
                  </m:r>
                </m:e>
                <m:e>
                  <m:r>
                    <m:t>u</m:t>
                  </m:r>
                  <m:r>
                    <m:rPr>
                      <m:sty m:val="p"/>
                    </m:rPr>
                    <m:t>≥</m:t>
                  </m:r>
                  <m:r>
                    <m:t>1</m:t>
                  </m:r>
                </m:e>
              </m:mr>
            </m:m>
          </m:e>
        </m:d>
      </m:oMath>
      <w:r>
        <w:tab/>
        <w:t>(2.10)</w:t>
      </w:r>
    </w:p>
    <w:p>
      <w:pPr>
        <w:keepLines w:val="0"/>
        <w:spacing w:after="120"/>
        <w:ind w:firstLine="567"/>
      </w:pPr>
      <w:r>
        <w:t xml:space="preserve">Thủ tục gồm hai vòng lặp lồng nhau: vòng lặp trong (inner loop) làm trơn mùa vụ và xu hướng, vòng lặp ngoài (outer loop) tính trọng số bền vững (Cleveland và cộng sự, 1990). Với chu kỳ bằng 7 của dữ liệu ngày, một lượt vòng lặp trong gồm các bước sau:</w:t>
      </w:r>
    </w:p>
    <w:p>
      <w:pPr>
        <w:keepLines w:val="0"/>
        <w:spacing w:after="60"/>
        <w:ind w:left="851" w:hanging="284"/>
      </w:pPr>
      <w:r>
        <w:t xml:space="preserve">1.	Khử xu hướng chuỗi quan sát bằng ước lượng xu hướng của lượt trước (ở lượt đầu, xu hướng được khởi tạo bằng 0).</w:t>
      </w:r>
    </w:p>
    <w:p>
      <w:pPr>
        <w:keepLines w:val="0"/>
        <w:spacing w:after="60"/>
        <w:ind w:left="851" w:hanging="284"/>
      </w:pPr>
      <w:r>
        <w:t xml:space="preserve">2.	Gom các quan sát cùng vị trí trong chu kỳ, chẳng hạn mọi ngày thứ Hai, thành chuỗi con (cycle-subseries) và làm trơn từng chuỗi con bằng loess.</w:t>
      </w:r>
    </w:p>
    <w:p>
      <w:pPr>
        <w:keepLines w:val="0"/>
        <w:spacing w:after="60"/>
        <w:ind w:left="851" w:hanging="284"/>
      </w:pPr>
      <w:r>
        <w:t xml:space="preserve">3.	Lọc thông thấp chuỗi con đã làm trơn và lấy hiệu giữa hai kết quả để thu thành phần mùa vụ S(t), nhờ đó phần mức nền không bị hút vào mùa vụ.</w:t>
      </w:r>
    </w:p>
    <w:p>
      <w:pPr>
        <w:keepLines w:val="0"/>
        <w:spacing w:after="60"/>
        <w:ind w:left="851" w:hanging="284"/>
      </w:pPr>
      <w:r>
        <w:t xml:space="preserve">4.	Khử mùa vụ chuỗi quan sát, làm trơn bằng loess để thu xu hướng T(t) và tính phần dư R(t) = y(t) − T(t) − S(t).</w:t>
      </w:r>
    </w:p>
    <w:p>
      <w:pPr>
        <w:keepLines w:val="0"/>
        <w:spacing w:after="120"/>
        <w:ind w:firstLine="567"/>
      </w:pPr>
      <w:r>
        <w:t xml:space="preserve">Cấu trúc chuỗi con giải thích vì sao STL phù hợp với mùa vụ tuần của dữ liệu bán lẻ: mỗi thứ trong tuần có một đường làm trơn riêng, nên mức bán của ngày cuối tuần có thể tăng dần qua các năm trong khi mức của ngày giữa tuần gần như không đổi. Vì mỗi chuỗi con gồm các quan sát cách nhau đúng một chu kỳ, chuỗi đầu vào phải có tần suất đều, không khoảng trống (mục 2.3.3).</w:t>
      </w:r>
    </w:p>
    <w:p>
      <w:pPr>
        <w:pStyle w:val="Heading3"/>
        <w:keepNext/>
      </w:pPr>
      <w:r>
        <w:t xml:space="preserve">2.3.2. Cơ chế bền vững, ưu điểm và hạn chế</w:t>
      </w:r>
    </w:p>
    <w:p>
      <w:pPr>
        <w:keepLines w:val="0"/>
        <w:spacing w:after="120"/>
        <w:ind w:firstLine="567"/>
      </w:pPr>
      <w:r>
        <w:t xml:space="preserve">Chế độ bền vững giảm ảnh hưởng của giá trị ngoại lai nhờ trọng số lặp. Sau mỗi vòng lặp trong, vòng lặp ngoài tính trọng số ρ(t) cho từng quan sát bằng hàm bisquare (2.11) và nhân trọng số này vào mọi phép loess của lượt kế tiếp. Quan sát có phần dư vượt sáu lần trung vị độ lớn phần dư nhận trọng số bằng 0, tức bị loại khỏi phép làm trơn, còn các quan sát có phần dư nhỏ giữ trọng số gần 1. Nhờ vậy, đột biến do sự kiện hoặc ngày lễ vẫn nằm trong phần dư nhưng không kéo lệch xu hướng và mùa vụ, điều đặc biệt hữu ích khi doanh số bán lẻ thường xuyên có các đỉnh ngắn hạn. Hệ quả là phần dư của STL bền vững có thể có đuôi nặng hơn phần dư của phiên bản thường.</w:t>
      </w:r>
    </w:p>
    <w:p>
      <w:pPr>
        <w:tabs>
          <w:tab w:val="center" w:pos="4535"/>
          <w:tab w:val="right" w:pos="9071"/>
        </w:tabs>
        <w:spacing w:before="60" w:after="60"/>
        <w:ind w:firstLine="0"/>
      </w:pPr>
      <w:r>
        <w:tab/>
      </w:r>
      <m:oMath xmlns:a="http://schemas.openxmlformats.org/drawingml/2006/main" xmlns:pic="http://schemas.openxmlformats.org/drawingml/2006/picture">
        <m:sSub>
          <m:e>
            <m:r>
              <m:t>ρ</m:t>
            </m:r>
          </m:e>
          <m:sub>
            <m:r>
              <m:t>t</m:t>
            </m:r>
          </m:sub>
        </m:sSub>
        <m:r>
          <m:rPr>
            <m:sty m:val="p"/>
          </m:rPr>
          <m:t>=</m:t>
        </m:r>
        <m:r>
          <m:t>B</m:t>
        </m:r>
        <m:d>
          <m:dPr>
            <m:begChr m:val="("/>
            <m:sepChr m:val=""/>
            <m:endChr m:val=")"/>
            <m:grow/>
          </m:dPr>
          <m:e>
            <m:f>
              <m:fPr>
                <m:type m:val="bar"/>
              </m:fPr>
              <m:num>
                <m:d>
                  <m:dPr>
                    <m:begChr m:val="|"/>
                    <m:sepChr m:val=""/>
                    <m:endChr m:val="|"/>
                    <m:grow/>
                  </m:dPr>
                  <m:e>
                    <m:sSub>
                      <m:e>
                        <m:r>
                          <m:t>R</m:t>
                        </m:r>
                      </m:e>
                      <m:sub>
                        <m:r>
                          <m:t>t</m:t>
                        </m:r>
                      </m:sub>
                    </m:sSub>
                  </m:e>
                </m:d>
              </m:num>
              <m:den>
                <m:r>
                  <m:t>h</m:t>
                </m:r>
              </m:den>
            </m:f>
          </m:e>
        </m:d>
        <m:r>
          <m:rPr>
            <m:sty m:val="p"/>
          </m:rPr>
          <m:t>,</m:t>
        </m:r>
        <m:r>
          <m:t>  </m:t>
        </m:r>
        <m:r>
          <m:t>h</m:t>
        </m:r>
        <m:r>
          <m:rPr>
            <m:sty m:val="p"/>
          </m:rPr>
          <m:t>=</m:t>
        </m:r>
        <m:r>
          <m:t>6</m:t>
        </m:r>
        <m:r>
          <m:rPr>
            <m:sty m:val="p"/>
          </m:rPr>
          <m:t>⋅</m:t>
        </m:r>
        <m:sSub>
          <m:e>
            <m:r>
              <m:rPr>
                <m:sty m:val="p"/>
              </m:rPr>
              <m:t>median</m:t>
            </m:r>
          </m:e>
          <m:sub>
            <m:r>
              <m:t>t</m:t>
            </m:r>
          </m:sub>
        </m:sSub>
        <m:d>
          <m:dPr>
            <m:begChr m:val="("/>
            <m:sepChr m:val=""/>
            <m:endChr m:val=")"/>
            <m:grow/>
          </m:dPr>
          <m:e>
            <m:d>
              <m:dPr>
                <m:begChr m:val="|"/>
                <m:sepChr m:val=""/>
                <m:endChr m:val="|"/>
                <m:grow/>
              </m:dPr>
              <m:e>
                <m:sSub>
                  <m:e>
                    <m:r>
                      <m:t>R</m:t>
                    </m:r>
                  </m:e>
                  <m:sub>
                    <m:r>
                      <m:t>t</m:t>
                    </m:r>
                  </m:sub>
                </m:sSub>
              </m:e>
            </m:d>
          </m:e>
        </m:d>
        <m:r>
          <m:rPr>
            <m:sty m:val="p"/>
          </m:rPr>
          <m:t>,</m:t>
        </m:r>
        <m:r>
          <m:t>  </m:t>
        </m:r>
        <m:r>
          <m:t>B</m:t>
        </m:r>
        <m:d>
          <m:dPr>
            <m:begChr m:val="("/>
            <m:sepChr m:val=""/>
            <m:endChr m:val=")"/>
            <m:grow/>
          </m:dPr>
          <m:e>
            <m:r>
              <m:t>u</m:t>
            </m:r>
          </m:e>
        </m:d>
        <m:r>
          <m:rPr>
            <m:sty m:val="p"/>
          </m:rPr>
          <m:t>=</m:t>
        </m:r>
        <m:d>
          <m:dPr>
            <m:begChr m:val="{"/>
            <m:sepChr m:val=""/>
            <m:endChr m:val=""/>
            <m:grow/>
          </m:dPr>
          <m:e>
            <m:m>
              <m:mPr>
                <m:baseJc m:val="center"/>
                <m:plcHide m:val="on"/>
                <m:mcs>
                  <m:mc>
                    <m:mcPr>
                      <m:count m:val="1"/>
                      <m:mcJc m:val="left"/>
                    </m:mcPr>
                  </m:mc>
                  <m:mc>
                    <m:mcPr>
                      <m:count m:val="1"/>
                      <m:mcJc m:val="left"/>
                    </m:mcPr>
                  </m:mc>
                </m:mcs>
              </m:mPr>
              <m:mr>
                <m:e>
                  <m:sSup>
                    <m:e>
                      <m:d>
                        <m:dPr>
                          <m:begChr m:val="("/>
                          <m:sepChr m:val=""/>
                          <m:endChr m:val=")"/>
                          <m:grow/>
                        </m:dPr>
                        <m:e>
                          <m:r>
                            <m:t>1</m:t>
                          </m:r>
                          <m:r>
                            <m:rPr>
                              <m:sty m:val="p"/>
                            </m:rPr>
                            <m:t>−</m:t>
                          </m:r>
                          <m:sSup>
                            <m:e>
                              <m:r>
                                <m:t>u</m:t>
                              </m:r>
                            </m:e>
                            <m:sup>
                              <m:r>
                                <m:t>2</m:t>
                              </m:r>
                            </m:sup>
                          </m:sSup>
                        </m:e>
                      </m:d>
                    </m:e>
                    <m:sup>
                      <m:r>
                        <m:t>2</m:t>
                      </m:r>
                    </m:sup>
                  </m:sSup>
                  <m:r>
                    <m:rPr>
                      <m:sty m:val="p"/>
                    </m:rPr>
                    <m:t>,</m:t>
                  </m:r>
                </m:e>
                <m:e>
                  <m:r>
                    <m:t>0</m:t>
                  </m:r>
                  <m:r>
                    <m:rPr>
                      <m:sty m:val="p"/>
                    </m:rPr>
                    <m:t>≤</m:t>
                  </m:r>
                  <m:r>
                    <m:t>u</m:t>
                  </m:r>
                  <m:r>
                    <m:rPr>
                      <m:sty m:val="p"/>
                    </m:rPr>
                    <m:t>&lt;</m:t>
                  </m:r>
                  <m:r>
                    <m:t>1</m:t>
                  </m:r>
                </m:e>
              </m:mr>
              <m:mr>
                <m:e>
                  <m:r>
                    <m:t>0</m:t>
                  </m:r>
                  <m:r>
                    <m:rPr>
                      <m:sty m:val="p"/>
                    </m:rPr>
                    <m:t>,</m:t>
                  </m:r>
                </m:e>
                <m:e>
                  <m:r>
                    <m:t>u</m:t>
                  </m:r>
                  <m:r>
                    <m:rPr>
                      <m:sty m:val="p"/>
                    </m:rPr>
                    <m:t>≥</m:t>
                  </m:r>
                  <m:r>
                    <m:t>1</m:t>
                  </m:r>
                </m:e>
              </m:mr>
            </m:m>
          </m:e>
        </m:d>
      </m:oMath>
      <w:r>
        <w:tab/>
        <w:t>(2.11)</w:t>
      </w:r>
    </w:p>
    <w:p>
      <w:pPr>
        <w:keepLines w:val="0"/>
        <w:spacing w:after="120"/>
        <w:ind w:firstLine="567"/>
      </w:pPr>
      <w:r>
        <w:t xml:space="preserve">So với các phương pháp như X-11 hay SEATS vốn được thiết kế cho dữ liệu tháng và quý, STL xử lý được mùa vụ với chu kỳ bất kỳ, cho phép mùa vụ biến đổi theo thời gian với tốc độ do người dùng kiểm soát và có thể bền vững trước ngoại lai (Hyndman và Athanasopoulos, 2021). Đổi lại, STL chỉ trực tiếp hỗ trợ phân rã cộng tính, không tự động xử lý hiệu ứng ngày giao dịch hay biến động theo lịch, và phiên bản cơ bản chỉ mô tả một chu kỳ mùa vụ; mùa vụ năm và hiệu ứng ngày lễ di động vì thế sẽ phân tán vào xu hướng hoặc phần dư. Kết quả cũng phụ thuộc vào tham số làm trơn: cửa sổ mùa vụ quá hẹp khiến mùa vụ hấp thụ cả nhiễu, quá rộng lại làm mất khả năng phản ánh sự thay đổi của mẫu hình.</w:t>
      </w:r>
    </w:p>
    <w:p>
      <w:pPr>
        <w:pStyle w:val="Heading3"/>
        <w:keepNext/>
      </w:pPr>
      <w:r>
        <w:t xml:space="preserve">2.3.3. Triển khai trong luận văn và giới hạn diễn giải</w:t>
      </w:r>
    </w:p>
    <w:p>
      <w:pPr>
        <w:keepLines w:val="0"/>
        <w:spacing w:after="120"/>
        <w:ind w:firstLine="567"/>
      </w:pPr>
      <w:r>
        <w:t xml:space="preserve">Trong luận văn, doanh số của mọi chuỗi được cộng theo ngày thành chuỗi tổng hợp toàn hệ thống. Chuỗi này có 1.684 ngày có quan sát trên 1.688 ngày lịch; bốn ngày vắng là 25/12/2013, 25/12/2014, 25/12/2015 và 25/12/2016. Vì STL yêu cầu tần suất đều, chuỗi được đưa về tần suất ngày bằng asfreq('D'), khiến bốn ngày này xuất hiện dưới dạng giá trị thiếu, rồi được điền bằng interpolate(). Với phương pháp nội suy tuyến tính mặc định và một ngày vắng nằm giữa hai ngày có dữ liệu, giá trị điền là trung bình của hai ngày kề bên như (2.12). Sau đó, STL được áp dụng với period=7 và robust=True, cho bốn thành phần: quan sát (observed), xu hướng (trend), mùa vụ (seasonal) và phần dư (residual).</w:t>
      </w:r>
    </w:p>
    <w:p>
      <w:pPr>
        <w:tabs>
          <w:tab w:val="center" w:pos="4535"/>
          <w:tab w:val="right" w:pos="9071"/>
        </w:tabs>
        <w:spacing w:before="60" w:after="60"/>
        <w:ind w:firstLine="0"/>
      </w:pPr>
      <w:r>
        <w:tab/>
      </w:r>
      <m:oMath xmlns:a="http://schemas.openxmlformats.org/drawingml/2006/main" xmlns:pic="http://schemas.openxmlformats.org/drawingml/2006/picture">
        <m:sSub>
          <m:e>
            <m:acc>
              <m:accPr>
                <m:chr m:val="̃"/>
              </m:accPr>
              <m:e>
                <m:r>
                  <m:t>y</m:t>
                </m:r>
              </m:e>
            </m:acc>
          </m:e>
          <m:sub>
            <m:r>
              <m:t>t</m:t>
            </m:r>
          </m:sub>
        </m:sSub>
        <m:r>
          <m:rPr>
            <m:sty m:val="p"/>
          </m:rPr>
          <m:t>=</m:t>
        </m:r>
        <m:f>
          <m:fPr>
            <m:type m:val="lin"/>
          </m:fPr>
          <m:num>
            <m:r>
              <m:t>1</m:t>
            </m:r>
          </m:num>
          <m:den>
            <m:r>
              <m:t>2</m:t>
            </m:r>
          </m:den>
        </m:f>
        <m:d>
          <m:dPr>
            <m:begChr m:val="("/>
            <m:sepChr m:val=""/>
            <m:endChr m:val=")"/>
            <m:grow/>
          </m:dPr>
          <m:e>
            <m:sSub>
              <m:e>
                <m:r>
                  <m:t>y</m:t>
                </m:r>
              </m:e>
              <m:sub>
                <m:r>
                  <m:t>t</m:t>
                </m:r>
                <m:r>
                  <m:rPr>
                    <m:sty m:val="p"/>
                  </m:rPr>
                  <m:t>−</m:t>
                </m:r>
                <m:r>
                  <m:t>1</m:t>
                </m:r>
              </m:sub>
            </m:sSub>
            <m:r>
              <m:rPr>
                <m:sty m:val="p"/>
              </m:rPr>
              <m:t>+</m:t>
            </m:r>
            <m:sSub>
              <m:e>
                <m:r>
                  <m:t>y</m:t>
                </m:r>
              </m:e>
              <m:sub>
                <m:r>
                  <m:t>t</m:t>
                </m:r>
                <m:r>
                  <m:rPr>
                    <m:sty m:val="p"/>
                  </m:rPr>
                  <m:t>+</m:t>
                </m:r>
                <m:r>
                  <m:t>1</m:t>
                </m:r>
              </m:sub>
            </m:sSub>
          </m:e>
        </m:d>
        <m:r>
          <m:t> </m:t>
        </m:r>
        <m:r>
          <m:rPr>
            <m:nor/>
          </m:rPr>
          <m:t>với </m:t>
        </m:r>
        <m:r>
          <m:t>t</m:t>
        </m:r>
        <m:r>
          <m:rPr>
            <m:sty m:val="p"/>
          </m:rPr>
          <m:t>∈</m:t>
        </m:r>
        <m:r>
          <m:rPr>
            <m:sty m:val="p"/>
          </m:rPr>
          <m:t>{</m:t>
        </m:r>
        <m:r>
          <m:t>25</m:t>
        </m:r>
        <m:r>
          <m:rPr>
            <m:sty m:val="p"/>
          </m:rPr>
          <m:t>/</m:t>
        </m:r>
        <m:r>
          <m:t>12</m:t>
        </m:r>
        <m:r>
          <m:rPr>
            <m:sty m:val="p"/>
          </m:rPr>
          <m:t>/</m:t>
        </m:r>
        <m:r>
          <m:t>2013</m:t>
        </m:r>
        <m:r>
          <m:rPr>
            <m:sty m:val="p"/>
          </m:rPr>
          <m:t>,</m:t>
        </m:r>
        <m:r>
          <m:t> </m:t>
        </m:r>
        <m:r>
          <m:t>25</m:t>
        </m:r>
        <m:r>
          <m:rPr>
            <m:sty m:val="p"/>
          </m:rPr>
          <m:t>/</m:t>
        </m:r>
        <m:r>
          <m:t>12</m:t>
        </m:r>
        <m:r>
          <m:rPr>
            <m:sty m:val="p"/>
          </m:rPr>
          <m:t>/</m:t>
        </m:r>
        <m:r>
          <m:t>2014</m:t>
        </m:r>
        <m:r>
          <m:rPr>
            <m:sty m:val="p"/>
          </m:rPr>
          <m:t>,</m:t>
        </m:r>
        <m:r>
          <m:t> </m:t>
        </m:r>
        <m:r>
          <m:t>25</m:t>
        </m:r>
        <m:r>
          <m:rPr>
            <m:sty m:val="p"/>
          </m:rPr>
          <m:t>/</m:t>
        </m:r>
        <m:r>
          <m:t>12</m:t>
        </m:r>
        <m:r>
          <m:rPr>
            <m:sty m:val="p"/>
          </m:rPr>
          <m:t>/</m:t>
        </m:r>
        <m:r>
          <m:t>2015</m:t>
        </m:r>
        <m:r>
          <m:rPr>
            <m:sty m:val="p"/>
          </m:rPr>
          <m:t>,</m:t>
        </m:r>
        <m:r>
          <m:t> </m:t>
        </m:r>
        <m:r>
          <m:t>25</m:t>
        </m:r>
        <m:r>
          <m:rPr>
            <m:sty m:val="p"/>
          </m:rPr>
          <m:t>/</m:t>
        </m:r>
        <m:r>
          <m:t>12</m:t>
        </m:r>
        <m:r>
          <m:rPr>
            <m:sty m:val="p"/>
          </m:rPr>
          <m:t>/</m:t>
        </m:r>
        <m:r>
          <m:t>2016</m:t>
        </m:r>
        <m:r>
          <m:rPr>
            <m:sty m:val="p"/>
          </m:rPr>
          <m:t>}</m:t>
        </m:r>
      </m:oMath>
      <w:r>
        <w:tab/>
        <w:t>(2.12)</w:t>
      </w:r>
    </w:p>
    <w:p>
      <w:pPr>
        <w:keepLines w:val="0"/>
        <w:spacing w:after="120"/>
        <w:ind w:firstLine="567"/>
      </w:pPr>
      <w:r>
        <w:t xml:space="preserve">Cần lưu ý rằng giá trị nội suy là một quy ước kỹ thuật chứ không phải ước lượng của nhu cầu thực: dữ liệu không cho biết doanh số của các ngày vắng, và trung bình của hai ngày kề bên có thể khác xa thực tế. Vì chỉ có bốn điểm trên 1.688 ngày và STL chạy ở chế độ bền vững, tác động của quy ước này được kỳ vọng là nhỏ, nhưng phần dư quanh cuối năm nên được đọc thận trọng. Quy ước nội suy chỉ áp dụng cho phân tích khám phá; ở bước tạo đặc trưng, bốn ngày 25/12 được xử lý theo cách khác, như những ngày cửa hàng đóng cửa với doanh số bằng 0 (mục 2.4.2). Xu hướng cho biết mức bán nền thay đổi theo thời gian, mùa vụ phản ánh mẫu lặp theo tuần ở cấp tổng hợp; nếu phần dư vẫn lớn, dự báo cần nhiều thông tin hơn một quy luật mùa vụ đơn giản. Robust STL không được dùng để tạo biến mục tiêu đã khử mùa vụ, và các thành phần phân rã không được đưa vào đầu vào của năm mô hình.</w:t>
      </w:r>
    </w:p>
    <w:p>
      <w:pPr>
        <w:keepLines w:val="0"/>
        <w:spacing w:after="120"/>
        <w:ind w:firstLine="567"/>
      </w:pPr>
      <w:r>
        <w:t xml:space="preserve">Kết quả STL còn cần được diễn giải trong giới hạn rằng chuỗi phân tích đã được tổng hợp trên toàn hệ thống. Kết quả này không chứng minh rằng mọi nhóm sản phẩm đều có cùng một mẫu hình theo tuần, bởi chuỗi tổng chịu chi phối của các chuỗi quy mô lớn và dao động của các chuỗi nhỏ có thể bị làm trơn khi cộng gộp. Tương tự, biên độ mùa vụ quan sát ở chuỗi tổng không thể áp dụng nguyên trạng cho từng tổ hợp Store × Family. Một nghiên cứu sâu hơn có thể phân rã các chuỗi đại diện hoặc phân nhóm các chuỗi theo cấu trúc mùa vụ, chẳng hạn dựa trên chỉ số (2.9), rồi so sánh các nhóm với nhau.</w:t>
      </w:r>
    </w:p>
    <w:p>
      <w:pPr>
        <w:pStyle w:val="Heading2"/>
        <w:keepNext/>
      </w:pPr>
      <w:r>
        <w:t xml:space="preserve">2.4. Kỹ thuật tạo đặc trưng</w:t>
      </w:r>
    </w:p>
    <w:p>
      <w:pPr>
        <w:pStyle w:val="Heading3"/>
        <w:keepNext/>
      </w:pPr>
      <w:r>
        <w:t xml:space="preserve">2.4.1. Chuyển chuỗi thời gian thành bài toán hồi quy có giám sát</w:t>
      </w:r>
    </w:p>
    <w:p>
      <w:pPr>
        <w:keepLines w:val="0"/>
        <w:spacing w:after="120"/>
        <w:ind w:firstLine="567"/>
      </w:pPr>
      <w:r>
        <w:t xml:space="preserve">Các mô hình Ridge, Random Forest, XGBoost và LightGBM làm việc với các cặp đầu vào – đầu ra dạng bảng chứ không trực tiếp với chuỗi thời gian. Kỹ thuật xây dựng đặc trưng (feature engineering) vì vậy mã hóa thông tin thời gian thành các cột, chuyển dữ liệu chuỗi thời gian thành bài toán hồi quy có giám sát ở cấp Store × Family × Date. Mô hình toàn cục học một hàm chung f như (2.13), trong đó c(t) là đặc trưng lịch, z(i) là biến nhận diện và thuộc tính tĩnh, h(i,t) là đặc trưng lịch sử của doanh số, e(i,t) là biến ngoại sinh đã được làm trễ và p(i,t) là biến khuyến mãi. Mọi cấu trúc thời gian mà mô hình khai thác đều phải đi qua các cột đặc trưng.</w:t>
      </w:r>
    </w:p>
    <w:p>
      <w:pPr>
        <w:tabs>
          <w:tab w:val="center" w:pos="4535"/>
          <w:tab w:val="right" w:pos="9071"/>
        </w:tabs>
        <w:spacing w:before="60" w:after="60"/>
        <w:ind w:firstLine="0"/>
      </w:pPr>
      <w:r>
        <w:tab/>
      </w:r>
      <m:oMath xmlns:a="http://schemas.openxmlformats.org/drawingml/2006/main" xmlns:pic="http://schemas.openxmlformats.org/drawingml/2006/picture">
        <m:sSub>
          <m:e>
            <m:r>
              <m:t>y</m:t>
            </m:r>
          </m:e>
          <m:sub>
            <m:r>
              <m:t>i</m:t>
            </m:r>
            <m:r>
              <m:rPr>
                <m:sty m:val="p"/>
              </m:rPr>
              <m:t>,</m:t>
            </m:r>
            <m:r>
              <m:t>t</m:t>
            </m:r>
          </m:sub>
        </m:sSub>
        <m:r>
          <m:rPr>
            <m:sty m:val="p"/>
          </m:rPr>
          <m:t>=</m:t>
        </m:r>
        <m:r>
          <m:t>f</m:t>
        </m:r>
        <m:d>
          <m:dPr>
            <m:begChr m:val="("/>
            <m:sepChr m:val=""/>
            <m:endChr m:val=")"/>
            <m:grow/>
          </m:dPr>
          <m:e>
            <m:sSub>
              <m:e>
                <m:r>
                  <m:rPr>
                    <m:sty m:val="b"/>
                  </m:rPr>
                  <m:t>c</m:t>
                </m:r>
              </m:e>
              <m:sub>
                <m:r>
                  <m:t>t</m:t>
                </m:r>
              </m:sub>
            </m:sSub>
            <m:r>
              <m:rPr>
                <m:sty m:val="p"/>
              </m:rPr>
              <m:t>,</m:t>
            </m:r>
            <m:r>
              <m:t> </m:t>
            </m:r>
            <m:sSub>
              <m:e>
                <m:r>
                  <m:rPr>
                    <m:sty m:val="b"/>
                  </m:rPr>
                  <m:t>z</m:t>
                </m:r>
              </m:e>
              <m:sub>
                <m:r>
                  <m:t>i</m:t>
                </m:r>
              </m:sub>
            </m:sSub>
            <m:r>
              <m:rPr>
                <m:sty m:val="p"/>
              </m:rPr>
              <m:t>,</m:t>
            </m:r>
            <m:r>
              <m:t> </m:t>
            </m:r>
            <m:sSub>
              <m:e>
                <m:r>
                  <m:rPr>
                    <m:sty m:val="b"/>
                  </m:rPr>
                  <m:t>h</m:t>
                </m:r>
              </m:e>
              <m:sub>
                <m:r>
                  <m:t>i</m:t>
                </m:r>
                <m:r>
                  <m:rPr>
                    <m:sty m:val="p"/>
                  </m:rPr>
                  <m:t>,</m:t>
                </m:r>
                <m:r>
                  <m:t>t</m:t>
                </m:r>
              </m:sub>
            </m:sSub>
            <m:r>
              <m:rPr>
                <m:sty m:val="p"/>
              </m:rPr>
              <m:t>,</m:t>
            </m:r>
            <m:r>
              <m:t> </m:t>
            </m:r>
            <m:sSub>
              <m:e>
                <m:r>
                  <m:rPr>
                    <m:sty m:val="b"/>
                  </m:rPr>
                  <m:t>e</m:t>
                </m:r>
              </m:e>
              <m:sub>
                <m:r>
                  <m:t>i</m:t>
                </m:r>
                <m:r>
                  <m:rPr>
                    <m:sty m:val="p"/>
                  </m:rPr>
                  <m:t>,</m:t>
                </m:r>
                <m:r>
                  <m:t>t</m:t>
                </m:r>
              </m:sub>
            </m:sSub>
            <m:r>
              <m:rPr>
                <m:sty m:val="p"/>
              </m:rPr>
              <m:t>,</m:t>
            </m:r>
            <m:r>
              <m:t> </m:t>
            </m:r>
            <m:sSub>
              <m:e>
                <m:r>
                  <m:t>p</m:t>
                </m:r>
              </m:e>
              <m:sub>
                <m:r>
                  <m:t>i</m:t>
                </m:r>
                <m:r>
                  <m:rPr>
                    <m:sty m:val="p"/>
                  </m:rPr>
                  <m:t>,</m:t>
                </m:r>
                <m:r>
                  <m:t>t</m:t>
                </m:r>
              </m:sub>
            </m:sSub>
          </m:e>
        </m:d>
        <m:r>
          <m:rPr>
            <m:sty m:val="p"/>
          </m:rPr>
          <m:t>+</m:t>
        </m:r>
        <m:sSub>
          <m:e>
            <m:r>
              <m:t>ε</m:t>
            </m:r>
          </m:e>
          <m:sub>
            <m:r>
              <m:t>i</m:t>
            </m:r>
            <m:r>
              <m:rPr>
                <m:sty m:val="p"/>
              </m:rPr>
              <m:t>,</m:t>
            </m:r>
            <m:r>
              <m:t>t</m:t>
            </m:r>
          </m:sub>
        </m:sSub>
      </m:oMath>
      <w:r>
        <w:tab/>
        <w:t>(2.13)</w:t>
      </w:r>
    </w:p>
    <w:p>
      <w:pPr>
        <w:keepLines w:val="0"/>
        <w:spacing w:after="120"/>
        <w:ind w:firstLine="567"/>
      </w:pPr>
      <w:r>
        <w:t xml:space="preserve">Tệp danh sách đặc trưng của quy trình liệt kê 31 đặc trưng, trong đó lag_7 và lag_14 bị loại khỏi đầu vào của bốn mô hình học máy, nên mỗi mô hình học máy nhận 29 đặc trưng. Bảng 2.1 tổng hợp các nhóm đặc trưng, thông tin mà chúng mang và điều kiện sẵn có tại thời điểm gốc. Nhờ store_code và family_code, mô hình toàn cục học được khác biệt có hệ thống giữa các cửa hàng và nhóm sản phẩm trong khi vẫn chia sẻ quy luật chung giữa 1.782 chuỗi; với mô hình cây, các biến này còn kết hợp với đặc trưng lịch trong cùng nhánh phân tách mà không cần tạo biến tương tác thủ công. Tuy nhiên, biến nhận diện chỉ đại diện cho khác biệt không quan sát được giữa các địa điểm và nhóm hàng, không phải nguyên nhân tạo ra nhu cầu.</w:t>
      </w:r>
    </w:p>
    <w:p>
      <w:pPr>
        <w:keepNext/>
        <w:spacing w:before="120" w:after="60"/>
        <w:ind w:firstLine="0"/>
        <w:jc w:val="center"/>
      </w:pPr>
      <w:r>
        <w:t xml:space="preserve">Bảng 2.1. Các nhóm đặc trưng của bốn mô hình học máy, thông tin mô tả và điều kiện sẵn có tại thời điểm dự báo</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371"/>
        <w:gridCol w:w="2553"/>
        <w:gridCol w:w="2318"/>
        <w:gridCol w:w="2829"/>
      </w:tblGrid>
      <w:tr>
        <w:trPr>
          <w:tblHeader/>
          <w:cantSplit/>
        </w:trPr>
        <w:tc>
          <w:tcPr>
            <w:tcW w:type="dxa" w:w="1371"/>
            <w:shd w:val="clear" w:color="auto" w:fill="D9E2F3"/>
            <w:vAlign w:val="center"/>
          </w:tcPr>
          <w:p>
            <w:pPr>
              <w:spacing w:before="20" w:after="20" w:line="260" w:lineRule="auto"/>
              <w:ind w:firstLine="0"/>
              <w:jc w:val="center"/>
            </w:pPr>
            <w:r>
              <w:rPr>
                <w:b/>
                <w:sz w:val="20"/>
                <w:szCs w:val="20"/>
              </w:rPr>
              <w:t xml:space="preserve">Nhóm đặc trưng</w:t>
            </w:r>
          </w:p>
        </w:tc>
        <w:tc>
          <w:tcPr>
            <w:tcW w:type="dxa" w:w="2553"/>
            <w:shd w:val="clear" w:color="auto" w:fill="D9E2F3"/>
            <w:vAlign w:val="center"/>
          </w:tcPr>
          <w:p>
            <w:pPr>
              <w:spacing w:before="20" w:after="20" w:line="260" w:lineRule="auto"/>
              <w:ind w:firstLine="0"/>
              <w:jc w:val="center"/>
            </w:pPr>
            <w:r>
              <w:rPr>
                <w:b/>
                <w:sz w:val="20"/>
                <w:szCs w:val="20"/>
              </w:rPr>
              <w:t xml:space="preserve">Biến</w:t>
            </w:r>
          </w:p>
        </w:tc>
        <w:tc>
          <w:tcPr>
            <w:tcW w:type="dxa" w:w="2318"/>
            <w:shd w:val="clear" w:color="auto" w:fill="D9E2F3"/>
            <w:vAlign w:val="center"/>
          </w:tcPr>
          <w:p>
            <w:pPr>
              <w:spacing w:before="20" w:after="20" w:line="260" w:lineRule="auto"/>
              <w:ind w:firstLine="0"/>
              <w:jc w:val="center"/>
            </w:pPr>
            <w:r>
              <w:rPr>
                <w:b/>
                <w:sz w:val="20"/>
                <w:szCs w:val="20"/>
              </w:rPr>
              <w:t xml:space="preserve">Thông tin mô tả</w:t>
            </w:r>
          </w:p>
        </w:tc>
        <w:tc>
          <w:tcPr>
            <w:tcW w:type="dxa" w:w="2829"/>
            <w:shd w:val="clear" w:color="auto" w:fill="D9E2F3"/>
            <w:vAlign w:val="center"/>
          </w:tcPr>
          <w:p>
            <w:pPr>
              <w:spacing w:before="20" w:after="20" w:line="260" w:lineRule="auto"/>
              <w:ind w:firstLine="0"/>
              <w:jc w:val="center"/>
            </w:pPr>
            <w:r>
              <w:rPr>
                <w:b/>
                <w:sz w:val="20"/>
                <w:szCs w:val="20"/>
              </w:rPr>
              <w:t xml:space="preserve">Điều kiện sẵn có</w:t>
            </w:r>
          </w:p>
        </w:tc>
      </w:tr>
      <w:tr>
        <w:trPr>
          <w:cantSplit/>
        </w:trPr>
        <w:tc>
          <w:tcPr>
            <w:tcW w:type="dxa" w:w="1371"/>
            <w:vAlign w:val="center"/>
          </w:tcPr>
          <w:p>
            <w:pPr>
              <w:spacing w:before="20" w:after="20" w:line="260" w:lineRule="auto"/>
              <w:ind w:firstLine="0"/>
              <w:jc w:val="left"/>
            </w:pPr>
            <w:r>
              <w:rPr>
                <w:sz w:val="20"/>
                <w:szCs w:val="20"/>
              </w:rPr>
              <w:t xml:space="preserve">Lịch</w:t>
            </w:r>
          </w:p>
        </w:tc>
        <w:tc>
          <w:tcPr>
            <w:tcW w:type="dxa" w:w="2553"/>
            <w:vAlign w:val="center"/>
          </w:tcPr>
          <w:p>
            <w:pPr>
              <w:spacing w:before="20" w:after="20" w:line="260" w:lineRule="auto"/>
              <w:ind w:firstLine="0"/>
              <w:jc w:val="left"/>
            </w:pPr>
            <w:r>
              <w:rPr>
                <w:sz w:val="20"/>
                <w:szCs w:val="20"/>
              </w:rPr>
              <w:t xml:space="preserve">dow, month, day, weekofyear, is_weekend</w:t>
            </w:r>
          </w:p>
        </w:tc>
        <w:tc>
          <w:tcPr>
            <w:tcW w:type="dxa" w:w="2318"/>
            <w:vAlign w:val="center"/>
          </w:tcPr>
          <w:p>
            <w:pPr>
              <w:spacing w:before="20" w:after="20" w:line="260" w:lineRule="auto"/>
              <w:ind w:firstLine="0"/>
              <w:jc w:val="left"/>
            </w:pPr>
            <w:r>
              <w:rPr>
                <w:sz w:val="20"/>
                <w:szCs w:val="20"/>
              </w:rPr>
              <w:t xml:space="preserve">Chu kỳ tuần, vị trí của ngày trong tháng và trong năm</w:t>
            </w:r>
          </w:p>
        </w:tc>
        <w:tc>
          <w:tcPr>
            <w:tcW w:type="dxa" w:w="2829"/>
            <w:vAlign w:val="center"/>
          </w:tcPr>
          <w:p>
            <w:pPr>
              <w:spacing w:before="20" w:after="20" w:line="260" w:lineRule="auto"/>
              <w:ind w:firstLine="0"/>
              <w:jc w:val="left"/>
            </w:pPr>
            <w:r>
              <w:rPr>
                <w:sz w:val="20"/>
                <w:szCs w:val="20"/>
              </w:rPr>
              <w:t xml:space="preserve">Biết trước hoàn toàn tại thời điểm gốc</w:t>
            </w:r>
          </w:p>
        </w:tc>
      </w:tr>
      <w:tr>
        <w:trPr>
          <w:cantSplit/>
        </w:trPr>
        <w:tc>
          <w:tcPr>
            <w:tcW w:type="dxa" w:w="1371"/>
            <w:vAlign w:val="center"/>
          </w:tcPr>
          <w:p>
            <w:pPr>
              <w:spacing w:before="20" w:after="20" w:line="260" w:lineRule="auto"/>
              <w:ind w:firstLine="0"/>
              <w:jc w:val="left"/>
            </w:pPr>
            <w:r>
              <w:rPr>
                <w:sz w:val="20"/>
                <w:szCs w:val="20"/>
              </w:rPr>
              <w:t xml:space="preserve">Lịch ngày lễ</w:t>
            </w:r>
          </w:p>
        </w:tc>
        <w:tc>
          <w:tcPr>
            <w:tcW w:type="dxa" w:w="2553"/>
            <w:vAlign w:val="center"/>
          </w:tcPr>
          <w:p>
            <w:pPr>
              <w:spacing w:before="20" w:after="20" w:line="260" w:lineRule="auto"/>
              <w:ind w:firstLine="0"/>
              <w:jc w:val="left"/>
            </w:pPr>
            <w:r>
              <w:rPr>
                <w:sz w:val="20"/>
                <w:szCs w:val="20"/>
              </w:rPr>
              <w:t xml:space="preserve">is_national_holiday (từ holidays_events.csv)</w:t>
            </w:r>
          </w:p>
        </w:tc>
        <w:tc>
          <w:tcPr>
            <w:tcW w:type="dxa" w:w="2318"/>
            <w:vAlign w:val="center"/>
          </w:tcPr>
          <w:p>
            <w:pPr>
              <w:spacing w:before="20" w:after="20" w:line="260" w:lineRule="auto"/>
              <w:ind w:firstLine="0"/>
              <w:jc w:val="left"/>
            </w:pPr>
            <w:r>
              <w:rPr>
                <w:sz w:val="20"/>
                <w:szCs w:val="20"/>
              </w:rPr>
              <w:t xml:space="preserve">Ngày có sự kiện cấp National, loại bản ghi transferred và loại type = Work Day</w:t>
            </w:r>
          </w:p>
        </w:tc>
        <w:tc>
          <w:tcPr>
            <w:tcW w:type="dxa" w:w="2829"/>
            <w:vAlign w:val="center"/>
          </w:tcPr>
          <w:p>
            <w:pPr>
              <w:spacing w:before="20" w:after="20" w:line="260" w:lineRule="auto"/>
              <w:ind w:firstLine="0"/>
              <w:jc w:val="left"/>
            </w:pPr>
            <w:r>
              <w:rPr>
                <w:sz w:val="20"/>
                <w:szCs w:val="20"/>
              </w:rPr>
              <w:t xml:space="preserve">Lịch được công bố trước</w:t>
            </w:r>
          </w:p>
        </w:tc>
      </w:tr>
      <w:tr>
        <w:trPr>
          <w:cantSplit/>
        </w:trPr>
        <w:tc>
          <w:tcPr>
            <w:tcW w:type="dxa" w:w="1371"/>
            <w:vAlign w:val="center"/>
          </w:tcPr>
          <w:p>
            <w:pPr>
              <w:spacing w:before="20" w:after="20" w:line="260" w:lineRule="auto"/>
              <w:ind w:firstLine="0"/>
              <w:jc w:val="left"/>
            </w:pPr>
            <w:r>
              <w:rPr>
                <w:sz w:val="20"/>
                <w:szCs w:val="20"/>
              </w:rPr>
              <w:t xml:space="preserve">Nhận diện và thuộc tính tĩnh</w:t>
            </w:r>
          </w:p>
        </w:tc>
        <w:tc>
          <w:tcPr>
            <w:tcW w:type="dxa" w:w="2553"/>
            <w:vAlign w:val="center"/>
          </w:tcPr>
          <w:p>
            <w:pPr>
              <w:spacing w:before="20" w:after="20" w:line="260" w:lineRule="auto"/>
              <w:ind w:firstLine="0"/>
              <w:jc w:val="left"/>
            </w:pPr>
            <w:r>
              <w:rPr>
                <w:sz w:val="20"/>
                <w:szCs w:val="20"/>
              </w:rPr>
              <w:t xml:space="preserve">store_code, family_code; city_code, state_code, type_code, cluster (từ stores.csv)</w:t>
            </w:r>
          </w:p>
        </w:tc>
        <w:tc>
          <w:tcPr>
            <w:tcW w:type="dxa" w:w="2318"/>
            <w:vAlign w:val="center"/>
          </w:tcPr>
          <w:p>
            <w:pPr>
              <w:spacing w:before="20" w:after="20" w:line="260" w:lineRule="auto"/>
              <w:ind w:firstLine="0"/>
              <w:jc w:val="left"/>
            </w:pPr>
            <w:r>
              <w:rPr>
                <w:sz w:val="20"/>
                <w:szCs w:val="20"/>
              </w:rPr>
              <w:t xml:space="preserve">Khác biệt có hệ thống giữa cửa hàng, địa bàn, loại cửa hàng và nhóm sản phẩm</w:t>
            </w:r>
          </w:p>
        </w:tc>
        <w:tc>
          <w:tcPr>
            <w:tcW w:type="dxa" w:w="2829"/>
            <w:vAlign w:val="center"/>
          </w:tcPr>
          <w:p>
            <w:pPr>
              <w:spacing w:before="20" w:after="20" w:line="260" w:lineRule="auto"/>
              <w:ind w:firstLine="0"/>
              <w:jc w:val="left"/>
            </w:pPr>
            <w:r>
              <w:rPr>
                <w:sz w:val="20"/>
                <w:szCs w:val="20"/>
              </w:rPr>
              <w:t xml:space="preserve">Không thay đổi theo thời gian</w:t>
            </w:r>
          </w:p>
        </w:tc>
      </w:tr>
      <w:tr>
        <w:trPr>
          <w:cantSplit/>
        </w:trPr>
        <w:tc>
          <w:tcPr>
            <w:tcW w:type="dxa" w:w="1371"/>
            <w:vAlign w:val="center"/>
          </w:tcPr>
          <w:p>
            <w:pPr>
              <w:spacing w:before="20" w:after="20" w:line="260" w:lineRule="auto"/>
              <w:ind w:firstLine="0"/>
              <w:jc w:val="left"/>
            </w:pPr>
            <w:r>
              <w:rPr>
                <w:sz w:val="20"/>
                <w:szCs w:val="20"/>
              </w:rPr>
              <w:t xml:space="preserve">Độ trễ doanh số</w:t>
            </w:r>
          </w:p>
        </w:tc>
        <w:tc>
          <w:tcPr>
            <w:tcW w:type="dxa" w:w="2553"/>
            <w:vAlign w:val="center"/>
          </w:tcPr>
          <w:p>
            <w:pPr>
              <w:spacing w:before="20" w:after="20" w:line="260" w:lineRule="auto"/>
              <w:ind w:firstLine="0"/>
              <w:jc w:val="left"/>
            </w:pPr>
            <w:r>
              <w:rPr>
                <w:sz w:val="20"/>
                <w:szCs w:val="20"/>
              </w:rPr>
              <w:t xml:space="preserve">lag_16, lag_21, lag_28, lag_32, lag_35, lag_42, lag_56</w:t>
            </w:r>
          </w:p>
        </w:tc>
        <w:tc>
          <w:tcPr>
            <w:tcW w:type="dxa" w:w="2318"/>
            <w:vAlign w:val="center"/>
          </w:tcPr>
          <w:p>
            <w:pPr>
              <w:spacing w:before="20" w:after="20" w:line="260" w:lineRule="auto"/>
              <w:ind w:firstLine="0"/>
              <w:jc w:val="left"/>
            </w:pPr>
            <w:r>
              <w:rPr>
                <w:sz w:val="20"/>
                <w:szCs w:val="20"/>
              </w:rPr>
              <w:t xml:space="preserve">Mức bán quá khứ và cấu trúc lặp lại, tính theo ngày lịch sau khi hoàn thiện lịch</w:t>
            </w:r>
          </w:p>
        </w:tc>
        <w:tc>
          <w:tcPr>
            <w:tcW w:type="dxa" w:w="2829"/>
            <w:vAlign w:val="center"/>
          </w:tcPr>
          <w:p>
            <w:pPr>
              <w:spacing w:before="20" w:after="20" w:line="260" w:lineRule="auto"/>
              <w:ind w:firstLine="0"/>
              <w:jc w:val="left"/>
            </w:pPr>
            <w:r>
              <w:rPr>
                <w:sz w:val="20"/>
                <w:szCs w:val="20"/>
              </w:rPr>
              <w:t xml:space="preserve">Hợp lệ khi bậc trễ k ≥ H = 16</w:t>
            </w:r>
          </w:p>
        </w:tc>
      </w:tr>
      <w:tr>
        <w:trPr>
          <w:cantSplit/>
        </w:trPr>
        <w:tc>
          <w:tcPr>
            <w:tcW w:type="dxa" w:w="1371"/>
            <w:vAlign w:val="center"/>
          </w:tcPr>
          <w:p>
            <w:pPr>
              <w:spacing w:before="20" w:after="20" w:line="260" w:lineRule="auto"/>
              <w:ind w:firstLine="0"/>
              <w:jc w:val="left"/>
            </w:pPr>
            <w:r>
              <w:rPr>
                <w:sz w:val="20"/>
                <w:szCs w:val="20"/>
              </w:rPr>
              <w:t xml:space="preserve">Thống kê trượt doanh số</w:t>
            </w:r>
          </w:p>
        </w:tc>
        <w:tc>
          <w:tcPr>
            <w:tcW w:type="dxa" w:w="2553"/>
            <w:vAlign w:val="center"/>
          </w:tcPr>
          <w:p>
            <w:pPr>
              <w:spacing w:before="20" w:after="20" w:line="260" w:lineRule="auto"/>
              <w:ind w:firstLine="0"/>
              <w:jc w:val="left"/>
            </w:pPr>
            <w:r>
              <w:rPr>
                <w:sz w:val="20"/>
                <w:szCs w:val="20"/>
              </w:rPr>
              <w:t xml:space="preserve">roll_mean_7, roll_mean_14, roll_mean_28, roll_std_7, roll_std_14, roll_std_28</w:t>
            </w:r>
          </w:p>
        </w:tc>
        <w:tc>
          <w:tcPr>
            <w:tcW w:type="dxa" w:w="2318"/>
            <w:vAlign w:val="center"/>
          </w:tcPr>
          <w:p>
            <w:pPr>
              <w:spacing w:before="20" w:after="20" w:line="260" w:lineRule="auto"/>
              <w:ind w:firstLine="0"/>
              <w:jc w:val="left"/>
            </w:pPr>
            <w:r>
              <w:rPr>
                <w:sz w:val="20"/>
                <w:szCs w:val="20"/>
              </w:rPr>
              <w:t xml:space="preserve">Mức nền gần đây và mức biến động cục bộ</w:t>
            </w:r>
          </w:p>
        </w:tc>
        <w:tc>
          <w:tcPr>
            <w:tcW w:type="dxa" w:w="2829"/>
            <w:vAlign w:val="center"/>
          </w:tcPr>
          <w:p>
            <w:pPr>
              <w:spacing w:before="20" w:after="20" w:line="260" w:lineRule="auto"/>
              <w:ind w:firstLine="0"/>
              <w:jc w:val="left"/>
            </w:pPr>
            <w:r>
              <w:rPr>
                <w:sz w:val="20"/>
                <w:szCs w:val="20"/>
              </w:rPr>
              <w:t xml:space="preserve">Tính trên chuỗi đã dịch 16 ngày lịch</w:t>
            </w:r>
          </w:p>
        </w:tc>
      </w:tr>
      <w:tr>
        <w:trPr>
          <w:cantSplit/>
        </w:trPr>
        <w:tc>
          <w:tcPr>
            <w:tcW w:type="dxa" w:w="1371"/>
            <w:vAlign w:val="center"/>
          </w:tcPr>
          <w:p>
            <w:pPr>
              <w:spacing w:before="20" w:after="20" w:line="260" w:lineRule="auto"/>
              <w:ind w:firstLine="0"/>
              <w:jc w:val="left"/>
            </w:pPr>
            <w:r>
              <w:rPr>
                <w:sz w:val="20"/>
                <w:szCs w:val="20"/>
              </w:rPr>
              <w:t xml:space="preserve">Biến ngoại sinh có độ trễ</w:t>
            </w:r>
          </w:p>
        </w:tc>
        <w:tc>
          <w:tcPr>
            <w:tcW w:type="dxa" w:w="2553"/>
            <w:vAlign w:val="center"/>
          </w:tcPr>
          <w:p>
            <w:pPr>
              <w:spacing w:before="20" w:after="20" w:line="260" w:lineRule="auto"/>
              <w:ind w:firstLine="0"/>
              <w:jc w:val="left"/>
            </w:pPr>
            <w:r>
              <w:rPr>
                <w:sz w:val="20"/>
                <w:szCs w:val="20"/>
              </w:rPr>
              <w:t xml:space="preserve">oil_price_lag16 (từ oil.csv); transactions_lag16, transactions_roll28_lag16 (từ transactions.csv)</w:t>
            </w:r>
          </w:p>
        </w:tc>
        <w:tc>
          <w:tcPr>
            <w:tcW w:type="dxa" w:w="2318"/>
            <w:vAlign w:val="center"/>
          </w:tcPr>
          <w:p>
            <w:pPr>
              <w:spacing w:before="20" w:after="20" w:line="260" w:lineRule="auto"/>
              <w:ind w:firstLine="0"/>
              <w:jc w:val="left"/>
            </w:pPr>
            <w:r>
              <w:rPr>
                <w:sz w:val="20"/>
                <w:szCs w:val="20"/>
              </w:rPr>
              <w:t xml:space="preserve">Bối cảnh kinh tế vĩ mô và mức hoạt động giao dịch của cửa hàng</w:t>
            </w:r>
          </w:p>
        </w:tc>
        <w:tc>
          <w:tcPr>
            <w:tcW w:type="dxa" w:w="2829"/>
            <w:vAlign w:val="center"/>
          </w:tcPr>
          <w:p>
            <w:pPr>
              <w:spacing w:before="20" w:after="20" w:line="260" w:lineRule="auto"/>
              <w:ind w:firstLine="0"/>
              <w:jc w:val="left"/>
            </w:pPr>
            <w:r>
              <w:rPr>
                <w:sz w:val="20"/>
                <w:szCs w:val="20"/>
              </w:rPr>
              <w:t xml:space="preserve">Làm trễ 16 ngày lịch trước khi ghép (giao dịch xử lý trên lịch của từng cửa hàng)</w:t>
            </w:r>
          </w:p>
        </w:tc>
      </w:tr>
      <w:tr>
        <w:trPr>
          <w:cantSplit/>
        </w:trPr>
        <w:tc>
          <w:tcPr>
            <w:tcW w:type="dxa" w:w="1371"/>
            <w:vAlign w:val="center"/>
          </w:tcPr>
          <w:p>
            <w:pPr>
              <w:spacing w:before="20" w:after="20" w:line="260" w:lineRule="auto"/>
              <w:ind w:firstLine="0"/>
              <w:jc w:val="left"/>
            </w:pPr>
            <w:r>
              <w:rPr>
                <w:sz w:val="20"/>
                <w:szCs w:val="20"/>
              </w:rPr>
              <w:t xml:space="preserve">Biến điều kiện</w:t>
            </w:r>
          </w:p>
        </w:tc>
        <w:tc>
          <w:tcPr>
            <w:tcW w:type="dxa" w:w="2553"/>
            <w:vAlign w:val="center"/>
          </w:tcPr>
          <w:p>
            <w:pPr>
              <w:spacing w:before="20" w:after="20" w:line="260" w:lineRule="auto"/>
              <w:ind w:firstLine="0"/>
              <w:jc w:val="left"/>
            </w:pPr>
            <w:r>
              <w:rPr>
                <w:sz w:val="20"/>
                <w:szCs w:val="20"/>
              </w:rPr>
              <w:t xml:space="preserve">onpromotion</w:t>
            </w:r>
          </w:p>
        </w:tc>
        <w:tc>
          <w:tcPr>
            <w:tcW w:type="dxa" w:w="2318"/>
            <w:vAlign w:val="center"/>
          </w:tcPr>
          <w:p>
            <w:pPr>
              <w:spacing w:before="20" w:after="20" w:line="260" w:lineRule="auto"/>
              <w:ind w:firstLine="0"/>
              <w:jc w:val="left"/>
            </w:pPr>
            <w:r>
              <w:rPr>
                <w:sz w:val="20"/>
                <w:szCs w:val="20"/>
              </w:rPr>
              <w:t xml:space="preserve">Số mặt hàng thuộc nhóm sản phẩm đang được khuyến mãi</w:t>
            </w:r>
          </w:p>
        </w:tc>
        <w:tc>
          <w:tcPr>
            <w:tcW w:type="dxa" w:w="2829"/>
            <w:vAlign w:val="center"/>
          </w:tcPr>
          <w:p>
            <w:pPr>
              <w:spacing w:before="20" w:after="20" w:line="260" w:lineRule="auto"/>
              <w:ind w:firstLine="0"/>
              <w:jc w:val="left"/>
            </w:pPr>
            <w:r>
              <w:rPr>
                <w:sz w:val="20"/>
                <w:szCs w:val="20"/>
              </w:rPr>
              <w:t xml:space="preserve">Giả định biết trước như một kế hoạch (planned covariate)</w:t>
            </w:r>
          </w:p>
        </w:tc>
      </w:tr>
      <w:tr>
        <w:trPr>
          <w:cantSplit/>
        </w:trPr>
        <w:tc>
          <w:tcPr>
            <w:tcW w:type="dxa" w:w="1371"/>
            <w:vAlign w:val="center"/>
          </w:tcPr>
          <w:p>
            <w:pPr>
              <w:spacing w:before="20" w:after="20" w:line="260" w:lineRule="auto"/>
              <w:ind w:firstLine="0"/>
              <w:jc w:val="left"/>
            </w:pPr>
            <w:r>
              <w:rPr>
                <w:sz w:val="20"/>
                <w:szCs w:val="20"/>
              </w:rPr>
              <w:t xml:space="preserve">Chỉ dùng cho Seasonal Naive</w:t>
            </w:r>
          </w:p>
        </w:tc>
        <w:tc>
          <w:tcPr>
            <w:tcW w:type="dxa" w:w="2553"/>
            <w:vAlign w:val="center"/>
          </w:tcPr>
          <w:p>
            <w:pPr>
              <w:spacing w:before="20" w:after="20" w:line="260" w:lineRule="auto"/>
              <w:ind w:firstLine="0"/>
              <w:jc w:val="left"/>
            </w:pPr>
            <w:r>
              <w:rPr>
                <w:sz w:val="20"/>
                <w:szCs w:val="20"/>
              </w:rPr>
              <w:t xml:space="preserve">lag_7, lag_14 (cùng với lag_21)</w:t>
            </w:r>
          </w:p>
        </w:tc>
        <w:tc>
          <w:tcPr>
            <w:tcW w:type="dxa" w:w="2318"/>
            <w:vAlign w:val="center"/>
          </w:tcPr>
          <w:p>
            <w:pPr>
              <w:spacing w:before="20" w:after="20" w:line="260" w:lineRule="auto"/>
              <w:ind w:firstLine="0"/>
              <w:jc w:val="left"/>
            </w:pPr>
            <w:r>
              <w:rPr>
                <w:sz w:val="20"/>
                <w:szCs w:val="20"/>
              </w:rPr>
              <w:t xml:space="preserve">Doanh số cùng thứ trong tuần cuối trước gốc dự báo</w:t>
            </w:r>
          </w:p>
        </w:tc>
        <w:tc>
          <w:tcPr>
            <w:tcW w:type="dxa" w:w="2829"/>
            <w:vAlign w:val="center"/>
          </w:tcPr>
          <w:p>
            <w:pPr>
              <w:spacing w:before="20" w:after="20" w:line="260" w:lineRule="auto"/>
              <w:ind w:firstLine="0"/>
              <w:jc w:val="left"/>
            </w:pPr>
            <w:r>
              <w:rPr>
                <w:sz w:val="20"/>
                <w:szCs w:val="20"/>
              </w:rPr>
              <w:t xml:space="preserve">Không hợp lệ cho mọi h nên bị loại khỏi đầu vào học máy; Seasonal Naive chỉ dùng mỗi độ trễ ở những ngày h mà nó hợp lệ</w:t>
            </w:r>
          </w:p>
        </w:tc>
      </w:tr>
    </w:tbl>
    <w:p>
      <w:pPr>
        <w:spacing w:before="40" w:after="160"/>
        <w:ind w:firstLine="0"/>
      </w:pPr>
      <w:r>
        <w:rPr>
          <w:i/>
          <w:sz w:val="22"/>
          <w:szCs w:val="22"/>
        </w:rPr>
        <w:t xml:space="preserve">Nguồn: tổng hợp của tác giả từ feature_list.csv, optional_features_used.csv và mã nguồn 03_feature_engineering.py, 04_train_compare_5_models.py.</w:t>
      </w:r>
    </w:p>
    <w:p>
      <w:pPr>
        <w:keepLines w:val="0"/>
        <w:spacing w:after="120"/>
        <w:ind w:firstLine="567"/>
      </w:pPr>
      <w:r>
        <w:t xml:space="preserve">Về mặt mã hóa, store_code lấy trực tiếp số hiệu cửa hàng, còn family_code, city_code, state_code và type_code là mã số nguyên của các danh mục theo thứ tự chữ cái. Cách mã hóa này phù hợp với mô hình cây, vốn chỉ dùng thứ tự giá trị để chọn ngưỡng tách. Với Ridge, một mô hình tuyến tính, mã số nguyên lại áp đặt một quan hệ tuyến tính giả tạo theo thứ tự mã. Một vấn đề khác của mô hình tuyến tính có điều chuẩn là hệ số phạt L2 phụ thuộc thang đo của biến (Hastie và cộng sự, 2009): nếu các đặc trưng có thang rất khác nhau, như giá dầu, số giao dịch và cờ nhị phân, mức điều chuẩn sẽ tác động không đều giữa chúng. Vì vậy, quy trình chính thức đặt bước chuẩn hóa StandardScaler trước Ridge. Bước này giải quyết vấn đề thang đo nhưng không khắc phục được thứ tự giả tạo của mã danh mục; mã hóa một-nóng (one-hot) là lựa chọn thay thế chưa được thử nghiệm và cần được ghi nhận khi đọc kết quả của Ridge ở các chương sau.</w:t>
      </w:r>
    </w:p>
    <w:p>
      <w:pPr>
        <w:pStyle w:val="Heading3"/>
        <w:keepNext/>
      </w:pPr>
      <w:r>
        <w:t xml:space="preserve">2.4.2. Đặc trưng độ trễ và thống kê trượt</w:t>
      </w:r>
    </w:p>
    <w:p>
      <w:pPr>
        <w:keepLines w:val="0"/>
        <w:spacing w:after="120"/>
        <w:ind w:firstLine="567"/>
      </w:pPr>
      <w:r>
        <w:t xml:space="preserve">Độ trễ (lag) bậc k là doanh số cách ngày mục tiêu k kỳ như (2.14), còn thống kê trượt (rolling statistic) tóm tắt một cửa sổ w quan sát liên tiếp. Khi dự báo trực tiếp với kỳ H, cửa sổ phải được dịch lùi sao cho quan sát mới nhất không muộn hơn thời điểm gốc. Mã nguồn thực hiện đúng nguyên tắc này bằng phép shift(16).rolling(w) trên từng chuỗi, tương ứng với (2.15), với w ∈ {7, 14, 28} và H = 16; độ lệch chuẩn trượt là độ lệch chuẩn mẫu (chia cho w − 1) theo mặc định của thư viện pandas, và thống kê chỉ được tính khi cửa sổ có đủ w quan sát.</w:t>
      </w:r>
    </w:p>
    <w:p>
      <w:pPr>
        <w:tabs>
          <w:tab w:val="center" w:pos="4535"/>
          <w:tab w:val="right" w:pos="9071"/>
        </w:tabs>
        <w:spacing w:before="60" w:after="60"/>
        <w:ind w:firstLine="0"/>
      </w:pPr>
      <w:r>
        <w:tab/>
      </w:r>
      <m:oMath xmlns:a="http://schemas.openxmlformats.org/drawingml/2006/main" xmlns:pic="http://schemas.openxmlformats.org/drawingml/2006/picture">
        <m:sSub>
          <m:e>
            <m:r>
              <m:rPr>
                <m:sty m:val="p"/>
              </m:rPr>
              <m:t>l</m:t>
            </m:r>
            <m:r>
              <m:rPr>
                <m:sty m:val="p"/>
              </m:rPr>
              <m:t>a</m:t>
            </m:r>
            <m:r>
              <m:rPr>
                <m:sty m:val="p"/>
              </m:rPr>
              <m:t>g</m:t>
            </m:r>
          </m:e>
          <m:sub>
            <m:r>
              <m:t>k</m:t>
            </m:r>
          </m:sub>
        </m:sSub>
        <m:d>
          <m:dPr>
            <m:begChr m:val="("/>
            <m:sepChr m:val=""/>
            <m:endChr m:val=")"/>
            <m:grow/>
          </m:dPr>
          <m:e>
            <m:r>
              <m:t>i</m:t>
            </m:r>
            <m:r>
              <m:rPr>
                <m:sty m:val="p"/>
              </m:rPr>
              <m:t>,</m:t>
            </m:r>
            <m:r>
              <m:t>t</m:t>
            </m:r>
          </m:e>
        </m:d>
        <m:r>
          <m:rPr>
            <m:sty m:val="p"/>
          </m:rPr>
          <m:t>=</m:t>
        </m:r>
        <m:sSub>
          <m:e>
            <m:r>
              <m:t>y</m:t>
            </m:r>
          </m:e>
          <m:sub>
            <m:r>
              <m:t>i</m:t>
            </m:r>
            <m:r>
              <m:rPr>
                <m:sty m:val="p"/>
              </m:rPr>
              <m:t>,</m:t>
            </m:r>
            <m:r>
              <m:t>t</m:t>
            </m:r>
            <m:r>
              <m:rPr>
                <m:sty m:val="p"/>
              </m:rPr>
              <m:t>−</m:t>
            </m:r>
            <m:r>
              <m:t>k</m:t>
            </m:r>
          </m:sub>
        </m:sSub>
      </m:oMath>
      <w:r>
        <w:tab/>
        <w:t>(2.14)</w:t>
      </w:r>
    </w:p>
    <w:p>
      <w:pPr>
        <w:tabs>
          <w:tab w:val="center" w:pos="4535"/>
          <w:tab w:val="right" w:pos="9071"/>
        </w:tabs>
        <w:spacing w:before="60" w:after="60"/>
        <w:ind w:firstLine="0"/>
      </w:pPr>
      <w:r>
        <w:tab/>
      </w:r>
      <m:oMath xmlns:a="http://schemas.openxmlformats.org/drawingml/2006/main" xmlns:pic="http://schemas.openxmlformats.org/drawingml/2006/picture">
        <m:sSubSup>
          <m:e>
            <m:acc>
              <m:accPr>
                <m:chr m:val="‾"/>
              </m:accPr>
              <m:e>
                <m:r>
                  <m:t>y</m:t>
                </m:r>
              </m:e>
            </m:acc>
          </m:e>
          <m:sub>
            <m:r>
              <m:t>i</m:t>
            </m:r>
            <m:r>
              <m:rPr>
                <m:sty m:val="p"/>
              </m:rPr>
              <m:t>,</m:t>
            </m:r>
            <m:r>
              <m:t>t</m:t>
            </m:r>
          </m:sub>
          <m:sup>
            <m:d>
              <m:dPr>
                <m:begChr m:val="("/>
                <m:sepChr m:val=""/>
                <m:endChr m:val=")"/>
                <m:grow/>
              </m:dPr>
              <m:e>
                <m:r>
                  <m:t>w</m:t>
                </m:r>
              </m:e>
            </m:d>
          </m:sup>
        </m:sSubSup>
        <m:r>
          <m:rPr>
            <m:sty m:val="p"/>
          </m:rPr>
          <m:t>=</m:t>
        </m:r>
        <m:f>
          <m:fPr>
            <m:type m:val="bar"/>
          </m:fPr>
          <m:num>
            <m:r>
              <m:t>1</m:t>
            </m:r>
          </m:num>
          <m:den>
            <m:r>
              <m:t>w</m:t>
            </m:r>
          </m:den>
        </m:f>
        <m:nary>
          <m:naryPr>
            <m:chr m:val="∑"/>
            <m:limLoc m:val="undOvr"/>
            <m:subHide m:val="off"/>
            <m:supHide m:val="off"/>
          </m:naryPr>
          <m:sub>
            <m:r>
              <m:t>j</m:t>
            </m:r>
            <m:r>
              <m:rPr>
                <m:sty m:val="p"/>
              </m:rPr>
              <m:t>=</m:t>
            </m:r>
            <m:r>
              <m:t>0</m:t>
            </m:r>
          </m:sub>
          <m:sup>
            <m:r>
              <m:t>w</m:t>
            </m:r>
            <m:r>
              <m:rPr>
                <m:sty m:val="p"/>
              </m:rPr>
              <m:t>−</m:t>
            </m:r>
            <m:r>
              <m:t>1</m:t>
            </m:r>
          </m:sup>
          <m:e>
            <m:sSub>
              <m:e>
                <m:r>
                  <m:t>y</m:t>
                </m:r>
              </m:e>
              <m:sub>
                <m:r>
                  <m:t>i</m:t>
                </m:r>
                <m:r>
                  <m:rPr>
                    <m:sty m:val="p"/>
                  </m:rPr>
                  <m:t>,</m:t>
                </m:r>
                <m:r>
                  <m:t>t</m:t>
                </m:r>
                <m:r>
                  <m:rPr>
                    <m:sty m:val="p"/>
                  </m:rPr>
                  <m:t>−</m:t>
                </m:r>
                <m:r>
                  <m:t>H</m:t>
                </m:r>
                <m:r>
                  <m:rPr>
                    <m:sty m:val="p"/>
                  </m:rPr>
                  <m:t>−</m:t>
                </m:r>
                <m:r>
                  <m:t>j</m:t>
                </m:r>
              </m:sub>
            </m:sSub>
          </m:e>
        </m:nary>
        <m:r>
          <m:rPr>
            <m:sty m:val="p"/>
          </m:rPr>
          <m:t>,</m:t>
        </m:r>
        <m:r>
          <m:t>  </m:t>
        </m:r>
        <m:sSubSup>
          <m:e>
            <m:r>
              <m:t>s</m:t>
            </m:r>
          </m:e>
          <m:sub>
            <m:r>
              <m:t>i</m:t>
            </m:r>
            <m:r>
              <m:rPr>
                <m:sty m:val="p"/>
              </m:rPr>
              <m:t>,</m:t>
            </m:r>
            <m:r>
              <m:t>t</m:t>
            </m:r>
          </m:sub>
          <m:sup>
            <m:d>
              <m:dPr>
                <m:begChr m:val="("/>
                <m:sepChr m:val=""/>
                <m:endChr m:val=")"/>
                <m:grow/>
              </m:dPr>
              <m:e>
                <m:r>
                  <m:t>w</m:t>
                </m:r>
              </m:e>
            </m:d>
          </m:sup>
        </m:sSubSup>
        <m:r>
          <m:rPr>
            <m:sty m:val="p"/>
          </m:rPr>
          <m:t>=</m:t>
        </m:r>
        <m:rad>
          <m:radPr>
            <m:degHide m:val="on"/>
          </m:radPr>
          <m:deg/>
          <m:e>
            <m:f>
              <m:fPr>
                <m:type m:val="bar"/>
              </m:fPr>
              <m:num>
                <m:r>
                  <m:t>1</m:t>
                </m:r>
              </m:num>
              <m:den>
                <m:r>
                  <m:t>w</m:t>
                </m:r>
                <m:r>
                  <m:rPr>
                    <m:sty m:val="p"/>
                  </m:rPr>
                  <m:t>−</m:t>
                </m:r>
                <m:r>
                  <m:t>1</m:t>
                </m:r>
              </m:den>
            </m:f>
            <m:nary>
              <m:naryPr>
                <m:chr m:val="∑"/>
                <m:limLoc m:val="undOvr"/>
                <m:subHide m:val="off"/>
                <m:supHide m:val="off"/>
              </m:naryPr>
              <m:sub>
                <m:r>
                  <m:t>j</m:t>
                </m:r>
                <m:r>
                  <m:rPr>
                    <m:sty m:val="p"/>
                  </m:rPr>
                  <m:t>=</m:t>
                </m:r>
                <m:r>
                  <m:t>0</m:t>
                </m:r>
              </m:sub>
              <m:sup>
                <m:r>
                  <m:t>w</m:t>
                </m:r>
                <m:r>
                  <m:rPr>
                    <m:sty m:val="p"/>
                  </m:rPr>
                  <m:t>−</m:t>
                </m:r>
                <m:r>
                  <m:t>1</m:t>
                </m:r>
              </m:sup>
              <m:e>
                <m:sSup>
                  <m:e>
                    <m:d>
                      <m:dPr>
                        <m:begChr m:val="("/>
                        <m:sepChr m:val=""/>
                        <m:endChr m:val=")"/>
                        <m:grow/>
                      </m:dPr>
                      <m:e>
                        <m:sSub>
                          <m:e>
                            <m:r>
                              <m:t>y</m:t>
                            </m:r>
                          </m:e>
                          <m:sub>
                            <m:r>
                              <m:t>i</m:t>
                            </m:r>
                            <m:r>
                              <m:rPr>
                                <m:sty m:val="p"/>
                              </m:rPr>
                              <m:t>,</m:t>
                            </m:r>
                            <m:r>
                              <m:t>t</m:t>
                            </m:r>
                            <m:r>
                              <m:rPr>
                                <m:sty m:val="p"/>
                              </m:rPr>
                              <m:t>−</m:t>
                            </m:r>
                            <m:r>
                              <m:t>H</m:t>
                            </m:r>
                            <m:r>
                              <m:rPr>
                                <m:sty m:val="p"/>
                              </m:rPr>
                              <m:t>−</m:t>
                            </m:r>
                            <m:r>
                              <m:t>j</m:t>
                            </m:r>
                          </m:sub>
                        </m:sSub>
                        <m:r>
                          <m:rPr>
                            <m:sty m:val="p"/>
                          </m:rPr>
                          <m:t>−</m:t>
                        </m:r>
                        <m:sSubSup>
                          <m:e>
                            <m:acc>
                              <m:accPr>
                                <m:chr m:val="‾"/>
                              </m:accPr>
                              <m:e>
                                <m:r>
                                  <m:t>y</m:t>
                                </m:r>
                              </m:e>
                            </m:acc>
                          </m:e>
                          <m:sub>
                            <m:r>
                              <m:t>i</m:t>
                            </m:r>
                            <m:r>
                              <m:rPr>
                                <m:sty m:val="p"/>
                              </m:rPr>
                              <m:t>,</m:t>
                            </m:r>
                            <m:r>
                              <m:t>t</m:t>
                            </m:r>
                          </m:sub>
                          <m:sup>
                            <m:d>
                              <m:dPr>
                                <m:begChr m:val="("/>
                                <m:sepChr m:val=""/>
                                <m:endChr m:val=")"/>
                                <m:grow/>
                              </m:dPr>
                              <m:e>
                                <m:r>
                                  <m:t>w</m:t>
                                </m:r>
                              </m:e>
                            </m:d>
                          </m:sup>
                        </m:sSubSup>
                      </m:e>
                    </m:d>
                  </m:e>
                  <m:sup>
                    <m:r>
                      <m:t>2</m:t>
                    </m:r>
                  </m:sup>
                </m:sSup>
              </m:e>
            </m:nary>
          </m:e>
        </m:rad>
      </m:oMath>
      <w:r>
        <w:tab/>
        <w:t>(2.15)</w:t>
      </w:r>
    </w:p>
    <w:p>
      <w:pPr>
        <w:keepLines w:val="0"/>
        <w:spacing w:after="120"/>
        <w:ind w:firstLine="567"/>
      </w:pPr>
      <w:r>
        <w:t xml:space="preserve">Các độ trễ được tạo gồm lag_7, lag_14, lag_16, lag_21, lag_28, lag_32, lag_35, lag_42 và lag_56. Độ trễ mang thông tin về mức bán quá khứ và cấu trúc lặp lại, trung bình trượt phản ánh mức nền gần đây với ít nhiễu hơn một độ trễ đơn lẻ, còn độ lệch chuẩn trượt mô tả mức biến động cục bộ. Các độ trễ là bội số của 7 (lag_21, lag_28, lag_35, lag_42, lag_56) giữ nguyên thứ trong tuần giữa ngày mục tiêu và ngày tham chiếu, qua đó đưa mùa vụ tuần trực tiếp vào đầu vào; lag_16 và lag_32 không trùng thứ trong tuần nhưng gắn với độ dài kỳ dự báo, trong đó lag_16 là độ trễ ngắn nhất còn hợp lệ cho mọi ngày của kỳ.</w:t>
      </w:r>
    </w:p>
    <w:p>
      <w:pPr>
        <w:keepLines w:val="0"/>
        <w:spacing w:after="120"/>
        <w:ind w:firstLine="567"/>
      </w:pPr>
      <w:r>
        <w:t xml:space="preserve">Một chi tiết triển khai quan trọng là độ trễ phải được hiểu theo ngày lịch chứ không theo thứ tự dòng. Vì bốn ngày 25/12 vắng mặt trong dữ liệu gốc, phép dịch theo dòng trong từng chuỗi sẽ khiến một bước dịch quanh Giáng sinh tương ứng với hai ngày lịch, làm lag_28 của một ngày đầu tháng Một tham chiếu tới ngày lệch thứ trong tuần. Để tránh sai lệch này, nghiên cứu hoàn thiện lịch ngày cho mọi chuỗi trước khi tạo đặc trưng: bốn ngày 25/12 được thêm vào với sales = 0, onpromotion = 0 và cờ closed = 1, nên phép dịch k dòng trong từng chuỗi đúng bằng k ngày lịch và các độ trễ bội số của 7 luôn giữ nguyên thứ trong tuần. Các ngày có closed = 1 không đi vào huấn luyện hay đánh giá, nhưng vẫn nằm trong lịch sử dùng để tính độ trễ và thống kê trượt. Đây là một quy ước: giá trị 0 phản ánh việc đóng cửa chứ không phải nhu cầu bằng 0, nên đặc trưng trỏ tới hoặc bao phủ ngày 25/12 thấp hơn mức bán bình thường.</w:t>
      </w:r>
    </w:p>
    <w:p>
      <w:pPr>
        <w:keepLines w:val="0"/>
        <w:spacing w:after="120"/>
        <w:ind w:firstLine="567"/>
      </w:pPr>
      <w:r>
        <w:t xml:space="preserve">Sau khi ghép mọi nguồn, chỉ các dòng có đủ tất cả đặc trưng, kể cả lag_7, lag_14 và lag_56, mới được giữ lại, nên các ngày đầu của mỗi chuỗi bị loại vì chưa đủ lịch sử. Tệp features.parquet của lần chạy chính thức có 2.689.500 dòng trải trên 1.628 ngày, từ 26/02/2013 đến 15/08/2017. Số dòng này còn phản ánh một quy tắc thứ hai: những ngày trước khi cửa hàng có dữ liệu giao dịch, tức cửa hàng chưa hoạt động, không có giá trị cho các đặc trưng giao dịch và bị loại khỏi tập đặc trưng thay vì được điền bằng giá trị mượn từ chuỗi khác. Có 8 cửa hàng có ngày đầu tiên trong features.parquet muộn hơn 01/03/2013, muộn nhất là cửa hàng 52 bắt đầu từ 12/05/2017. Việc loại các dòng này không ảnh hưởng tới các cửa sổ đánh giá ở cuối kỳ dữ liệu, mỗi cửa sổ vẫn đủ 28.512 quan sát, nhưng làm độ dài lịch sử huấn luyện khác nhau giữa các chuỗi.</w:t>
      </w:r>
    </w:p>
    <w:p>
      <w:pPr>
        <w:pStyle w:val="Heading3"/>
        <w:keepNext/>
      </w:pPr>
      <w:r>
        <w:t xml:space="preserve">2.4.3. Tính sẵn có của thông tin và kiểm soát rò rỉ</w:t>
      </w:r>
    </w:p>
    <w:p>
      <w:pPr>
        <w:keepLines w:val="0"/>
        <w:spacing w:after="120"/>
        <w:ind w:firstLine="567"/>
      </w:pPr>
      <w:r>
        <w:t xml:space="preserve">Rò rỉ dữ liệu xảy ra khi mô hình dùng, trực tiếp hoặc gián tiếp, thông tin không tồn tại tại thời điểm dự báo; lỗi này khó phát hiện vì chỉ số đánh giá vẫn tốt trong khi kết quả không thể tái tạo khi vận hành (Kaufman và cộng sự, 2012). Khi dự báo từ gốc T cho ngày T + h, độ trễ bậc k tham chiếu tới ngày T + h − k; điều kiện để độ trễ đã được quan sát với mọi ngày trong kỳ là (2.16). Điều kiện này áp dụng cho mọi đặc trưng thay đổi theo thời gian, không riêng doanh số: một biến ngoại sinh chỉ hợp lệ nếu hoặc được biết trước như lịch, hoặc được làm trễ ít nhất H kỳ.</w:t>
      </w:r>
    </w:p>
    <w:p>
      <w:pPr>
        <w:tabs>
          <w:tab w:val="center" w:pos="4535"/>
          <w:tab w:val="right" w:pos="9071"/>
        </w:tabs>
        <w:spacing w:before="60" w:after="60"/>
        <w:ind w:firstLine="0"/>
      </w:pPr>
      <w:r>
        <w:tab/>
      </w:r>
      <m:oMath xmlns:a="http://schemas.openxmlformats.org/drawingml/2006/main" xmlns:pic="http://schemas.openxmlformats.org/drawingml/2006/picture">
        <m:r>
          <m:t>T</m:t>
        </m:r>
        <m:r>
          <m:rPr>
            <m:sty m:val="p"/>
          </m:rPr>
          <m:t>+</m:t>
        </m:r>
        <m:r>
          <m:t>h</m:t>
        </m:r>
        <m:r>
          <m:rPr>
            <m:sty m:val="p"/>
          </m:rPr>
          <m:t>−</m:t>
        </m:r>
        <m:r>
          <m:t>k</m:t>
        </m:r>
        <m:r>
          <m:rPr>
            <m:sty m:val="p"/>
          </m:rPr>
          <m:t>≤</m:t>
        </m:r>
        <m:r>
          <m:t>T</m:t>
        </m:r>
        <m:r>
          <m:t> </m:t>
        </m:r>
        <m:r>
          <m:rPr>
            <m:sty m:val="p"/>
          </m:rPr>
          <m:t>∀</m:t>
        </m:r>
        <m:r>
          <m:t>h</m:t>
        </m:r>
        <m:r>
          <m:rPr>
            <m:sty m:val="p"/>
          </m:rPr>
          <m:t>∈</m:t>
        </m:r>
        <m:r>
          <m:rPr>
            <m:sty m:val="p"/>
          </m:rPr>
          <m:t>{</m:t>
        </m:r>
        <m:r>
          <m:t>1</m:t>
        </m:r>
        <m:r>
          <m:rPr>
            <m:sty m:val="p"/>
          </m:rPr>
          <m:t>,</m:t>
        </m:r>
        <m:r>
          <m:rPr>
            <m:sty m:val="p"/>
          </m:rPr>
          <m:t>…</m:t>
        </m:r>
        <m:r>
          <m:rPr>
            <m:sty m:val="p"/>
          </m:rPr>
          <m:t>,</m:t>
        </m:r>
        <m:r>
          <m:t>H</m:t>
        </m:r>
        <m:r>
          <m:rPr>
            <m:sty m:val="p"/>
          </m:rPr>
          <m:t>}</m:t>
        </m:r>
        <m:r>
          <m:t> </m:t>
        </m:r>
        <m:r>
          <m:rPr>
            <m:sty m:val="p"/>
          </m:rPr>
          <m:t>⇔</m:t>
        </m:r>
        <m:r>
          <m:t> </m:t>
        </m:r>
        <m:r>
          <m:t>k</m:t>
        </m:r>
        <m:r>
          <m:rPr>
            <m:sty m:val="p"/>
          </m:rPr>
          <m:t>≥</m:t>
        </m:r>
        <m:r>
          <m:t>H</m:t>
        </m:r>
        <m:r>
          <m:rPr>
            <m:sty m:val="p"/>
          </m:rPr>
          <m:t>=</m:t>
        </m:r>
        <m:r>
          <m:t>16</m:t>
        </m:r>
      </m:oMath>
      <w:r>
        <w:tab/>
        <w:t>(2.16)</w:t>
      </w:r>
    </w:p>
    <w:p>
      <w:pPr>
        <w:keepLines w:val="0"/>
        <w:spacing w:after="120"/>
        <w:ind w:firstLine="567"/>
      </w:pPr>
      <w:r>
        <w:t xml:space="preserve">Điều kiện này lý giải quy tắc của luận văn đối với bốn mô hình học máy: thống kê trượt được tính trên chuỗi đã dịch 16 ngày, còn lag_7 và lag_14 bị loại khỏi danh sách đầu vào. Với các ngày cuối kỳ, hai độ trễ này trỏ vào doanh số thực tế nằm trong chính cửa sổ cần dự báo; tương tự, một thống kê trượt có mốc ở quá khứ vẫn gây rò rỉ nếu cửa sổ của nó bao phủ kỳ dự báo. Hewamalage và cộng sự (2023) nhấn mạnh rằng chia tập theo thời gian là cần nhưng chưa đủ; từng đặc trưng phải được kiểm tra về tính sẵn có.</w:t>
      </w:r>
    </w:p>
    <w:p>
      <w:pPr>
        <w:keepLines w:val="0"/>
        <w:spacing w:after="120"/>
        <w:ind w:firstLine="567"/>
      </w:pPr>
      <w:r>
        <w:t xml:space="preserve">Điều kiện (2.16) là điều kiện cho một đặc trưng được dùng chung ở mọi bước h. Khi quy tắc dự báo được phép chọn độ trễ theo vị trí của ngày trong cửa sổ, điều kiện cần yếu hơn là k ≥ h cho từng bước. Seasonal Naive của quy trình chính thức khai thác đúng điểm này theo cách cố định gốc dự báo: ngày thứ h lấy doanh số cùng thứ trong tuần cuối cùng trước gốc, tức lag_7 với h = 1–7, lag_14 với h = 8–14 và lag_21 với h = 15–16. Nhờ đó, đường cơ sở trở thành mốc tham chiếu không rò rỉ, so sánh được công bằng với bốn mô hình học máy. Ngược lại, nếu dùng lag_7 cho cả 16 ngày thì ở các ngày 8–16 đường cơ sở sẽ lấy doanh số nằm trong chính kỳ dự báo, là thông tin chưa có tại gốc dự báo, khiến mô hình cơ sở không khả thi trong vận hành và không phải là mốc so sánh công bằng với bốn mô hình học máy; cơ chế này được phân tích chi tiết ở mục 2.5. Luận văn theo chiến lược dự báo trực tiếp. Một lựa chọn thay thế là chiến lược đệ quy, đưa dự báo của ngày trước trở lại làm độ trễ cho ngày sau; cách này cho phép dùng độ trễ ngắn nhưng tích lũy sai số qua các bước và không được sử dụng trong nghiên cứu.</w:t>
      </w:r>
    </w:p>
    <w:p>
      <w:pPr>
        <w:pStyle w:val="Heading3"/>
        <w:keepNext/>
      </w:pPr>
      <w:r>
        <w:t xml:space="preserve">2.4.4. Biến điều kiện khuyến mãi và dữ liệu ngoại sinh</w:t>
      </w:r>
    </w:p>
    <w:p>
      <w:pPr>
        <w:keepLines w:val="0"/>
        <w:spacing w:after="120"/>
        <w:ind w:firstLine="567"/>
      </w:pPr>
      <w:r>
        <w:t xml:space="preserve">Biến onpromotion phản ánh số mặt hàng thuộc nhóm sản phẩm đang được khuyến mãi, không phải tỷ lệ giảm giá. Luận văn xem giá trị tương lai của biến này là biến hiệp biến có kế hoạch (planned covariate), tức kế hoạch khuyến mãi được giả định là biết trước như một lịch tiếp thị đã lên sẵn; đây là điều kiện để lớp kịch bản ở mục 2.13 thay đổi onpromotion và quan sát phản ứng của dự báo. Nếu lịch khuyến mãi thay đổi sau thời điểm gốc, dự báo cần được cập nhật. Vì dữ liệu không có thiết kế nhân quả, phản ứng của mô hình chỉ là phản ứng dự báo có điều kiện, phù hợp với sự phân biệt giữa mô hình dự báo và mô hình giải thích của Shmueli (2010). Khi onpromotion được gán giá trị hiếm gặp trong lịch sử của một chuỗi, phản ứng dự báo là ngoại suy ngoài miền dữ liệu.</w:t>
      </w:r>
    </w:p>
    <w:p>
      <w:pPr>
        <w:keepLines w:val="0"/>
        <w:spacing w:after="120"/>
        <w:ind w:firstLine="567"/>
      </w:pPr>
      <w:r>
        <w:t xml:space="preserve">Bên cạnh doanh số và khuyến mãi, quy trình tích hợp bốn nguồn dữ liệu bổ sung theo nguyên tắc thống nhất với (2.16): chỉ dùng thông tin tĩnh, biết trước hoặc được làm trễ ít nhất 16 ngày lịch. Từ stores.csv, các thuộc tính tĩnh city, state, type được mã hóa thành city_code, state_code, type_code, cùng với cluster, và ghép theo cửa hàng. Tệp oil.csv chỉ có giá dầu dcoilwtico ở ngày giao dịch, nên giá được đưa lên lịch ngày đầy đủ và điền tiến trước, rồi mới dịch 16 ngày lịch để tạo oil_price_lag16; giá trị của ngày t vì thế là giá giao dịch gần nhất đã biết tính đến ngày t − 16. Với transactions.csv, số giao dịch được xử lý riêng trên lịch ngày của từng cửa hàng: transactions_lag16 là chuỗi dịch 16 ngày, transactions_roll28_lag16 là trung bình trượt 28 ngày của chuỗi đã dịch với tối thiểu 7 giá trị, và phép điền tiến chỉ diễn ra trong phạm vi cửa hàng đó. Nhờ xử lý trước khi ghép, giá trị không tràn sang chuỗi khác, còn phép điền tiến chỉ làm độ trễ thực tế dài hơn 16 ngày.</w:t>
      </w:r>
    </w:p>
    <w:p>
      <w:pPr>
        <w:keepLines w:val="0"/>
        <w:spacing w:after="120"/>
        <w:ind w:firstLine="567"/>
      </w:pPr>
      <w:r>
        <w:t xml:space="preserve">Từ holidays_events.csv, cờ is_national_holiday được bật cho những ngày có bản ghi cấp National, không bị chuyển ngày (transferred) và không thuộc loại Work Day. Loại Work Day là ngày làm việc bù cho một kỳ nghỉ kéo dài, nên đánh dấu nó như ngày lễ sẽ gán cho mô hình một tín hiệu ngược với hành vi thực; các loại bản ghi quốc gia khác có trong dữ liệu gốc vẫn được giữ, còn ngày lễ cấp địa phương và cấp vùng không được đưa vào. Việc tích hợp các nguồn này phù hợp với ghi nhận từ cuộc thi M5 về lợi ích của biến ngoại sinh như giá và sự kiện (Makridakis và cộng sự, 2022a), trong khi nguyên tắc làm trễ theo ngày lịch bảo đảm không có thông tin tương lai nào đi vào mô hình. Ngược lại, dữ liệu giá bán, biên lợi nhuận, tồn kho thực và thời gian cung ứng không có trong nguồn, nên tập đặc trưng không mô tả được độ co giãn theo giá hay ràng buộc cung ứng; giả định onpromotion được biết trước cũng vẫn là một giới hạn của thiết kế.</w:t>
      </w:r>
    </w:p>
    <w:p>
      <w:pPr>
        <w:pStyle w:val="Heading2"/>
        <w:keepNext/>
      </w:pPr>
      <w:r>
        <w:t xml:space="preserve">2.5. Seasonal Naive</w:t>
      </w:r>
    </w:p>
    <w:p>
      <w:pPr>
        <w:pStyle w:val="Heading3"/>
        <w:keepNext/>
      </w:pPr>
      <w:r>
        <w:t xml:space="preserve">2.5.1. Định nghĩa hình thức và vai trò của đường cơ sở theo mùa vụ</w:t>
      </w:r>
    </w:p>
    <w:p>
      <w:pPr>
        <w:keepLines w:val="0"/>
        <w:spacing w:after="120"/>
        <w:ind w:firstLine="567"/>
      </w:pPr>
      <w:r>
        <w:t xml:space="preserve">Một mô hình phức tạp chỉ có ý nghĩa khi được đặt cạnh một mốc tham chiếu đơn giản, minh bạch và dễ tái lập. Seasonal Naive là đường cơ sở theo mùa vụ đơn giản nhất: giá trị dự báo cho một ngày trong tương lai bằng giá trị quan sát gần nhất ở cùng vị trí trong chu kỳ mùa vụ (Hyndman và Athanasopoulos, 2021). Gọi y(i,t) là doanh số của chuỗi i (một tổ hợp cửa hàng × nhóm sản phẩm) tại ngày t, T là gốc dự báo (forecast origin), tức ngày cuối cùng có quan sát được phép sử dụng, h = 1, …, H là bước dự báo và m là độ dài chu kỳ mùa vụ. Dự báo Seasonal Naive chuẩn, lập tại gốc T cho ngày T + h, được viết như sau:</w:t>
      </w:r>
    </w:p>
    <w:p>
      <w:pPr>
        <w:tabs>
          <w:tab w:val="center" w:pos="4535"/>
          <w:tab w:val="right" w:pos="9071"/>
        </w:tabs>
        <w:spacing w:before="60" w:after="60"/>
        <w:ind w:firstLine="0"/>
      </w:pPr>
      <w:r>
        <w:tab/>
      </w:r>
      <m:oMath xmlns:a="http://schemas.openxmlformats.org/drawingml/2006/main" xmlns:pic="http://schemas.openxmlformats.org/drawingml/2006/picture">
        <m:sSub>
          <m:e>
            <m:acc>
              <m:accPr>
                <m:chr m:val="̂"/>
              </m:accPr>
              <m:e>
                <m:r>
                  <m:t>y</m:t>
                </m:r>
              </m:e>
            </m:acc>
          </m:e>
          <m:sub>
            <m:r>
              <m:t>i</m:t>
            </m:r>
            <m:r>
              <m:rPr>
                <m:sty m:val="p"/>
              </m:rPr>
              <m:t>,</m:t>
            </m:r>
            <m:r>
              <m:t>T</m:t>
            </m:r>
            <m:r>
              <m:rPr>
                <m:sty m:val="p"/>
              </m:rPr>
              <m:t>+</m:t>
            </m:r>
            <m:r>
              <m:t>h</m:t>
            </m:r>
            <m:r>
              <m:rPr>
                <m:sty m:val="p"/>
              </m:rPr>
              <m:t>∣</m:t>
            </m:r>
            <m:r>
              <m:t>T</m:t>
            </m:r>
          </m:sub>
        </m:sSub>
        <m:r>
          <m:rPr>
            <m:sty m:val="p"/>
          </m:rPr>
          <m:t>=</m:t>
        </m:r>
        <m:sSub>
          <m:e>
            <m:r>
              <m:t>y</m:t>
            </m:r>
          </m:e>
          <m:sub>
            <m:r>
              <m:t>i</m:t>
            </m:r>
            <m:r>
              <m:rPr>
                <m:sty m:val="p"/>
              </m:rPr>
              <m:t>,</m:t>
            </m:r>
            <m:r>
              <m:t> </m:t>
            </m:r>
            <m:r>
              <m:t>T</m:t>
            </m:r>
            <m:r>
              <m:rPr>
                <m:sty m:val="p"/>
              </m:rPr>
              <m:t>+</m:t>
            </m:r>
            <m:r>
              <m:t>h</m:t>
            </m:r>
            <m:r>
              <m:rPr>
                <m:sty m:val="p"/>
              </m:rPr>
              <m:t>−</m:t>
            </m:r>
            <m:r>
              <m:t>m</m:t>
            </m:r>
            <m:d>
              <m:dPr>
                <m:begChr m:val="("/>
                <m:sepChr m:val=""/>
                <m:endChr m:val=")"/>
                <m:grow/>
              </m:dPr>
              <m:e>
                <m:r>
                  <m:t>k</m:t>
                </m:r>
                <m:r>
                  <m:rPr>
                    <m:sty m:val="p"/>
                  </m:rPr>
                  <m:t>+</m:t>
                </m:r>
                <m:r>
                  <m:t>1</m:t>
                </m:r>
              </m:e>
            </m:d>
          </m:sub>
        </m:sSub>
        <m:r>
          <m:rPr>
            <m:sty m:val="p"/>
          </m:rPr>
          <m:t>,</m:t>
        </m:r>
        <m:r>
          <m:t>  </m:t>
        </m:r>
        <m:r>
          <m:t>k</m:t>
        </m:r>
        <m:r>
          <m:rPr>
            <m:sty m:val="p"/>
          </m:rPr>
          <m:t>=</m:t>
        </m:r>
        <m:d>
          <m:dPr>
            <m:begChr m:val="⌊"/>
            <m:sepChr m:val=""/>
            <m:endChr m:val="⌋"/>
            <m:grow/>
          </m:dPr>
          <m:e>
            <m:f>
              <m:fPr>
                <m:type m:val="bar"/>
              </m:fPr>
              <m:num>
                <m:r>
                  <m:t>h</m:t>
                </m:r>
                <m:r>
                  <m:rPr>
                    <m:sty m:val="p"/>
                  </m:rPr>
                  <m:t>−</m:t>
                </m:r>
                <m:r>
                  <m:t>1</m:t>
                </m:r>
              </m:num>
              <m:den>
                <m:r>
                  <m:t>m</m:t>
                </m:r>
              </m:den>
            </m:f>
          </m:e>
        </m:d>
      </m:oMath>
      <w:r>
        <w:tab/>
        <w:t>(2.17)</w:t>
      </w:r>
    </w:p>
    <w:p>
      <w:pPr>
        <w:keepLines w:val="0"/>
        <w:spacing w:after="120"/>
        <w:ind w:firstLine="567"/>
      </w:pPr>
      <w:r>
        <w:t xml:space="preserve">Trong công thức (2.17), k là số chu kỳ trọn vẹn nằm giữa gốc dự báo và ngày mục tiêu, nên chỉ số thời gian T + h − m(k + 1) luôn không lớn hơn T: mọi giá trị được dùng đều thuộc giai đoạn đã quan sát. Với m = 7, tuần quan sát cuối cùng trước gốc dự báo được lặp lại cho toàn bộ kỳ dự báo, và mỗi ngày mục tiêu nhận giá trị của cùng thứ trong tuần; lựa chọn này nhất quán với chu kỳ tuần dùng trong phân rã STL (period = 7) ở mục 2.3. Mô hình không có tham số cần ước lượng nên không thể quá khớp. Ý tưởng chuẩn hóa sai số theo sai số của phương pháp ngây thơ là nền tảng của MASE (Hyndman và Koehler, 2006). Tuy nhiên, đường cơ sở chỉ có giá trị so sánh khi được đánh giá dưới cùng tập thông tin tại gốc dự báo như các mô hình khác.</w:t>
      </w:r>
    </w:p>
    <w:p>
      <w:pPr>
        <w:keepLines w:val="0"/>
        <w:spacing w:after="120"/>
        <w:ind w:firstLine="567"/>
      </w:pPr>
      <w:r>
        <w:t xml:space="preserve">Chu kỳ m = 7 có căn cứ trực tiếp từ dữ liệu: doanh số tổng trung bình theo thứ dao động từ 505.269 vào Thứ Năm đến 825.218 vào Chủ Nhật. Khái niệm “cùng thứ của tuần trước” chỉ đúng khi độ trễ được đo theo ngày lịch; vì dữ liệu gốc vắng bốn ngày 25/12, một phép dịch theo dòng sẽ lệch một ngày quanh Giáng sinh. Vì vậy, Stage 03 hoàn thiện lịch ngày cho mọi chuỗi bằng cách thêm bốn ngày 25/12 với sales = 0 và cờ closed = 1 trước khi tạo lag; các ngày closed không vào huấn luyện hay đánh giá. Nhờ đó, lag_7, lag_14 và lag_21 mà Seasonal Naive sử dụng luôn là độ trễ theo ngày lịch.</w:t>
      </w:r>
    </w:p>
    <w:p>
      <w:pPr>
        <w:pStyle w:val="Heading3"/>
        <w:keepNext/>
      </w:pPr>
      <w:r>
        <w:t xml:space="preserve">2.5.2. Tập thông tin tại gốc dự báo và rò rỉ khi dùng lag_7 cho cả kỳ dự báo</w:t>
      </w:r>
    </w:p>
    <w:p>
      <w:pPr>
        <w:keepLines w:val="0"/>
        <w:spacing w:after="120"/>
        <w:ind w:firstLine="567"/>
      </w:pPr>
      <w:r>
        <w:t xml:space="preserve">Thiết kế dự báo của luận văn là dự báo trực tiếp (direct forecasting) với kỳ dự báo H = 16 ngày: từ một gốc dự báo cố định, mô hình phải dự báo cả mười sáu ngày tiếp theo mà không được biết doanh số của bất kỳ ngày nào trong cửa sổ đó. Gọi 𝓘(T) là tập quan sát doanh số có thời điểm không muộn hơn T. Độ trễ k của ngày mục tiêu T + h, tức y(i, T + h − k), chỉ hợp lệ khi h ≤ k; với độ trễ bảy ngày:</w:t>
      </w:r>
    </w:p>
    <w:p>
      <w:pPr>
        <w:tabs>
          <w:tab w:val="center" w:pos="4535"/>
          <w:tab w:val="right" w:pos="9071"/>
        </w:tabs>
        <w:spacing w:before="60" w:after="60"/>
        <w:ind w:firstLine="0"/>
      </w:pPr>
      <w:r>
        <w:tab/>
      </w:r>
      <m:oMath xmlns:a="http://schemas.openxmlformats.org/drawingml/2006/main" xmlns:pic="http://schemas.openxmlformats.org/drawingml/2006/picture">
        <m:sSub>
          <m:e>
            <m:r>
              <m:rPr>
                <m:scr m:val="script"/>
                <m:sty m:val="p"/>
              </m:rPr>
              <m:t>I</m:t>
            </m:r>
          </m:e>
          <m:sub>
            <m:r>
              <m:t>T</m:t>
            </m:r>
          </m:sub>
        </m:sSub>
        <m:r>
          <m:rPr>
            <m:sty m:val="p"/>
          </m:rPr>
          <m:t>=</m:t>
        </m:r>
        <m:r>
          <m:rPr>
            <m:sty m:val="p"/>
          </m:rPr>
          <m:t>{</m:t>
        </m:r>
        <m:r>
          <m:t> </m:t>
        </m:r>
        <m:sSub>
          <m:e>
            <m:r>
              <m:t>y</m:t>
            </m:r>
          </m:e>
          <m:sub>
            <m:r>
              <m:t>i</m:t>
            </m:r>
            <m:r>
              <m:rPr>
                <m:sty m:val="p"/>
              </m:rPr>
              <m:t>,</m:t>
            </m:r>
            <m:r>
              <m:t>s</m:t>
            </m:r>
          </m:sub>
        </m:sSub>
        <m:r>
          <m:rPr>
            <m:sty m:val="p"/>
          </m:rPr>
          <m:t>:</m:t>
        </m:r>
        <m:r>
          <m:t>s</m:t>
        </m:r>
        <m:r>
          <m:rPr>
            <m:sty m:val="p"/>
          </m:rPr>
          <m:t>≤</m:t>
        </m:r>
        <m:r>
          <m:t>T</m:t>
        </m:r>
        <m:r>
          <m:t> </m:t>
        </m:r>
        <m:r>
          <m:rPr>
            <m:sty m:val="p"/>
          </m:rPr>
          <m:t>}</m:t>
        </m:r>
        <m:r>
          <m:rPr>
            <m:sty m:val="p"/>
          </m:rPr>
          <m:t>,</m:t>
        </m:r>
        <m:r>
          <m:t>  </m:t>
        </m:r>
        <m:sSub>
          <m:e>
            <m:r>
              <m:t>y</m:t>
            </m:r>
          </m:e>
          <m:sub>
            <m:r>
              <m:t>i</m:t>
            </m:r>
            <m:r>
              <m:rPr>
                <m:sty m:val="p"/>
              </m:rPr>
              <m:t>,</m:t>
            </m:r>
            <m:r>
              <m:t> </m:t>
            </m:r>
            <m:r>
              <m:t>T</m:t>
            </m:r>
            <m:r>
              <m:rPr>
                <m:sty m:val="p"/>
              </m:rPr>
              <m:t>+</m:t>
            </m:r>
            <m:r>
              <m:t>h</m:t>
            </m:r>
            <m:r>
              <m:rPr>
                <m:sty m:val="p"/>
              </m:rPr>
              <m:t>−</m:t>
            </m:r>
            <m:r>
              <m:t>7</m:t>
            </m:r>
          </m:sub>
        </m:sSub>
        <m:r>
          <m:rPr>
            <m:sty m:val="p"/>
          </m:rPr>
          <m:t>∈</m:t>
        </m:r>
        <m:sSub>
          <m:e>
            <m:r>
              <m:rPr>
                <m:scr m:val="script"/>
                <m:sty m:val="p"/>
              </m:rPr>
              <m:t>I</m:t>
            </m:r>
          </m:e>
          <m:sub>
            <m:r>
              <m:t>T</m:t>
            </m:r>
          </m:sub>
        </m:sSub>
        <m:r>
          <m:rPr>
            <m:sty m:val="p"/>
          </m:rPr>
          <m:t>⇔</m:t>
        </m:r>
        <m:r>
          <m:t>h</m:t>
        </m:r>
        <m:r>
          <m:rPr>
            <m:sty m:val="p"/>
          </m:rPr>
          <m:t>≤</m:t>
        </m:r>
        <m:r>
          <m:t>7</m:t>
        </m:r>
      </m:oMath>
      <w:r>
        <w:tab/>
        <w:t>(2.18)</w:t>
      </w:r>
    </w:p>
    <w:p>
      <w:pPr>
        <w:keepLines w:val="0"/>
        <w:spacing w:after="120"/>
        <w:ind w:firstLine="567"/>
      </w:pPr>
      <w:r>
        <w:t xml:space="preserve">Điều kiện (2.18) là tiêu chí để kiểm tra mọi quy tắc dự báo, kể cả đường cơ sở. Một cách hiện thực Seasonal Naive tưởng như tự nhiên trong khung hồi quy có giám sát là lấy trực tiếp giá trị của cột lag_7 tại từng dòng của cửa sổ đánh giá. Cột lag_7 được tạo bằng phép dịch bảy ngày theo từng chuỗi trên toàn bộ dữ liệu, nên tại ngày mục tiêu T + h nó chứa doanh số thực tế của ngày T + h − 7, bất kể ngày đó nằm trước hay sau gốc dự báo. Đây là cách làm hợp lệ khi dự báo một bước, nhưng với kỳ dự báo trực tiếp mười sáu ngày, quy tắc dự báo ngầm định của phương án này trở thành:</w:t>
      </w:r>
    </w:p>
    <w:p>
      <w:pPr>
        <w:tabs>
          <w:tab w:val="center" w:pos="4535"/>
          <w:tab w:val="right" w:pos="9071"/>
        </w:tabs>
        <w:spacing w:before="60" w:after="60"/>
        <w:ind w:firstLine="0"/>
      </w:pPr>
      <w:r>
        <w:tab/>
      </w:r>
      <m:oMath xmlns:a="http://schemas.openxmlformats.org/drawingml/2006/main" xmlns:pic="http://schemas.openxmlformats.org/drawingml/2006/picture">
        <m:sSubSup>
          <m:e>
            <m:acc>
              <m:accPr>
                <m:chr m:val="̂"/>
              </m:accPr>
              <m:e>
                <m:r>
                  <m:t>y</m:t>
                </m:r>
              </m:e>
            </m:acc>
          </m:e>
          <m:sub>
            <m:r>
              <m:t>i</m:t>
            </m:r>
            <m:r>
              <m:rPr>
                <m:sty m:val="p"/>
              </m:rPr>
              <m:t>,</m:t>
            </m:r>
            <m:r>
              <m:t> </m:t>
            </m:r>
            <m:r>
              <m:t>T</m:t>
            </m:r>
            <m:r>
              <m:rPr>
                <m:sty m:val="p"/>
              </m:rPr>
              <m:t>+</m:t>
            </m:r>
            <m:r>
              <m:t>h</m:t>
            </m:r>
          </m:sub>
          <m:sup>
            <m:r>
              <m:rPr>
                <m:sty m:val="p"/>
              </m:rPr>
              <m:t>l</m:t>
            </m:r>
            <m:r>
              <m:rPr>
                <m:sty m:val="p"/>
              </m:rPr>
              <m:t>a</m:t>
            </m:r>
            <m:r>
              <m:rPr>
                <m:sty m:val="p"/>
              </m:rPr>
              <m:t>g</m:t>
            </m:r>
            <m:r>
              <m:rPr>
                <m:sty m:val="p"/>
              </m:rPr>
              <m:t>7</m:t>
            </m:r>
          </m:sup>
        </m:sSubSup>
        <m:r>
          <m:rPr>
            <m:sty m:val="p"/>
          </m:rPr>
          <m:t>=</m:t>
        </m:r>
        <m:sSub>
          <m:e>
            <m:r>
              <m:t>y</m:t>
            </m:r>
          </m:e>
          <m:sub>
            <m:r>
              <m:t>i</m:t>
            </m:r>
            <m:r>
              <m:rPr>
                <m:sty m:val="p"/>
              </m:rPr>
              <m:t>,</m:t>
            </m:r>
            <m:r>
              <m:t> </m:t>
            </m:r>
            <m:r>
              <m:t>T</m:t>
            </m:r>
            <m:r>
              <m:rPr>
                <m:sty m:val="p"/>
              </m:rPr>
              <m:t>+</m:t>
            </m:r>
            <m:r>
              <m:t>h</m:t>
            </m:r>
            <m:r>
              <m:rPr>
                <m:sty m:val="p"/>
              </m:rPr>
              <m:t>−</m:t>
            </m:r>
            <m:r>
              <m:t>7</m:t>
            </m:r>
          </m:sub>
        </m:sSub>
        <m:r>
          <m:rPr>
            <m:sty m:val="p"/>
          </m:rPr>
          <m:t>,</m:t>
        </m:r>
        <m:r>
          <m:t>  </m:t>
        </m:r>
        <m:r>
          <m:t>h</m:t>
        </m:r>
        <m:r>
          <m:rPr>
            <m:sty m:val="p"/>
          </m:rPr>
          <m:t>=</m:t>
        </m:r>
        <m:r>
          <m:t>1</m:t>
        </m:r>
        <m:r>
          <m:rPr>
            <m:sty m:val="p"/>
          </m:rPr>
          <m:t>,</m:t>
        </m:r>
        <m:r>
          <m:rPr>
            <m:sty m:val="p"/>
          </m:rPr>
          <m:t>…</m:t>
        </m:r>
        <m:r>
          <m:rPr>
            <m:sty m:val="p"/>
          </m:rPr>
          <m:t>,</m:t>
        </m:r>
        <m:r>
          <m:t>16</m:t>
        </m:r>
      </m:oMath>
      <w:r>
        <w:tab/>
        <w:t>(2.19)</w:t>
      </w:r>
    </w:p>
    <w:p>
      <w:pPr>
        <w:keepLines w:val="0"/>
        <w:spacing w:after="120"/>
        <w:ind w:firstLine="567"/>
      </w:pPr>
      <w:r>
        <w:t xml:space="preserve">Đối chiếu (2.19) với (2.18) cho thấy hai trường hợp khác nhau trong cùng một cửa sổ 16 ngày. Với h từ 1 đến 7, ngày T + h − 7 không muộn hơn T, nên lag_7 trùng với Seasonal Naive chuẩn. Với h từ 8 đến 16, ngày T + h − 7 rơi vào khoảng T + 1 đến T + 9, tức nằm bên trong chính cửa sổ đánh giá; dự báo của các ngày này sử dụng doanh số thực tế mà người lập dự báo tại gốc T chưa thể biết. Đây là một dạng rò rỉ dữ liệu (data leakage), khi thông tin không sẵn có tại thời điểm ra quyết định lọt vào quá trình tạo dự báo, khiến kết quả đánh giá không phản ánh năng lực dự báo thực tại gốc dự báo (Kaufman và cộng sự, 2012; Hewamalage và cộng sự, 2023). Điểm đáng chú ý là dạng rò rỉ này khó nhận ra: bản thân cột lag_7 được tính đúng theo định nghĩa, và vấn đề chỉ xuất hiện khi đặt cột đó vào ngữ cảnh của một gốc dự báo cố định. Vì vậy, tính hợp lệ của một đặc trưng không thể đánh giá tách rời khỏi thiết kế kỳ dự báo.</w:t>
      </w:r>
    </w:p>
    <w:p>
      <w:pPr>
        <w:keepLines w:val="0"/>
        <w:spacing w:after="120"/>
        <w:ind w:firstLine="567"/>
      </w:pPr>
      <w:r>
        <w:t xml:space="preserve">Nguyên tắc tập thông tin được áp dụng thống nhất cho mọi mô hình trong nghiên cứu. Với bốn mô hình học máy, lag_7 và lag_14 không được đưa vào đầu vào của Ridge, Random Forest, XGBoost và LightGBM; các độ trễ còn lại có bậc từ 16 trở lên và các thống kê trượt được tính trên chuỗi đã dịch 16 ngày, nên theo điều kiện h ≤ k, mọi giá trị doanh số quá khứ mà các mô hình này dùng đều thuộc 𝓘(T) với mọi h ≤ 16. Nếu đường cơ sở lại được phép dùng lag_7 cho cả kỳ, hai nhóm mô hình sẽ được đánh giá dưới hai tập thông tin khác nhau: đường cơ sở nhìn thấy một phần doanh số của chính cửa sổ đánh giá, còn các mô hình học máy thì không. Khi đó, khoảng cách giữa học máy và đường cơ sở không thể diễn giải như lợi ích của phương pháp, và bản thân đường cơ sở không phải là một dự báo khả thi trong vận hành. Nghiên cứu vì vậy yêu cầu tính sẵn có của thông tin phải được kiểm tra cho mọi thành phần của quy trình đánh giá, kể cả đường cơ sở (Hewamalage và cộng sự, 2023).</w:t>
      </w:r>
    </w:p>
    <w:p>
      <w:pPr>
        <w:pStyle w:val="Heading3"/>
        <w:keepNext/>
      </w:pPr>
      <w:r>
        <w:t xml:space="preserve">2.5.3. Seasonal Naive cố định gốc dự báo trong thiết kế của nghiên cứu</w:t>
      </w:r>
    </w:p>
    <w:p>
      <w:pPr>
        <w:keepLines w:val="0"/>
        <w:spacing w:after="120"/>
        <w:ind w:firstLine="567"/>
      </w:pPr>
      <w:r>
        <w:t xml:space="preserve">Nghiên cứu dùng Seasonal Naive cố định gốc dự báo (origin-fixed), tức áp dụng trực tiếp (2.17) với m = 7: tại mỗi gốc T, tuần quan sát từ T − 6 đến T được lặp lại theo thứ trong tuần cho cả mười sáu ngày. Mã nguồn Stage 04 hiện thực quy tắc này bằng cách chọn cột độ trễ theo vị trí của ngày trong cửa sổ: lag_7 cho h = 1–7, lag_14 cho h = 8–14 và lag_21 cho h = 15–16. Bảng 2.2 minh họa về mặt lý thuyết ngày nguồn của phương án dùng lag_7 cho cả kỳ và của thiết kế được chọn: hai cách trùng nhau ở tuần đầu và tách biệt từ ngày thứ tám, khi phương án lag_7 dùng doanh số đã nằm trong cửa sổ đánh giá, còn thiết kế cố định gốc chỉ quay lại tuần cuối trước T. Bảng không chứa số liệu kết quả; phương án lag_7 cho cả kỳ không được đánh giá trong nghiên cứu vì không khả thi tại gốc dự báo.</w:t>
      </w:r>
    </w:p>
    <w:p>
      <w:pPr>
        <w:keepNext/>
        <w:spacing w:before="120" w:after="60"/>
        <w:ind w:firstLine="0"/>
        <w:jc w:val="center"/>
      </w:pPr>
      <w:r>
        <w:t xml:space="preserve">Bảng 2.2. Ngày nguồn của Seasonal Naive theo phương án dùng lag_7 cho cả kỳ (không khả thi) và theo thiết kế cố định gốc dự báo của nghiên cứu (m = 7, H = 16)</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396"/>
        <w:gridCol w:w="2480"/>
        <w:gridCol w:w="2510"/>
        <w:gridCol w:w="2685"/>
      </w:tblGrid>
      <w:tr>
        <w:trPr>
          <w:tblHeader/>
          <w:cantSplit/>
        </w:trPr>
        <w:tc>
          <w:tcPr>
            <w:tcW w:type="dxa" w:w="1396"/>
            <w:shd w:val="clear" w:color="auto" w:fill="D9E2F3"/>
            <w:vAlign w:val="center"/>
          </w:tcPr>
          <w:p>
            <w:pPr>
              <w:spacing w:before="20" w:after="20" w:line="260" w:lineRule="auto"/>
              <w:ind w:firstLine="0"/>
              <w:jc w:val="center"/>
            </w:pPr>
            <w:r>
              <w:rPr>
                <w:b/>
                <w:sz w:val="20"/>
                <w:szCs w:val="20"/>
              </w:rPr>
              <w:t xml:space="preserve">Bước dự báo h</w:t>
            </w:r>
          </w:p>
        </w:tc>
        <w:tc>
          <w:tcPr>
            <w:tcW w:type="dxa" w:w="2480"/>
            <w:shd w:val="clear" w:color="auto" w:fill="D9E2F3"/>
            <w:vAlign w:val="center"/>
          </w:tcPr>
          <w:p>
            <w:pPr>
              <w:spacing w:before="20" w:after="20" w:line="260" w:lineRule="auto"/>
              <w:ind w:firstLine="0"/>
              <w:jc w:val="center"/>
            </w:pPr>
            <w:r>
              <w:rPr>
                <w:b/>
                <w:sz w:val="20"/>
                <w:szCs w:val="20"/>
              </w:rPr>
              <w:t xml:space="preserve">Phương án lag_7 cho cả kỳ (không khả thi)</w:t>
            </w:r>
          </w:p>
        </w:tc>
        <w:tc>
          <w:tcPr>
            <w:tcW w:type="dxa" w:w="2510"/>
            <w:shd w:val="clear" w:color="auto" w:fill="D9E2F3"/>
            <w:vAlign w:val="center"/>
          </w:tcPr>
          <w:p>
            <w:pPr>
              <w:spacing w:before="20" w:after="20" w:line="260" w:lineRule="auto"/>
              <w:ind w:firstLine="0"/>
              <w:jc w:val="center"/>
            </w:pPr>
            <w:r>
              <w:rPr>
                <w:b/>
                <w:sz w:val="20"/>
                <w:szCs w:val="20"/>
              </w:rPr>
              <w:t xml:space="preserve">Thiết kế cố định gốc dự báo</w:t>
            </w:r>
          </w:p>
        </w:tc>
        <w:tc>
          <w:tcPr>
            <w:tcW w:type="dxa" w:w="2685"/>
            <w:shd w:val="clear" w:color="auto" w:fill="D9E2F3"/>
            <w:vAlign w:val="center"/>
          </w:tcPr>
          <w:p>
            <w:pPr>
              <w:spacing w:before="20" w:after="20" w:line="260" w:lineRule="auto"/>
              <w:ind w:firstLine="0"/>
              <w:jc w:val="center"/>
            </w:pPr>
            <w:r>
              <w:rPr>
                <w:b/>
                <w:sz w:val="20"/>
                <w:szCs w:val="20"/>
              </w:rPr>
              <w:t xml:space="preserve">Thuộc tập thông tin tại T?</w:t>
            </w:r>
          </w:p>
        </w:tc>
      </w:tr>
      <w:tr>
        <w:trPr>
          <w:cantSplit/>
        </w:trPr>
        <w:tc>
          <w:tcPr>
            <w:tcW w:type="dxa" w:w="1396"/>
            <w:vAlign w:val="center"/>
          </w:tcPr>
          <w:p>
            <w:pPr>
              <w:spacing w:before="20" w:after="20" w:line="260" w:lineRule="auto"/>
              <w:ind w:firstLine="0"/>
              <w:jc w:val="left"/>
            </w:pPr>
            <w:r>
              <w:rPr>
                <w:sz w:val="20"/>
                <w:szCs w:val="20"/>
              </w:rPr>
              <w:t xml:space="preserve">1–7</w:t>
            </w:r>
          </w:p>
        </w:tc>
        <w:tc>
          <w:tcPr>
            <w:tcW w:type="dxa" w:w="2480"/>
            <w:vAlign w:val="center"/>
          </w:tcPr>
          <w:p>
            <w:pPr>
              <w:spacing w:before="20" w:after="20" w:line="260" w:lineRule="auto"/>
              <w:ind w:firstLine="0"/>
              <w:jc w:val="left"/>
            </w:pPr>
            <w:r>
              <w:rPr>
                <w:sz w:val="20"/>
                <w:szCs w:val="20"/>
              </w:rPr>
              <w:t xml:space="preserve">y(T + h − 7), thuộc T − 6 … T</w:t>
            </w:r>
          </w:p>
        </w:tc>
        <w:tc>
          <w:tcPr>
            <w:tcW w:type="dxa" w:w="2510"/>
            <w:vAlign w:val="center"/>
          </w:tcPr>
          <w:p>
            <w:pPr>
              <w:spacing w:before="20" w:after="20" w:line="260" w:lineRule="auto"/>
              <w:ind w:firstLine="0"/>
              <w:jc w:val="left"/>
            </w:pPr>
            <w:r>
              <w:rPr>
                <w:sz w:val="20"/>
                <w:szCs w:val="20"/>
              </w:rPr>
              <w:t xml:space="preserve">lag_7: y(T + h − 7), thuộc T − 6 … T</w:t>
            </w:r>
          </w:p>
        </w:tc>
        <w:tc>
          <w:tcPr>
            <w:tcW w:type="dxa" w:w="2685"/>
            <w:vAlign w:val="center"/>
          </w:tcPr>
          <w:p>
            <w:pPr>
              <w:spacing w:before="20" w:after="20" w:line="260" w:lineRule="auto"/>
              <w:ind w:firstLine="0"/>
              <w:jc w:val="left"/>
            </w:pPr>
            <w:r>
              <w:rPr>
                <w:sz w:val="20"/>
                <w:szCs w:val="20"/>
              </w:rPr>
              <w:t xml:space="preserve">Cả hai: có</w:t>
            </w:r>
          </w:p>
        </w:tc>
      </w:tr>
      <w:tr>
        <w:trPr>
          <w:cantSplit/>
        </w:trPr>
        <w:tc>
          <w:tcPr>
            <w:tcW w:type="dxa" w:w="1396"/>
            <w:vAlign w:val="center"/>
          </w:tcPr>
          <w:p>
            <w:pPr>
              <w:spacing w:before="20" w:after="20" w:line="260" w:lineRule="auto"/>
              <w:ind w:firstLine="0"/>
              <w:jc w:val="left"/>
            </w:pPr>
            <w:r>
              <w:rPr>
                <w:sz w:val="20"/>
                <w:szCs w:val="20"/>
              </w:rPr>
              <w:t xml:space="preserve">8–14</w:t>
            </w:r>
          </w:p>
        </w:tc>
        <w:tc>
          <w:tcPr>
            <w:tcW w:type="dxa" w:w="2480"/>
            <w:vAlign w:val="center"/>
          </w:tcPr>
          <w:p>
            <w:pPr>
              <w:spacing w:before="20" w:after="20" w:line="260" w:lineRule="auto"/>
              <w:ind w:firstLine="0"/>
              <w:jc w:val="left"/>
            </w:pPr>
            <w:r>
              <w:rPr>
                <w:sz w:val="20"/>
                <w:szCs w:val="20"/>
              </w:rPr>
              <w:t xml:space="preserve">y(T + h − 7), thuộc T + 1 … T + 7</w:t>
            </w:r>
          </w:p>
        </w:tc>
        <w:tc>
          <w:tcPr>
            <w:tcW w:type="dxa" w:w="2510"/>
            <w:vAlign w:val="center"/>
          </w:tcPr>
          <w:p>
            <w:pPr>
              <w:spacing w:before="20" w:after="20" w:line="260" w:lineRule="auto"/>
              <w:ind w:firstLine="0"/>
              <w:jc w:val="left"/>
            </w:pPr>
            <w:r>
              <w:rPr>
                <w:sz w:val="20"/>
                <w:szCs w:val="20"/>
              </w:rPr>
              <w:t xml:space="preserve">lag_14: y(T + h − 14), thuộc T − 6 … T</w:t>
            </w:r>
          </w:p>
        </w:tc>
        <w:tc>
          <w:tcPr>
            <w:tcW w:type="dxa" w:w="2685"/>
            <w:vAlign w:val="center"/>
          </w:tcPr>
          <w:p>
            <w:pPr>
              <w:spacing w:before="20" w:after="20" w:line="260" w:lineRule="auto"/>
              <w:ind w:firstLine="0"/>
              <w:jc w:val="left"/>
            </w:pPr>
            <w:r>
              <w:rPr>
                <w:sz w:val="20"/>
                <w:szCs w:val="20"/>
              </w:rPr>
              <w:t xml:space="preserve">Phương án lag_7: không; thiết kế cố định gốc: có</w:t>
            </w:r>
          </w:p>
        </w:tc>
      </w:tr>
      <w:tr>
        <w:trPr>
          <w:cantSplit/>
        </w:trPr>
        <w:tc>
          <w:tcPr>
            <w:tcW w:type="dxa" w:w="1396"/>
            <w:vAlign w:val="center"/>
          </w:tcPr>
          <w:p>
            <w:pPr>
              <w:spacing w:before="20" w:after="20" w:line="260" w:lineRule="auto"/>
              <w:ind w:firstLine="0"/>
              <w:jc w:val="left"/>
            </w:pPr>
            <w:r>
              <w:rPr>
                <w:sz w:val="20"/>
                <w:szCs w:val="20"/>
              </w:rPr>
              <w:t xml:space="preserve">15–16</w:t>
            </w:r>
          </w:p>
        </w:tc>
        <w:tc>
          <w:tcPr>
            <w:tcW w:type="dxa" w:w="2480"/>
            <w:vAlign w:val="center"/>
          </w:tcPr>
          <w:p>
            <w:pPr>
              <w:spacing w:before="20" w:after="20" w:line="260" w:lineRule="auto"/>
              <w:ind w:firstLine="0"/>
              <w:jc w:val="left"/>
            </w:pPr>
            <w:r>
              <w:rPr>
                <w:sz w:val="20"/>
                <w:szCs w:val="20"/>
              </w:rPr>
              <w:t xml:space="preserve">y(T + h − 7), thuộc T + 8 … T + 9</w:t>
            </w:r>
          </w:p>
        </w:tc>
        <w:tc>
          <w:tcPr>
            <w:tcW w:type="dxa" w:w="2510"/>
            <w:vAlign w:val="center"/>
          </w:tcPr>
          <w:p>
            <w:pPr>
              <w:spacing w:before="20" w:after="20" w:line="260" w:lineRule="auto"/>
              <w:ind w:firstLine="0"/>
              <w:jc w:val="left"/>
            </w:pPr>
            <w:r>
              <w:rPr>
                <w:sz w:val="20"/>
                <w:szCs w:val="20"/>
              </w:rPr>
              <w:t xml:space="preserve">lag_21: y(T + h − 21), thuộc T − 6 … T − 5</w:t>
            </w:r>
          </w:p>
        </w:tc>
        <w:tc>
          <w:tcPr>
            <w:tcW w:type="dxa" w:w="2685"/>
            <w:vAlign w:val="center"/>
          </w:tcPr>
          <w:p>
            <w:pPr>
              <w:spacing w:before="20" w:after="20" w:line="260" w:lineRule="auto"/>
              <w:ind w:firstLine="0"/>
              <w:jc w:val="left"/>
            </w:pPr>
            <w:r>
              <w:rPr>
                <w:sz w:val="20"/>
                <w:szCs w:val="20"/>
              </w:rPr>
              <w:t xml:space="preserve">Phương án lag_7: không; thiết kế cố định gốc: có</w:t>
            </w:r>
          </w:p>
        </w:tc>
      </w:tr>
    </w:tbl>
    <w:p>
      <w:pPr>
        <w:spacing w:before="40" w:after="160"/>
        <w:ind w:firstLine="0"/>
      </w:pPr>
      <w:r>
        <w:rPr>
          <w:i/>
          <w:sz w:val="22"/>
          <w:szCs w:val="22"/>
        </w:rPr>
        <w:t xml:space="preserve">Nguồn: tổng hợp của tác giả từ công thức Seasonal Naive (Hyndman và Athanasopoulos, 2021) và hàm seasonal_naive() trong 04_train_compare_5_models.py. Cột phương án lag_7 chỉ là minh họa lý thuyết, không có số liệu kết quả.</w:t>
      </w:r>
    </w:p>
    <w:p>
      <w:pPr>
        <w:keepLines w:val="0"/>
        <w:spacing w:after="120"/>
        <w:ind w:firstLine="567"/>
      </w:pPr>
      <w:r>
        <w:t xml:space="preserve">Một phương án khác cũng không rò rỉ là dùng lag_16 cho mọi ngày, nhưng phương án này không giữ đúng thứ trong tuần vì 16 không phải bội của 7. Với thiết kế cố định gốc, sai số của Seasonal Naive phản ánh đúng năng lực của quy tắc lặp tuần khi người lập dự báo đứng tại gốc T; trong lần chạy chính thức, nó đứng thứ tư theo WAPE ở cả ba lần kiểm định và có WAPE 20,665% trên tập kiểm tra cuối (Chương 4). Tuy vậy, sMAPE của nó vẫn thấp nhất ở cả ba lần kiểm định (trung bình 0,4079). Điều đó không có nghĩa là nó dự báo tốt hơn: sMAPE và RMSLE ưu ái các dự báo đúng giá trị 0 hoặc nhỏ, trong khi 31,30% số dòng của toàn bộ dữ liệu và 14,58% số dòng của tập kiểm tra cuối có doanh số bằng 0 (mục 2.11). Luận văn vì vậy giữ WAPE làm tiêu chí chọn mô hình, áp dụng cùng thủ tục đánh giá ngoài mẫu theo thời gian cho cả năm mô hình (Tashman, 2000).</w:t>
      </w:r>
    </w:p>
    <w:p>
      <w:pPr>
        <w:pStyle w:val="Heading2"/>
        <w:keepNext/>
      </w:pPr>
      <w:r>
        <w:t xml:space="preserve">2.6. Ridge</w:t>
      </w:r>
    </w:p>
    <w:p>
      <w:pPr>
        <w:pStyle w:val="Heading3"/>
        <w:keepNext/>
      </w:pPr>
      <w:r>
        <w:t xml:space="preserve">2.6.1. Hàm mục tiêu có điều chuẩn L2 và nghiệm dạng đóng</w:t>
      </w:r>
    </w:p>
    <w:p>
      <w:pPr>
        <w:keepLines w:val="0"/>
        <w:spacing w:after="120"/>
        <w:ind w:firstLine="567"/>
      </w:pPr>
      <w:r>
        <w:t xml:space="preserve">Ridge là hồi quy tuyến tính có điều chuẩn L2, được Hoerl và Kennard (1970) đề xuất như một phương pháp ước lượng chệch có chủ đích cho các bài toán mà biến giải thích tương quan mạnh với nhau. Trong luận văn, mỗi dòng dữ liệu n tương ứng với một bộ cửa hàng × nhóm sản phẩm × ngày, có vectơ đặc trưng x(n) gồm p biến và giá trị mục tiêu y(n) là doanh số. Ước lượng Ridge cực tiểu hóa tổng bình phương phần dư cộng với một thành phần phạt tỷ lệ với bình phương độ lớn của các hệ số, với λ ≥ 0 là tham số điều chuẩn (trong thư viện scikit-learn, tham số này có tên alpha):</w:t>
      </w:r>
    </w:p>
    <w:p>
      <w:pPr>
        <w:tabs>
          <w:tab w:val="center" w:pos="4535"/>
          <w:tab w:val="right" w:pos="9071"/>
        </w:tabs>
        <w:spacing w:before="60" w:after="60"/>
        <w:ind w:firstLine="0"/>
      </w:pPr>
      <w:r>
        <w:tab/>
      </w:r>
      <m:oMath xmlns:a="http://schemas.openxmlformats.org/drawingml/2006/main" xmlns:pic="http://schemas.openxmlformats.org/drawingml/2006/picture">
        <m:sSup>
          <m:e>
            <m:acc>
              <m:accPr>
                <m:chr m:val="̂"/>
              </m:accPr>
              <m:e>
                <m:r>
                  <m:rPr>
                    <m:sty m:val="b"/>
                  </m:rPr>
                  <m:t>β</m:t>
                </m:r>
              </m:e>
            </m:acc>
          </m:e>
          <m:sup>
            <m:r>
              <m:rPr>
                <m:sty m:val="p"/>
              </m:rPr>
              <m:t>r</m:t>
            </m:r>
            <m:r>
              <m:rPr>
                <m:sty m:val="p"/>
              </m:rPr>
              <m:t>i</m:t>
            </m:r>
            <m:r>
              <m:rPr>
                <m:sty m:val="p"/>
              </m:rPr>
              <m:t>d</m:t>
            </m:r>
            <m:r>
              <m:rPr>
                <m:sty m:val="p"/>
              </m:rPr>
              <m:t>g</m:t>
            </m:r>
            <m:r>
              <m:rPr>
                <m:sty m:val="p"/>
              </m:rPr>
              <m:t>e</m:t>
            </m:r>
          </m:sup>
        </m:sSup>
        <m:r>
          <m:rPr>
            <m:sty m:val="p"/>
          </m:rPr>
          <m:t>=</m:t>
        </m:r>
        <m:r>
          <m:rPr>
            <m:sty m:val="p"/>
          </m:rPr>
          <m:t>arg</m:t>
        </m:r>
        <m:limLow>
          <m:e>
            <m:r>
              <m:rPr>
                <m:sty m:val="p"/>
              </m:rPr>
              <m:t>min</m:t>
            </m:r>
          </m:e>
          <m:lim>
            <m:sSub>
              <m:e>
                <m:r>
                  <m:t>β</m:t>
                </m:r>
              </m:e>
              <m:sub>
                <m:r>
                  <m:t>0</m:t>
                </m:r>
              </m:sub>
            </m:sSub>
            <m:r>
              <m:rPr>
                <m:sty m:val="p"/>
              </m:rPr>
              <m:t>,</m:t>
            </m:r>
            <m:r>
              <m:t> </m:t>
            </m:r>
            <m:r>
              <m:rPr>
                <m:sty m:val="b"/>
              </m:rPr>
              <m:t>β</m:t>
            </m:r>
          </m:lim>
        </m:limLow>
        <m:d>
          <m:dPr>
            <m:begChr m:val="{"/>
            <m:sepChr m:val=""/>
            <m:endChr m:val="}"/>
            <m:grow/>
          </m:dPr>
          <m:e>
            <m:nary>
              <m:naryPr>
                <m:chr m:val="∑"/>
                <m:limLoc m:val="undOvr"/>
                <m:subHide m:val="off"/>
                <m:supHide m:val="off"/>
              </m:naryPr>
              <m:sub>
                <m:r>
                  <m:t>n</m:t>
                </m:r>
                <m:r>
                  <m:rPr>
                    <m:sty m:val="p"/>
                  </m:rPr>
                  <m:t>=</m:t>
                </m:r>
                <m:r>
                  <m:t>1</m:t>
                </m:r>
              </m:sub>
              <m:sup>
                <m:r>
                  <m:t>N</m:t>
                </m:r>
              </m:sup>
              <m:e>
                <m:sSup>
                  <m:e>
                    <m:d>
                      <m:dPr>
                        <m:begChr m:val="("/>
                        <m:sepChr m:val=""/>
                        <m:endChr m:val=")"/>
                        <m:grow/>
                      </m:dPr>
                      <m:e>
                        <m:sSub>
                          <m:e>
                            <m:r>
                              <m:t>y</m:t>
                            </m:r>
                          </m:e>
                          <m:sub>
                            <m:r>
                              <m:t>n</m:t>
                            </m:r>
                          </m:sub>
                        </m:sSub>
                        <m:r>
                          <m:rPr>
                            <m:sty m:val="p"/>
                          </m:rPr>
                          <m:t>−</m:t>
                        </m:r>
                        <m:sSub>
                          <m:e>
                            <m:r>
                              <m:t>β</m:t>
                            </m:r>
                          </m:e>
                          <m:sub>
                            <m:r>
                              <m:t>0</m:t>
                            </m:r>
                          </m:sub>
                        </m:sSub>
                        <m:r>
                          <m:rPr>
                            <m:sty m:val="p"/>
                          </m:rPr>
                          <m:t>−</m:t>
                        </m:r>
                        <m:sSubSup>
                          <m:e>
                            <m:r>
                              <m:rPr>
                                <m:sty m:val="b"/>
                              </m:rPr>
                              <m:t>x</m:t>
                            </m:r>
                          </m:e>
                          <m:sub>
                            <m:r>
                              <m:t>n</m:t>
                            </m:r>
                          </m:sub>
                          <m:sup>
                            <m:r>
                              <m:rPr>
                                <m:sty m:val="p"/>
                              </m:rPr>
                              <m:t>⊤</m:t>
                            </m:r>
                          </m:sup>
                        </m:sSubSup>
                        <m:r>
                          <m:rPr>
                            <m:sty m:val="b"/>
                          </m:rPr>
                          <m:t>β</m:t>
                        </m:r>
                      </m:e>
                    </m:d>
                  </m:e>
                  <m:sup>
                    <m:r>
                      <m:t>2</m:t>
                    </m:r>
                  </m:sup>
                </m:sSup>
              </m:e>
            </m:nary>
            <m:r>
              <m:rPr>
                <m:sty m:val="p"/>
              </m:rPr>
              <m:t>+</m:t>
            </m:r>
            <m:r>
              <m:t>λ</m:t>
            </m:r>
            <m:nary>
              <m:naryPr>
                <m:chr m:val="∑"/>
                <m:limLoc m:val="undOvr"/>
                <m:subHide m:val="off"/>
                <m:supHide m:val="off"/>
              </m:naryPr>
              <m:sub>
                <m:r>
                  <m:t>j</m:t>
                </m:r>
                <m:r>
                  <m:rPr>
                    <m:sty m:val="p"/>
                  </m:rPr>
                  <m:t>=</m:t>
                </m:r>
                <m:r>
                  <m:t>1</m:t>
                </m:r>
              </m:sub>
              <m:sup>
                <m:r>
                  <m:t>p</m:t>
                </m:r>
              </m:sup>
              <m:e>
                <m:sSubSup>
                  <m:e>
                    <m:r>
                      <m:t>β</m:t>
                    </m:r>
                  </m:e>
                  <m:sub>
                    <m:r>
                      <m:t>j</m:t>
                    </m:r>
                  </m:sub>
                  <m:sup>
                    <m:r>
                      <m:t>2</m:t>
                    </m:r>
                  </m:sup>
                </m:sSubSup>
              </m:e>
            </m:nary>
          </m:e>
        </m:d>
      </m:oMath>
      <w:r>
        <w:tab/>
        <w:t>(2.20)</w:t>
      </w:r>
    </w:p>
    <w:p>
      <w:pPr>
        <w:keepLines w:val="0"/>
        <w:spacing w:after="120"/>
        <w:ind w:firstLine="567"/>
      </w:pPr>
      <w:r>
        <w:t xml:space="preserve">Khi λ = 0, nghiệm trùng với bình phương tối thiểu thông thường; khi λ tăng, các hệ số bị kéo dần về 0. Hệ số chặn β₀ không bị phạt. Với các biến đã được trung tâm hóa, nghiệm có dạng đóng như (2.21), trong đó việc cộng thêm λI bảo đảm ma trận luôn khả nghịch ngay cả khi XᵀX gần suy biến, tức đúng tình huống các biến “không trực giao” mà Hoerl và Kennard hướng tới. Qua phân tích giá trị kỳ dị X = UDVᵀ, giá trị khớp của Ridge có thể viết như (2.22) (Hastie và cộng sự, 2009).</w:t>
      </w:r>
    </w:p>
    <w:p>
      <w:pPr>
        <w:tabs>
          <w:tab w:val="center" w:pos="4535"/>
          <w:tab w:val="right" w:pos="9071"/>
        </w:tabs>
        <w:spacing w:before="60" w:after="60"/>
        <w:ind w:firstLine="0"/>
      </w:pPr>
      <w:r>
        <w:tab/>
      </w:r>
      <m:oMath xmlns:a="http://schemas.openxmlformats.org/drawingml/2006/main" xmlns:pic="http://schemas.openxmlformats.org/drawingml/2006/picture">
        <m:sSup>
          <m:e>
            <m:acc>
              <m:accPr>
                <m:chr m:val="̂"/>
              </m:accPr>
              <m:e>
                <m:r>
                  <m:rPr>
                    <m:sty m:val="b"/>
                  </m:rPr>
                  <m:t>β</m:t>
                </m:r>
              </m:e>
            </m:acc>
          </m:e>
          <m:sup>
            <m:r>
              <m:rPr>
                <m:sty m:val="p"/>
              </m:rPr>
              <m:t>r</m:t>
            </m:r>
            <m:r>
              <m:rPr>
                <m:sty m:val="p"/>
              </m:rPr>
              <m:t>i</m:t>
            </m:r>
            <m:r>
              <m:rPr>
                <m:sty m:val="p"/>
              </m:rPr>
              <m:t>d</m:t>
            </m:r>
            <m:r>
              <m:rPr>
                <m:sty m:val="p"/>
              </m:rPr>
              <m:t>g</m:t>
            </m:r>
            <m:r>
              <m:rPr>
                <m:sty m:val="p"/>
              </m:rPr>
              <m:t>e</m:t>
            </m:r>
          </m:sup>
        </m:sSup>
        <m:r>
          <m:rPr>
            <m:sty m:val="p"/>
          </m:rPr>
          <m:t>=</m:t>
        </m:r>
        <m:sSup>
          <m:e>
            <m:d>
              <m:dPr>
                <m:begChr m:val="("/>
                <m:sepChr m:val=""/>
                <m:endChr m:val=")"/>
                <m:grow/>
              </m:dPr>
              <m:e>
                <m:sSup>
                  <m:e>
                    <m:r>
                      <m:rPr>
                        <m:sty m:val="b"/>
                      </m:rPr>
                      <m:t>X</m:t>
                    </m:r>
                  </m:e>
                  <m:sup>
                    <m:r>
                      <m:rPr>
                        <m:sty m:val="p"/>
                      </m:rPr>
                      <m:t>⊤</m:t>
                    </m:r>
                  </m:sup>
                </m:sSup>
                <m:r>
                  <m:rPr>
                    <m:sty m:val="b"/>
                  </m:rPr>
                  <m:t>X</m:t>
                </m:r>
                <m:r>
                  <m:rPr>
                    <m:sty m:val="p"/>
                  </m:rPr>
                  <m:t>+</m:t>
                </m:r>
                <m:r>
                  <m:t>λ</m:t>
                </m:r>
                <m:sSub>
                  <m:e>
                    <m:r>
                      <m:rPr>
                        <m:sty m:val="b"/>
                      </m:rPr>
                      <m:t>I</m:t>
                    </m:r>
                  </m:e>
                  <m:sub>
                    <m:r>
                      <m:t>p</m:t>
                    </m:r>
                  </m:sub>
                </m:sSub>
              </m:e>
            </m:d>
          </m:e>
          <m:sup>
            <m:r>
              <m:rPr>
                <m:sty m:val="p"/>
              </m:rPr>
              <m:t>−</m:t>
            </m:r>
            <m:r>
              <m:t>1</m:t>
            </m:r>
          </m:sup>
        </m:sSup>
        <m:sSup>
          <m:e>
            <m:r>
              <m:rPr>
                <m:sty m:val="b"/>
              </m:rPr>
              <m:t>X</m:t>
            </m:r>
          </m:e>
          <m:sup>
            <m:r>
              <m:rPr>
                <m:sty m:val="p"/>
              </m:rPr>
              <m:t>⊤</m:t>
            </m:r>
          </m:sup>
        </m:sSup>
        <m:r>
          <m:rPr>
            <m:sty m:val="b"/>
          </m:rPr>
          <m:t>y</m:t>
        </m:r>
      </m:oMath>
      <w:r>
        <w:tab/>
        <w:t>(2.21)</w:t>
      </w:r>
    </w:p>
    <w:p>
      <w:pPr>
        <w:tabs>
          <w:tab w:val="center" w:pos="4535"/>
          <w:tab w:val="right" w:pos="9071"/>
        </w:tabs>
        <w:spacing w:before="60" w:after="60"/>
        <w:ind w:firstLine="0"/>
      </w:pPr>
      <w:r>
        <w:tab/>
      </w:r>
      <m:oMath xmlns:a="http://schemas.openxmlformats.org/drawingml/2006/main" xmlns:pic="http://schemas.openxmlformats.org/drawingml/2006/picture">
        <m:r>
          <m:rPr>
            <m:sty m:val="b"/>
          </m:rPr>
          <m:t>X</m:t>
        </m:r>
        <m:sSup>
          <m:e>
            <m:acc>
              <m:accPr>
                <m:chr m:val="̂"/>
              </m:accPr>
              <m:e>
                <m:r>
                  <m:rPr>
                    <m:sty m:val="b"/>
                  </m:rPr>
                  <m:t>β</m:t>
                </m:r>
              </m:e>
            </m:acc>
          </m:e>
          <m:sup>
            <m:r>
              <m:rPr>
                <m:sty m:val="p"/>
              </m:rPr>
              <m:t>r</m:t>
            </m:r>
            <m:r>
              <m:rPr>
                <m:sty m:val="p"/>
              </m:rPr>
              <m:t>i</m:t>
            </m:r>
            <m:r>
              <m:rPr>
                <m:sty m:val="p"/>
              </m:rPr>
              <m:t>d</m:t>
            </m:r>
            <m:r>
              <m:rPr>
                <m:sty m:val="p"/>
              </m:rPr>
              <m:t>g</m:t>
            </m:r>
            <m:r>
              <m:rPr>
                <m:sty m:val="p"/>
              </m:rPr>
              <m:t>e</m:t>
            </m:r>
          </m:sup>
        </m:sSup>
        <m:r>
          <m:rPr>
            <m:sty m:val="p"/>
          </m:rPr>
          <m:t>=</m:t>
        </m:r>
        <m:nary>
          <m:naryPr>
            <m:chr m:val="∑"/>
            <m:limLoc m:val="undOvr"/>
            <m:subHide m:val="off"/>
            <m:supHide m:val="off"/>
          </m:naryPr>
          <m:sub>
            <m:r>
              <m:t>j</m:t>
            </m:r>
            <m:r>
              <m:rPr>
                <m:sty m:val="p"/>
              </m:rPr>
              <m:t>=</m:t>
            </m:r>
            <m:r>
              <m:t>1</m:t>
            </m:r>
          </m:sub>
          <m:sup>
            <m:r>
              <m:t>p</m:t>
            </m:r>
          </m:sup>
          <m:e>
            <m:sSub>
              <m:e>
                <m:r>
                  <m:rPr>
                    <m:sty m:val="b"/>
                  </m:rPr>
                  <m:t>u</m:t>
                </m:r>
              </m:e>
              <m:sub>
                <m:r>
                  <m:t>j</m:t>
                </m:r>
              </m:sub>
            </m:sSub>
          </m:e>
        </m:nary>
        <m:r>
          <m:t> </m:t>
        </m:r>
        <m:f>
          <m:fPr>
            <m:type m:val="bar"/>
          </m:fPr>
          <m:num>
            <m:sSubSup>
              <m:e>
                <m:r>
                  <m:t>d</m:t>
                </m:r>
              </m:e>
              <m:sub>
                <m:r>
                  <m:t>j</m:t>
                </m:r>
              </m:sub>
              <m:sup>
                <m:r>
                  <m:t>2</m:t>
                </m:r>
              </m:sup>
            </m:sSubSup>
          </m:num>
          <m:den>
            <m:sSubSup>
              <m:e>
                <m:r>
                  <m:t>d</m:t>
                </m:r>
              </m:e>
              <m:sub>
                <m:r>
                  <m:t>j</m:t>
                </m:r>
              </m:sub>
              <m:sup>
                <m:r>
                  <m:t>2</m:t>
                </m:r>
              </m:sup>
            </m:sSubSup>
            <m:r>
              <m:rPr>
                <m:sty m:val="p"/>
              </m:rPr>
              <m:t>+</m:t>
            </m:r>
            <m:r>
              <m:t>λ</m:t>
            </m:r>
          </m:den>
        </m:f>
        <m:r>
          <m:t> </m:t>
        </m:r>
        <m:sSubSup>
          <m:e>
            <m:r>
              <m:rPr>
                <m:sty m:val="b"/>
              </m:rPr>
              <m:t>u</m:t>
            </m:r>
          </m:e>
          <m:sub>
            <m:r>
              <m:t>j</m:t>
            </m:r>
          </m:sub>
          <m:sup>
            <m:r>
              <m:rPr>
                <m:sty m:val="p"/>
              </m:rPr>
              <m:t>⊤</m:t>
            </m:r>
          </m:sup>
        </m:sSubSup>
        <m:r>
          <m:rPr>
            <m:sty m:val="b"/>
          </m:rPr>
          <m:t>y</m:t>
        </m:r>
      </m:oMath>
      <w:r>
        <w:tab/>
        <w:t>(2.22)</w:t>
      </w:r>
    </w:p>
    <w:p>
      <w:pPr>
        <w:keepLines w:val="0"/>
        <w:spacing w:after="120"/>
        <w:ind w:firstLine="567"/>
      </w:pPr>
      <w:r>
        <w:t xml:space="preserve">Công thức (2.22) cho thấy Ridge co mạnh nhất theo các hướng có giá trị kỳ dị d(j) nhỏ, nơi ước lượng bình phương tối thiểu kém ổn định nhất; theo các hướng có d(j) lớn, hệ số co d(j)²/(d(j)² + λ) gần bằng 1. Đây là đánh đổi giữa độ chệch và phương sai: chấp nhận độ chệch nhỏ để giảm phương sai của hệ số (Hastie và cộng sự, 2009). Tập đặc trưng của luận văn tạo ra điều kiện đa cộng tuyến điển hình: các độ trễ lag_16, lag_21, lag_28 và các trung bình trượt 7, 14 và 28 ngày chia sẻ phần lớn thông tin, tương tự cặp transactions_lag16 và transactions_roll28_lag16.</w:t>
      </w:r>
    </w:p>
    <w:p>
      <w:pPr>
        <w:pStyle w:val="Heading3"/>
        <w:keepNext/>
      </w:pPr>
      <w:r>
        <w:t xml:space="preserve">2.6.2. Vai trò của thang đo và cấu hình Ridge kèm StandardScaler</w:t>
      </w:r>
    </w:p>
    <w:p>
      <w:pPr>
        <w:keepLines w:val="0"/>
        <w:spacing w:after="120"/>
        <w:ind w:firstLine="567"/>
      </w:pPr>
      <w:r>
        <w:t xml:space="preserve">Một tính chất quan trọng của Ridge là nghiệm không bất biến theo thang đo của đặc trưng. Nếu một biến được nhân với hằng số c, hệ số tương ứng chia cho c và mức phạt λβ(j)² thay đổi theo c⁻², nên cùng một λ tác động rất khác nhau lên các biến có đơn vị khác nhau, chẳng hạn giữa các độ trễ doanh số hay giá dầu trễ và các biến nhị phân is_weekend, is_national_holiday. Thực hành chuẩn vì vậy là chuẩn hóa đặc trưng trước khi ước lượng (Hastie và cộng sự, 2009). Vì vậy, nghiên cứu đặt Ridge trong một chuỗi xử lý gồm StandardScaler, đưa mỗi đặc trưng về trung bình 0 và độ lệch chuẩn 1 theo dữ liệu huấn luyện của từng lần, rồi Ridge(alpha = 1,0). Lý do phương pháp là hình phạt L2 phụ thuộc thang đo: nếu không chuẩn hóa, mức co của mỗi hệ số sẽ do đơn vị đo quyết định chứ không do mức đóng góp thông tin của biến, và so sánh Ridge với các mô hình cây sẽ phản ánh một cấu hình bất lợi hơn là giới hạn của cấu trúc tuyến tính.</w:t>
      </w:r>
    </w:p>
    <w:p>
      <w:pPr>
        <w:keepLines w:val="0"/>
        <w:spacing w:after="120"/>
        <w:ind w:firstLine="567"/>
      </w:pPr>
      <w:r>
        <w:t xml:space="preserve">Chuẩn hóa làm mức phạt được phân bổ công bằng hơn giữa các biến, nhưng không thay đổi hai giới hạn khác. Thứ nhất, alpha = 1,0 là giá trị cố định, không được chọn qua kiểm định chéo; theo (2.22), với hơn hai triệu dòng huấn luyện ở mỗi lần kiểm định, các giá trị d(j)² lớn hơn rất nhiều so với λ = 1 ở phần lớn các hướng, nên mức co thực tế nhỏ và nghiệm tiến gần bình phương tối thiểu thông thường. Thứ hai, các biến danh mục như store_code, family_code, city_code, state_code, type_code và cluster vẫn được đưa vào dưới dạng số nguyên, nên mô hình ngầm giả định doanh số thay đổi đều theo thứ tự của mã, một giả định không có ý nghĩa kinh tế. Mã hóa one-hot và chọn alpha qua kiểm định chéo là các biến thể thay thế chưa được thực hiện.</w:t>
      </w:r>
    </w:p>
    <w:p>
      <w:pPr>
        <w:pStyle w:val="Heading3"/>
        <w:keepNext/>
      </w:pPr>
      <w:r>
        <w:t xml:space="preserve">2.6.3. Giới hạn của cấu trúc tuyến tính và vai trò đối sánh</w:t>
      </w:r>
    </w:p>
    <w:p>
      <w:pPr>
        <w:keepLines w:val="0"/>
        <w:spacing w:after="120"/>
        <w:ind w:firstLine="567"/>
      </w:pPr>
      <w:r>
        <w:t xml:space="preserve">Ngoài vấn đề thang đo, giới hạn căn bản của Ridge nằm ở cấu trúc cộng tính. Quan hệ giữa nhu cầu, khuyến mãi, yếu tố lịch và các độ trễ có thể phi tuyến và có tương tác mạnh; phản ứng của doanh số với onpromotion khó có thể giống nhau giữa các nhóm sản phẩm và cửa hàng, và mô hình tuyến tính chỉ biểu diễn được tương tác khi chúng được chỉ định thủ công. Bên cạnh đó, doanh số lệch phải mạnh: nhóm dòng không khuyến mãi có doanh số trung bình 158,247 nhưng trung vị chỉ 3,0, và 31,30% số dòng có doanh số bằng 0. Hàm tuyến tính có thể cho giá trị âm, nên quy trình chặn mọi dự báo âm về 0, áp dụng thống nhất cho mọi mô hình học máy:</w:t>
      </w:r>
    </w:p>
    <w:p>
      <w:pPr>
        <w:tabs>
          <w:tab w:val="center" w:pos="4535"/>
          <w:tab w:val="right" w:pos="9071"/>
        </w:tabs>
        <w:spacing w:before="60" w:after="60"/>
        <w:ind w:firstLine="0"/>
      </w:pPr>
      <w:r>
        <w:tab/>
      </w:r>
      <m:oMath xmlns:a="http://schemas.openxmlformats.org/drawingml/2006/main" xmlns:pic="http://schemas.openxmlformats.org/drawingml/2006/picture">
        <m:sSub>
          <m:e>
            <m:acc>
              <m:accPr>
                <m:chr m:val="̃"/>
              </m:accPr>
              <m:e>
                <m:r>
                  <m:t>y</m:t>
                </m:r>
              </m:e>
            </m:acc>
          </m:e>
          <m:sub>
            <m:r>
              <m:t>n</m:t>
            </m:r>
          </m:sub>
        </m:sSub>
        <m:r>
          <m:rPr>
            <m:sty m:val="p"/>
          </m:rPr>
          <m:t>=</m:t>
        </m:r>
        <m:r>
          <m:rPr>
            <m:sty m:val="p"/>
          </m:rPr>
          <m:t>max</m:t>
        </m:r>
        <m:r>
          <m:rPr>
            <m:sty m:val="p"/>
          </m:rPr>
          <m:t>{</m:t>
        </m:r>
        <m:r>
          <m:t>0</m:t>
        </m:r>
        <m:r>
          <m:rPr>
            <m:sty m:val="p"/>
          </m:rPr>
          <m:t>,</m:t>
        </m:r>
        <m:r>
          <m:t> </m:t>
        </m:r>
        <m:sSub>
          <m:e>
            <m:acc>
              <m:accPr>
                <m:chr m:val="̂"/>
              </m:accPr>
              <m:e>
                <m:r>
                  <m:t>y</m:t>
                </m:r>
              </m:e>
            </m:acc>
          </m:e>
          <m:sub>
            <m:r>
              <m:t>n</m:t>
            </m:r>
          </m:sub>
        </m:sSub>
        <m:r>
          <m:rPr>
            <m:sty m:val="p"/>
          </m:rPr>
          <m:t>}</m:t>
        </m:r>
      </m:oMath>
      <w:r>
        <w:tab/>
        <w:t>(2.23)</w:t>
      </w:r>
    </w:p>
    <w:p>
      <w:pPr>
        <w:keepLines w:val="0"/>
        <w:spacing w:after="120"/>
        <w:ind w:firstLine="567"/>
      </w:pPr>
      <w:r>
        <w:t xml:space="preserve">Phép chặn (2.23) bảo đảm tính hợp lệ của đầu ra nhưng không sửa được sai lệch cấu trúc ở vùng doanh số nhỏ. Dù vậy, Ridge giữ vai trò có giá trị trong khung so sánh: được huấn luyện trên toàn bộ dữ liệu, dùng đúng 29 đặc trưng như các mô hình cây, nó đo phần nhu cầu giải thích được bằng một tổ hợp tuyến tính của cùng thông tin, nên khoảng cách giữa Ridge và các mô hình cây là chỉ báo gián tiếp về đóng góp của học phi tuyến và tương tác. Trong lần chạy chính thức, Ridge có WAPE trung bình kiểm định chéo cao nhất (17,142%) và đứng cuối ở cả ba lần, sau cả Seasonal Naive; một nguyên nhân khả dĩ là mô hình toàn cục với một vectơ hệ số duy nhất khó biểu diễn khác biệt về mức giữa 1.782 chuỗi. Ngược lại, RMSE trung bình của Ridge (261,874) thấp hơn Seasonal Naive (293,700), phù hợp với việc bình phương tối thiểu ưu tiên giảm sai số lớn. Kết quả được đọc như bằng chứng về cấu hình cụ thể, không phải kết luận chung về hồi quy tuyến tính.</w:t>
      </w:r>
    </w:p>
    <w:p>
      <w:pPr>
        <w:pStyle w:val="Heading2"/>
        <w:keepNext/>
      </w:pPr>
      <w:r>
        <w:t xml:space="preserve">2.7. Random Forest</w:t>
      </w:r>
    </w:p>
    <w:p>
      <w:pPr>
        <w:pStyle w:val="Heading3"/>
        <w:keepNext/>
      </w:pPr>
      <w:r>
        <w:t xml:space="preserve">2.7.1. Cây hồi quy làm khối cơ sở</w:t>
      </w:r>
    </w:p>
    <w:p>
      <w:pPr>
        <w:keepLines w:val="0"/>
        <w:spacing w:after="120"/>
        <w:ind w:firstLine="567"/>
      </w:pPr>
      <w:r>
        <w:t xml:space="preserve">Random Forest, XGBoost và LightGBM đều được xây dựng từ cây hồi quy, vì vậy cần bắt đầu từ cấu trúc của một cây đơn lẻ. Một cây hồi quy chia không gian đặc trưng thành M vùng rời nhau R(1), …, R(M) thông qua các phép tách nhị phân liên tiếp, và dự báo trong mỗi vùng bằng giá trị trung bình của biến mục tiêu trên các quan sát huấn luyện rơi vào vùng đó (Hastie và cộng sự, 2009):</w:t>
      </w:r>
    </w:p>
    <w:p>
      <w:pPr>
        <w:tabs>
          <w:tab w:val="center" w:pos="4535"/>
          <w:tab w:val="right" w:pos="9071"/>
        </w:tabs>
        <w:spacing w:before="60" w:after="60"/>
        <w:ind w:firstLine="0"/>
      </w:pPr>
      <w:r>
        <w:tab/>
      </w:r>
      <m:oMath xmlns:a="http://schemas.openxmlformats.org/drawingml/2006/main" xmlns:pic="http://schemas.openxmlformats.org/drawingml/2006/picture">
        <m:r>
          <m:t>T</m:t>
        </m:r>
        <m:d>
          <m:dPr>
            <m:begChr m:val="("/>
            <m:sepChr m:val=""/>
            <m:endChr m:val=")"/>
            <m:grow/>
          </m:dPr>
          <m:e>
            <m:r>
              <m:rPr>
                <m:sty m:val="b"/>
              </m:rPr>
              <m:t>x</m:t>
            </m:r>
            <m:r>
              <m:rPr>
                <m:sty m:val="p"/>
              </m:rPr>
              <m:t>;</m:t>
            </m:r>
            <m:r>
              <m:t>Θ</m:t>
            </m:r>
          </m:e>
        </m:d>
        <m:r>
          <m:rPr>
            <m:sty m:val="p"/>
          </m:rPr>
          <m:t>=</m:t>
        </m:r>
        <m:nary>
          <m:naryPr>
            <m:chr m:val="∑"/>
            <m:limLoc m:val="undOvr"/>
            <m:subHide m:val="off"/>
            <m:supHide m:val="off"/>
          </m:naryPr>
          <m:sub>
            <m:r>
              <m:t>m</m:t>
            </m:r>
            <m:r>
              <m:rPr>
                <m:sty m:val="p"/>
              </m:rPr>
              <m:t>=</m:t>
            </m:r>
            <m:r>
              <m:t>1</m:t>
            </m:r>
          </m:sub>
          <m:sup>
            <m:r>
              <m:t>M</m:t>
            </m:r>
          </m:sup>
          <m:e>
            <m:sSub>
              <m:e>
                <m:r>
                  <m:t>c</m:t>
                </m:r>
              </m:e>
              <m:sub>
                <m:r>
                  <m:t>m</m:t>
                </m:r>
              </m:sub>
            </m:sSub>
          </m:e>
        </m:nary>
        <m:r>
          <m:t> </m:t>
        </m:r>
        <m:r>
          <m:rPr>
            <m:scr m:val="double-struck"/>
            <m:sty m:val="p"/>
          </m:rPr>
          <m:t>1</m:t>
        </m:r>
        <m:d>
          <m:dPr>
            <m:begChr m:val="("/>
            <m:sepChr m:val=""/>
            <m:endChr m:val=")"/>
            <m:grow/>
          </m:dPr>
          <m:e>
            <m:r>
              <m:rPr>
                <m:sty m:val="b"/>
              </m:rPr>
              <m:t>x</m:t>
            </m:r>
            <m:r>
              <m:rPr>
                <m:sty m:val="p"/>
              </m:rPr>
              <m:t>∈</m:t>
            </m:r>
            <m:sSub>
              <m:e>
                <m:r>
                  <m:t>R</m:t>
                </m:r>
              </m:e>
              <m:sub>
                <m:r>
                  <m:t>m</m:t>
                </m:r>
              </m:sub>
            </m:sSub>
          </m:e>
        </m:d>
        <m:r>
          <m:rPr>
            <m:sty m:val="p"/>
          </m:rPr>
          <m:t>,</m:t>
        </m:r>
        <m:r>
          <m:t>  </m:t>
        </m:r>
        <m:sSub>
          <m:e>
            <m:r>
              <m:t>c</m:t>
            </m:r>
          </m:e>
          <m:sub>
            <m:r>
              <m:t>m</m:t>
            </m:r>
          </m:sub>
        </m:sSub>
        <m:r>
          <m:rPr>
            <m:sty m:val="p"/>
          </m:rPr>
          <m:t>=</m:t>
        </m:r>
        <m:f>
          <m:fPr>
            <m:type m:val="bar"/>
          </m:fPr>
          <m:num>
            <m:r>
              <m:t>1</m:t>
            </m:r>
          </m:num>
          <m:den>
            <m:d>
              <m:dPr>
                <m:begChr m:val="|"/>
                <m:sepChr m:val=""/>
                <m:endChr m:val="|"/>
                <m:grow/>
              </m:dPr>
              <m:e>
                <m:sSub>
                  <m:e>
                    <m:r>
                      <m:t>R</m:t>
                    </m:r>
                  </m:e>
                  <m:sub>
                    <m:r>
                      <m:t>m</m:t>
                    </m:r>
                  </m:sub>
                </m:sSub>
              </m:e>
            </m:d>
          </m:den>
        </m:f>
        <m:nary>
          <m:naryPr>
            <m:chr m:val="∑"/>
            <m:limLoc m:val="undOvr"/>
            <m:subHide m:val="off"/>
            <m:supHide m:val="on"/>
          </m:naryPr>
          <m:sub>
            <m:sSub>
              <m:e>
                <m:r>
                  <m:rPr>
                    <m:sty m:val="b"/>
                  </m:rPr>
                  <m:t>x</m:t>
                </m:r>
              </m:e>
              <m:sub>
                <m:r>
                  <m:t>n</m:t>
                </m:r>
              </m:sub>
            </m:sSub>
            <m:r>
              <m:rPr>
                <m:sty m:val="p"/>
              </m:rPr>
              <m:t>∈</m:t>
            </m:r>
            <m:sSub>
              <m:e>
                <m:r>
                  <m:t>R</m:t>
                </m:r>
              </m:e>
              <m:sub>
                <m:r>
                  <m:t>m</m:t>
                </m:r>
              </m:sub>
            </m:sSub>
          </m:sub>
          <m:sup>
            <m:r>
              <m:t>​</m:t>
            </m:r>
          </m:sup>
          <m:e>
            <m:sSub>
              <m:e>
                <m:r>
                  <m:t>y</m:t>
                </m:r>
              </m:e>
              <m:sub>
                <m:r>
                  <m:t>n</m:t>
                </m:r>
              </m:sub>
            </m:sSub>
          </m:e>
        </m:nary>
      </m:oMath>
      <w:r>
        <w:tab/>
        <w:t>(2.24)</w:t>
      </w:r>
    </w:p>
    <w:p>
      <w:pPr>
        <w:keepLines w:val="0"/>
        <w:spacing w:after="120"/>
        <w:ind w:firstLine="567"/>
      </w:pPr>
      <w:r>
        <w:t xml:space="preserve">Tại mỗi nút, thuật toán tìm theo cách tham lam biến tách j và ngưỡng s sao cho tổng bình phương sai số của hai nút con R₁(j,s) = {x: x(j) ≤ s} và R₂(j,s) = {x: x(j) &gt; s} là nhỏ nhất, như trong (2.25), với c₁ và c₂ là trung bình mục tiêu trong hai nút con. Quá trình tách lặp lại đến khi gặp điều kiện dừng như độ sâu tối đa hoặc số quan sát tối thiểu trong lá.</w:t>
      </w:r>
    </w:p>
    <w:p>
      <w:pPr>
        <w:tabs>
          <w:tab w:val="center" w:pos="4535"/>
          <w:tab w:val="right" w:pos="9071"/>
        </w:tabs>
        <w:spacing w:before="60" w:after="60"/>
        <w:ind w:firstLine="0"/>
      </w:pPr>
      <w:r>
        <w:tab/>
      </w:r>
      <m:oMath xmlns:a="http://schemas.openxmlformats.org/drawingml/2006/main" xmlns:pic="http://schemas.openxmlformats.org/drawingml/2006/picture">
        <m:limLow>
          <m:e>
            <m:r>
              <m:rPr>
                <m:sty m:val="p"/>
              </m:rPr>
              <m:t>min</m:t>
            </m:r>
          </m:e>
          <m:lim>
            <m:r>
              <m:t>j</m:t>
            </m:r>
            <m:r>
              <m:rPr>
                <m:sty m:val="p"/>
              </m:rPr>
              <m:t>,</m:t>
            </m:r>
            <m:r>
              <m:t> </m:t>
            </m:r>
            <m:r>
              <m:t>s</m:t>
            </m:r>
          </m:lim>
        </m:limLow>
        <m:d>
          <m:dPr>
            <m:begChr m:val="["/>
            <m:sepChr m:val=""/>
            <m:endChr m:val="]"/>
            <m:grow/>
          </m:dPr>
          <m:e>
            <m:nary>
              <m:naryPr>
                <m:chr m:val="∑"/>
                <m:limLoc m:val="undOvr"/>
                <m:subHide m:val="off"/>
                <m:supHide m:val="on"/>
              </m:naryPr>
              <m:sub>
                <m:sSub>
                  <m:e>
                    <m:r>
                      <m:rPr>
                        <m:sty m:val="b"/>
                      </m:rPr>
                      <m:t>x</m:t>
                    </m:r>
                  </m:e>
                  <m:sub>
                    <m:r>
                      <m:t>n</m:t>
                    </m:r>
                  </m:sub>
                </m:sSub>
                <m:r>
                  <m:rPr>
                    <m:sty m:val="p"/>
                  </m:rPr>
                  <m:t>∈</m:t>
                </m:r>
                <m:sSub>
                  <m:e>
                    <m:r>
                      <m:t>R</m:t>
                    </m:r>
                  </m:e>
                  <m:sub>
                    <m:r>
                      <m:t>1</m:t>
                    </m:r>
                  </m:sub>
                </m:sSub>
                <m:d>
                  <m:dPr>
                    <m:begChr m:val="("/>
                    <m:sepChr m:val=""/>
                    <m:endChr m:val=")"/>
                    <m:grow/>
                  </m:dPr>
                  <m:e>
                    <m:r>
                      <m:t>j</m:t>
                    </m:r>
                    <m:r>
                      <m:rPr>
                        <m:sty m:val="p"/>
                      </m:rPr>
                      <m:t>,</m:t>
                    </m:r>
                    <m:r>
                      <m:t>s</m:t>
                    </m:r>
                  </m:e>
                </m:d>
              </m:sub>
              <m:sup>
                <m:r>
                  <m:t>​</m:t>
                </m:r>
              </m:sup>
              <m:e>
                <m:sSup>
                  <m:e>
                    <m:d>
                      <m:dPr>
                        <m:begChr m:val="("/>
                        <m:sepChr m:val=""/>
                        <m:endChr m:val=")"/>
                        <m:grow/>
                      </m:dPr>
                      <m:e>
                        <m:sSub>
                          <m:e>
                            <m:r>
                              <m:t>y</m:t>
                            </m:r>
                          </m:e>
                          <m:sub>
                            <m:r>
                              <m:t>n</m:t>
                            </m:r>
                          </m:sub>
                        </m:sSub>
                        <m:r>
                          <m:rPr>
                            <m:sty m:val="p"/>
                          </m:rPr>
                          <m:t>−</m:t>
                        </m:r>
                        <m:sSub>
                          <m:e>
                            <m:r>
                              <m:t>c</m:t>
                            </m:r>
                          </m:e>
                          <m:sub>
                            <m:r>
                              <m:t>1</m:t>
                            </m:r>
                          </m:sub>
                        </m:sSub>
                      </m:e>
                    </m:d>
                  </m:e>
                  <m:sup>
                    <m:r>
                      <m:t>2</m:t>
                    </m:r>
                  </m:sup>
                </m:sSup>
              </m:e>
            </m:nary>
            <m:r>
              <m:rPr>
                <m:sty m:val="p"/>
              </m:rPr>
              <m:t>+</m:t>
            </m:r>
            <m:nary>
              <m:naryPr>
                <m:chr m:val="∑"/>
                <m:limLoc m:val="undOvr"/>
                <m:subHide m:val="off"/>
                <m:supHide m:val="on"/>
              </m:naryPr>
              <m:sub>
                <m:sSub>
                  <m:e>
                    <m:r>
                      <m:rPr>
                        <m:sty m:val="b"/>
                      </m:rPr>
                      <m:t>x</m:t>
                    </m:r>
                  </m:e>
                  <m:sub>
                    <m:r>
                      <m:t>n</m:t>
                    </m:r>
                  </m:sub>
                </m:sSub>
                <m:r>
                  <m:rPr>
                    <m:sty m:val="p"/>
                  </m:rPr>
                  <m:t>∈</m:t>
                </m:r>
                <m:sSub>
                  <m:e>
                    <m:r>
                      <m:t>R</m:t>
                    </m:r>
                  </m:e>
                  <m:sub>
                    <m:r>
                      <m:t>2</m:t>
                    </m:r>
                  </m:sub>
                </m:sSub>
                <m:d>
                  <m:dPr>
                    <m:begChr m:val="("/>
                    <m:sepChr m:val=""/>
                    <m:endChr m:val=")"/>
                    <m:grow/>
                  </m:dPr>
                  <m:e>
                    <m:r>
                      <m:t>j</m:t>
                    </m:r>
                    <m:r>
                      <m:rPr>
                        <m:sty m:val="p"/>
                      </m:rPr>
                      <m:t>,</m:t>
                    </m:r>
                    <m:r>
                      <m:t>s</m:t>
                    </m:r>
                  </m:e>
                </m:d>
              </m:sub>
              <m:sup>
                <m:r>
                  <m:t>​</m:t>
                </m:r>
              </m:sup>
              <m:e>
                <m:sSup>
                  <m:e>
                    <m:d>
                      <m:dPr>
                        <m:begChr m:val="("/>
                        <m:sepChr m:val=""/>
                        <m:endChr m:val=")"/>
                        <m:grow/>
                      </m:dPr>
                      <m:e>
                        <m:sSub>
                          <m:e>
                            <m:r>
                              <m:t>y</m:t>
                            </m:r>
                          </m:e>
                          <m:sub>
                            <m:r>
                              <m:t>n</m:t>
                            </m:r>
                          </m:sub>
                        </m:sSub>
                        <m:r>
                          <m:rPr>
                            <m:sty m:val="p"/>
                          </m:rPr>
                          <m:t>−</m:t>
                        </m:r>
                        <m:sSub>
                          <m:e>
                            <m:r>
                              <m:t>c</m:t>
                            </m:r>
                          </m:e>
                          <m:sub>
                            <m:r>
                              <m:t>2</m:t>
                            </m:r>
                          </m:sub>
                        </m:sSub>
                      </m:e>
                    </m:d>
                  </m:e>
                  <m:sup>
                    <m:r>
                      <m:t>2</m:t>
                    </m:r>
                  </m:sup>
                </m:sSup>
              </m:e>
            </m:nary>
          </m:e>
        </m:d>
      </m:oMath>
      <w:r>
        <w:tab/>
        <w:t>(2.25)</w:t>
      </w:r>
    </w:p>
    <w:p>
      <w:pPr>
        <w:keepLines w:val="0"/>
        <w:spacing w:after="120"/>
        <w:ind w:firstLine="567"/>
      </w:pPr>
      <w:r>
        <w:t xml:space="preserve">Cấu trúc này đem lại ba ưu điểm đối với dữ liệu bán lẻ. Thứ nhất, cây tự học quan hệ phi tuyến dạng bậc thang mà không cần giả định dạng hàm. Thứ hai, mỗi đường đi từ gốc đến lá là một chuỗi điều kiện trên nhiều biến, nên tương tác được học tự động; chẳng hạn, một nhánh tách theo family_code rồi theo onpromotion cho phép phản ứng với khuyến mãi khác nhau giữa các nhóm hàng. Thứ ba, phép tách chỉ phụ thuộc vào thứ tự giá trị, nên cây bất biến với các phép biến đổi đơn điệu của đặc trưng và không cần chuẩn hóa, khác với Ridge ở mục 2.6.2. Nhược điểm cốt lõi của cây đơn lẻ là phương sai cao: một thay đổi nhỏ trong dữ liệu huấn luyện có thể làm đổi phép tách gần gốc và kéo theo toàn bộ cấu trúc bên dưới.</w:t>
      </w:r>
    </w:p>
    <w:p>
      <w:pPr>
        <w:pStyle w:val="Heading3"/>
        <w:keepNext/>
      </w:pPr>
      <w:r>
        <w:t xml:space="preserve">2.7.2. Bagging, chọn ngẫu nhiên đặc trưng và cấu hình mặc định của scikit-learn</w:t>
      </w:r>
    </w:p>
    <w:p>
      <w:pPr>
        <w:keepLines w:val="0"/>
        <w:spacing w:after="120"/>
        <w:ind w:firstLine="567"/>
      </w:pPr>
      <w:r>
        <w:t xml:space="preserve">Breiman (2001) khắc phục nhược điểm trên bằng cách kết hợp nhiều cây được xây dựng từ các mẫu bootstrap của dữ liệu huấn luyện, đồng thời tại mỗi nút chỉ xét một tập con ngẫu nhiên các đặc trưng làm ứng viên tách. Gọi Θ(b) là nguồn ngẫu nhiên của cây thứ b; dự báo của rừng là trung bình của B cây như trong (2.26). Nếu mỗi cây có phương sai σ² và tương quan giữa hai cây bất kỳ là ρ, phương sai của trung bình B cây được phân tách như (2.27) (Hastie và cộng sự, 2009).</w:t>
      </w:r>
    </w:p>
    <w:p>
      <w:pPr>
        <w:tabs>
          <w:tab w:val="center" w:pos="4535"/>
          <w:tab w:val="right" w:pos="9071"/>
        </w:tabs>
        <w:spacing w:before="60" w:after="60"/>
        <w:ind w:firstLine="0"/>
      </w:pPr>
      <w:r>
        <w:tab/>
      </w:r>
      <m:oMath xmlns:a="http://schemas.openxmlformats.org/drawingml/2006/main" xmlns:pic="http://schemas.openxmlformats.org/drawingml/2006/picture">
        <m:sSub>
          <m:e>
            <m:acc>
              <m:accPr>
                <m:chr m:val="̂"/>
              </m:accPr>
              <m:e>
                <m:r>
                  <m:t>f</m:t>
                </m:r>
              </m:e>
            </m:acc>
          </m:e>
          <m:sub>
            <m:r>
              <m:rPr>
                <m:sty m:val="p"/>
              </m:rPr>
              <m:t>R</m:t>
            </m:r>
            <m:r>
              <m:rPr>
                <m:sty m:val="p"/>
              </m:rPr>
              <m:t>F</m:t>
            </m:r>
          </m:sub>
        </m:sSub>
        <m:d>
          <m:dPr>
            <m:begChr m:val="("/>
            <m:sepChr m:val=""/>
            <m:endChr m:val=")"/>
            <m:grow/>
          </m:dPr>
          <m:e>
            <m:r>
              <m:rPr>
                <m:sty m:val="b"/>
              </m:rPr>
              <m:t>x</m:t>
            </m:r>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t>T</m:t>
            </m:r>
          </m:e>
        </m:nary>
        <m:d>
          <m:dPr>
            <m:begChr m:val="("/>
            <m:sepChr m:val=""/>
            <m:endChr m:val=")"/>
            <m:grow/>
          </m:dPr>
          <m:e>
            <m:r>
              <m:rPr>
                <m:sty m:val="b"/>
              </m:rPr>
              <m:t>x</m:t>
            </m:r>
            <m:r>
              <m:rPr>
                <m:sty m:val="p"/>
              </m:rPr>
              <m:t>;</m:t>
            </m:r>
            <m:sSub>
              <m:e>
                <m:r>
                  <m:t>Θ</m:t>
                </m:r>
              </m:e>
              <m:sub>
                <m:r>
                  <m:t>b</m:t>
                </m:r>
              </m:sub>
            </m:sSub>
          </m:e>
        </m:d>
      </m:oMath>
      <w:r>
        <w:tab/>
        <w:t>(2.26)</w:t>
      </w:r>
    </w:p>
    <w:p>
      <w:pPr>
        <w:tabs>
          <w:tab w:val="center" w:pos="4535"/>
          <w:tab w:val="right" w:pos="9071"/>
        </w:tabs>
        <w:spacing w:before="60" w:after="60"/>
        <w:ind w:firstLine="0"/>
      </w:pPr>
      <w:r>
        <w:tab/>
      </w:r>
      <m:oMath xmlns:a="http://schemas.openxmlformats.org/drawingml/2006/main" xmlns:pic="http://schemas.openxmlformats.org/drawingml/2006/picture">
        <m:r>
          <m:rPr>
            <m:sty m:val="p"/>
          </m:rPr>
          <m:t>V</m:t>
        </m:r>
        <m:r>
          <m:rPr>
            <m:sty m:val="p"/>
          </m:rPr>
          <m:t>a</m:t>
        </m:r>
        <m:r>
          <m:rPr>
            <m:sty m:val="p"/>
          </m:rPr>
          <m:t>r</m:t>
        </m:r>
        <m:d>
          <m:dPr>
            <m:begChr m:val="["/>
            <m:sepChr m:val=""/>
            <m:endChr m:val="]"/>
            <m:grow/>
          </m:dPr>
          <m:e>
            <m:sSub>
              <m:e>
                <m:acc>
                  <m:accPr>
                    <m:chr m:val="̂"/>
                  </m:accPr>
                  <m:e>
                    <m:r>
                      <m:t>f</m:t>
                    </m:r>
                  </m:e>
                </m:acc>
              </m:e>
              <m:sub>
                <m:r>
                  <m:rPr>
                    <m:sty m:val="p"/>
                  </m:rPr>
                  <m:t>R</m:t>
                </m:r>
                <m:r>
                  <m:rPr>
                    <m:sty m:val="p"/>
                  </m:rPr>
                  <m:t>F</m:t>
                </m:r>
              </m:sub>
            </m:sSub>
            <m:d>
              <m:dPr>
                <m:begChr m:val="("/>
                <m:sepChr m:val=""/>
                <m:endChr m:val=")"/>
                <m:grow/>
              </m:dPr>
              <m:e>
                <m:r>
                  <m:rPr>
                    <m:sty m:val="b"/>
                  </m:rPr>
                  <m:t>x</m:t>
                </m:r>
              </m:e>
            </m:d>
          </m:e>
        </m:d>
        <m:r>
          <m:rPr>
            <m:sty m:val="p"/>
          </m:rPr>
          <m:t>=</m:t>
        </m:r>
        <m:r>
          <m:t>ρ</m:t>
        </m:r>
        <m:r>
          <m:t> </m:t>
        </m:r>
        <m:sSup>
          <m:e>
            <m:r>
              <m:t>σ</m:t>
            </m:r>
          </m:e>
          <m:sup>
            <m:r>
              <m:t>2</m:t>
            </m:r>
          </m:sup>
        </m:sSup>
        <m:r>
          <m:rPr>
            <m:sty m:val="p"/>
          </m:rPr>
          <m:t>+</m:t>
        </m:r>
        <m:f>
          <m:fPr>
            <m:type m:val="bar"/>
          </m:fPr>
          <m:num>
            <m:r>
              <m:t>1</m:t>
            </m:r>
            <m:r>
              <m:rPr>
                <m:sty m:val="p"/>
              </m:rPr>
              <m:t>−</m:t>
            </m:r>
            <m:r>
              <m:t>ρ</m:t>
            </m:r>
          </m:num>
          <m:den>
            <m:r>
              <m:t>B</m:t>
            </m:r>
          </m:den>
        </m:f>
        <m:r>
          <m:t> </m:t>
        </m:r>
        <m:sSup>
          <m:e>
            <m:r>
              <m:t>σ</m:t>
            </m:r>
          </m:e>
          <m:sup>
            <m:r>
              <m:t>2</m:t>
            </m:r>
          </m:sup>
        </m:sSup>
      </m:oMath>
      <w:r>
        <w:tab/>
        <w:t>(2.27)</w:t>
      </w:r>
    </w:p>
    <w:p>
      <w:pPr>
        <w:keepLines w:val="0"/>
        <w:spacing w:after="120"/>
        <w:ind w:firstLine="567"/>
      </w:pPr>
      <w:r>
        <w:t xml:space="preserve">Theo (2.27), tăng số cây chỉ làm giảm số hạng thứ hai; số hạng thứ nhất chỉ giảm khi các cây ít tương quan hơn. Bootstrap tạo ra khác biệt giữa các cây, còn chọn ngẫu nhiên đặc trưng tại mỗi nút, trong thiết kế gốc của Breiman, giảm tương quan mạnh hơn vì ngăn các biến chi phối luôn xuất hiện gần gốc. Cây sâu có độ chệch thấp nhưng phương sai cao; lấy trung bình giữ xấp xỉ độ chệch và giảm phương sai. Vì dự báo của rừng là trung bình của các giá trị mục tiêu đã quan sát trong lá, mô hình không ngoại suy ra ngoài miền giá trị của dữ liệu huấn luyện.</w:t>
      </w:r>
    </w:p>
    <w:p>
      <w:pPr>
        <w:keepLines w:val="0"/>
        <w:spacing w:after="120"/>
        <w:ind w:firstLine="567"/>
      </w:pPr>
      <w:r>
        <w:t xml:space="preserve">Cần phân biệt thiết kế gốc với cấu hình thực tế. Mã nguồn không đặt max_features, nên số đặc trưng xét tại mỗi nút lấy theo mặc định của RandomForestRegressor; ở scikit-learn 1.8.0 của môi trường lần chạy chính thức, mặc định này cho hồi quy là max_features = 1,0, tức toàn bộ đặc trưng được xét ở mọi nút. Mô hình trong luận văn vì vậy về thực chất là bagging cây hồi quy trên mẫu bootstrap, và nguồn giảm tương quan duy nhất trong (2.27) là khác biệt giữa các mẫu bootstrap. Đặt max_features nhỏ hơn có thể giảm ρ và là một hướng tinh chỉnh tự nhiên, chưa được đánh giá trong luận văn.</w:t>
      </w:r>
    </w:p>
    <w:p>
      <w:pPr>
        <w:pStyle w:val="Heading3"/>
        <w:keepNext/>
      </w:pPr>
      <w:r>
        <w:t xml:space="preserve">2.7.3. Cấu hình, kiểm soát độ phức tạp và giới hạn mẫu huấn luyện</w:t>
      </w:r>
    </w:p>
    <w:p>
      <w:pPr>
        <w:keepLines w:val="0"/>
        <w:spacing w:after="120"/>
        <w:ind w:firstLine="567"/>
      </w:pPr>
      <w:r>
        <w:t xml:space="preserve">Trong luận văn, Random Forest sử dụng n_estimators = 120 cây, max_depth = 18 và min_samples_leaf = 3, với random_state = SEED = 42 để bảo đảm khả năng tái lập. Độ sâu 18 cho phép tối đa 2¹⁸ lá trên lý thuyết, còn ràng buộc mỗi lá có ít nhất ba quan sát ngăn cây ghi nhớ từng dòng riêng lẻ, một cơ chế điều chuẩn nhẹ bổ sung cho phép lấy trung bình. Số cây 120 quyết định mức giảm số hạng thứ hai trong (2.27); khi B đã đủ lớn, thêm cây chủ yếu làm tăng chi phí tính toán.</w:t>
      </w:r>
    </w:p>
    <w:p>
      <w:pPr>
        <w:keepLines w:val="0"/>
        <w:spacing w:after="120"/>
        <w:ind w:firstLine="567"/>
      </w:pPr>
      <w:r>
        <w:t xml:space="preserve">Chi phí của Random Forest tăng nhanh theo số dòng và độ sâu, vì mỗi cây phải tìm điểm tách trên mọi đặc trưng ở mọi nút. Vì vậy, thiết kế của nghiên cứu chỉ giới hạn dữ liệu huấn luyện ở một mô hình duy nhất trong năm mô hình: khi tập huấn luyện vượt 600.000 dòng, điều luôn xảy ra trong luận văn, Random Forest được huấn luyện trên một mẫu ngẫu nhiên 600.000 dòng với random_state = 42, và số dòng thực dùng được ghi vào cột train_rows; đánh giá vẫn thực hiện trên toàn bộ cửa sổ kiểm định và tập kiểm tra cuối. Ngay cả với giới hạn này, thời gian huấn luyện trung bình là 612,65 giây mỗi lần kiểm định, lớn hơn nhiều so với XGBoost (65,34 giây) và LightGBM (43,02 giây) dù hai mô hình này dùng toàn bộ dữ liệu. Vì chỉ dùng khoảng một phần tư số dòng, hiệu năng quan sát được của Random Forest (thứ ba theo WAPE ở cả ba lần kiểm định) lẫn cả khác biệt thuật toán và khác biệt lượng dữ liệu, không phải năng lực tối đa của thuật toán.</w:t>
      </w:r>
    </w:p>
    <w:p>
      <w:pPr>
        <w:pStyle w:val="Heading2"/>
        <w:keepNext/>
      </w:pPr>
      <w:r>
        <w:t xml:space="preserve">2.8. XGBoost</w:t>
      </w:r>
    </w:p>
    <w:p>
      <w:pPr>
        <w:pStyle w:val="Heading3"/>
        <w:keepNext/>
      </w:pPr>
      <w:r>
        <w:t xml:space="preserve">2.8.1. Nguyên lý tăng cường độ dốc</w:t>
      </w:r>
    </w:p>
    <w:p>
      <w:pPr>
        <w:keepLines w:val="0"/>
        <w:spacing w:after="120"/>
        <w:ind w:firstLine="567"/>
      </w:pPr>
      <w:r>
        <w:t xml:space="preserve">XGBoost là thuật toán tăng cường độ dốc trên cây (gradient tree boosting) có điều chuẩn và được tối ưu hóa ở cấp hệ thống cho dữ liệu lớn (Chen và Guestrin, 2016). Nền tảng lý thuyết của nó là khung tăng cường độ dốc của Friedman (2001), trong đó mô hình được xem như một hàm được xây dựng dần trong không gian hàm bằng cách cộng thêm các hàm cơ sở. Xuất phát từ một giá trị khởi tạo, tại vòng m mô hình bổ sung một cây mới f(m) với hệ số co η (tốc độ học), như trong (2.28). Cây f(m) được khớp theo hướng giảm nhanh nhất của hàm mất mát L, tức theo giả phần dư (pseudo-residual) là âm của đạo hàm bậc nhất tại dự báo hiện hành, như trong (2.29).</w:t>
      </w:r>
    </w:p>
    <w:p>
      <w:pPr>
        <w:tabs>
          <w:tab w:val="center" w:pos="4535"/>
          <w:tab w:val="right" w:pos="9071"/>
        </w:tabs>
        <w:spacing w:before="60" w:after="60"/>
        <w:ind w:firstLine="0"/>
      </w:pPr>
      <w:r>
        <w:tab/>
      </w:r>
      <m:oMath xmlns:a="http://schemas.openxmlformats.org/drawingml/2006/main" xmlns:pic="http://schemas.openxmlformats.org/drawingml/2006/picture">
        <m:sSubSup>
          <m:e>
            <m:acc>
              <m:accPr>
                <m:chr m:val="̂"/>
              </m:accPr>
              <m:e>
                <m:r>
                  <m:t>y</m:t>
                </m:r>
              </m:e>
            </m:acc>
          </m:e>
          <m:sub>
            <m:r>
              <m:t>n</m:t>
            </m:r>
          </m:sub>
          <m:sup>
            <m:d>
              <m:dPr>
                <m:begChr m:val="("/>
                <m:sepChr m:val=""/>
                <m:endChr m:val=")"/>
                <m:grow/>
              </m:dPr>
              <m:e>
                <m:r>
                  <m:t>m</m:t>
                </m:r>
              </m:e>
            </m:d>
          </m:sup>
        </m:sSubSup>
        <m:r>
          <m:rPr>
            <m:sty m:val="p"/>
          </m:rPr>
          <m:t>=</m:t>
        </m:r>
        <m:sSubSup>
          <m:e>
            <m:acc>
              <m:accPr>
                <m:chr m:val="̂"/>
              </m:accPr>
              <m:e>
                <m:r>
                  <m:t>y</m:t>
                </m:r>
              </m:e>
            </m:acc>
          </m:e>
          <m:sub>
            <m:r>
              <m:t>n</m:t>
            </m:r>
          </m:sub>
          <m:sup>
            <m:d>
              <m:dPr>
                <m:begChr m:val="("/>
                <m:sepChr m:val=""/>
                <m:endChr m:val=")"/>
                <m:grow/>
              </m:dPr>
              <m:e>
                <m:r>
                  <m:t>m</m:t>
                </m:r>
                <m:r>
                  <m:rPr>
                    <m:sty m:val="p"/>
                  </m:rPr>
                  <m:t>−</m:t>
                </m:r>
                <m:r>
                  <m:t>1</m:t>
                </m:r>
              </m:e>
            </m:d>
          </m:sup>
        </m:sSubSup>
        <m:r>
          <m:rPr>
            <m:sty m:val="p"/>
          </m:rPr>
          <m:t>+</m:t>
        </m:r>
        <m:r>
          <m:t>η</m:t>
        </m:r>
        <m:r>
          <m:t> </m:t>
        </m:r>
        <m:sSub>
          <m:e>
            <m:r>
              <m:t>f</m:t>
            </m:r>
          </m:e>
          <m:sub>
            <m:r>
              <m:t>m</m:t>
            </m:r>
          </m:sub>
        </m:sSub>
        <m:d>
          <m:dPr>
            <m:begChr m:val="("/>
            <m:sepChr m:val=""/>
            <m:endChr m:val=")"/>
            <m:grow/>
          </m:dPr>
          <m:e>
            <m:sSub>
              <m:e>
                <m:r>
                  <m:rPr>
                    <m:sty m:val="b"/>
                  </m:rPr>
                  <m:t>x</m:t>
                </m:r>
              </m:e>
              <m:sub>
                <m:r>
                  <m:t>n</m:t>
                </m:r>
              </m:sub>
            </m:sSub>
          </m:e>
        </m:d>
        <m:r>
          <m:rPr>
            <m:sty m:val="p"/>
          </m:rPr>
          <m:t>,</m:t>
        </m:r>
        <m:r>
          <m:t>  </m:t>
        </m:r>
        <m:r>
          <m:t>m</m:t>
        </m:r>
        <m:r>
          <m:rPr>
            <m:sty m:val="p"/>
          </m:rPr>
          <m:t>=</m:t>
        </m:r>
        <m:r>
          <m:t>1</m:t>
        </m:r>
        <m:r>
          <m:rPr>
            <m:sty m:val="p"/>
          </m:rPr>
          <m:t>,</m:t>
        </m:r>
        <m:r>
          <m:rPr>
            <m:sty m:val="p"/>
          </m:rPr>
          <m:t>…</m:t>
        </m:r>
        <m:r>
          <m:rPr>
            <m:sty m:val="p"/>
          </m:rPr>
          <m:t>,</m:t>
        </m:r>
        <m:r>
          <m:t>M</m:t>
        </m:r>
      </m:oMath>
      <w:r>
        <w:tab/>
        <w:t>(2.28)</w:t>
      </w:r>
    </w:p>
    <w:p>
      <w:pPr>
        <w:tabs>
          <w:tab w:val="center" w:pos="4535"/>
          <w:tab w:val="right" w:pos="9071"/>
        </w:tabs>
        <w:spacing w:before="60" w:after="60"/>
        <w:ind w:firstLine="0"/>
      </w:pPr>
      <w:r>
        <w:tab/>
      </w:r>
      <m:oMath xmlns:a="http://schemas.openxmlformats.org/drawingml/2006/main" xmlns:pic="http://schemas.openxmlformats.org/drawingml/2006/picture">
        <m:sSub>
          <m:e>
            <m:r>
              <m:t>r</m:t>
            </m:r>
          </m:e>
          <m:sub>
            <m:r>
              <m:t>n</m:t>
            </m:r>
            <m:r>
              <m:t>m</m:t>
            </m:r>
          </m:sub>
        </m:sSub>
        <m:r>
          <m:rPr>
            <m:sty m:val="p"/>
          </m:rPr>
          <m:t>=</m:t>
        </m:r>
        <m:r>
          <m:rPr>
            <m:sty m:val="p"/>
          </m:rPr>
          <m:t>−</m:t>
        </m:r>
        <m:sSub>
          <m:e>
            <m:d>
              <m:dPr>
                <m:begChr m:val="["/>
                <m:sepChr m:val=""/>
                <m:endChr m:val="]"/>
                <m:grow/>
              </m:dPr>
              <m:e>
                <m:f>
                  <m:fPr>
                    <m:type m:val="bar"/>
                  </m:fPr>
                  <m:num>
                    <m:r>
                      <m:rPr>
                        <m:sty m:val="p"/>
                      </m:rPr>
                      <m:t>∂</m:t>
                    </m:r>
                    <m:r>
                      <m:t>L</m:t>
                    </m:r>
                    <m:d>
                      <m:dPr>
                        <m:begChr m:val="("/>
                        <m:sepChr m:val=""/>
                        <m:endChr m:val=")"/>
                        <m:grow/>
                      </m:dPr>
                      <m:e>
                        <m:sSub>
                          <m:e>
                            <m:r>
                              <m:t>y</m:t>
                            </m:r>
                          </m:e>
                          <m:sub>
                            <m:r>
                              <m:t>n</m:t>
                            </m:r>
                          </m:sub>
                        </m:sSub>
                        <m:r>
                          <m:rPr>
                            <m:sty m:val="p"/>
                          </m:rPr>
                          <m:t>,</m:t>
                        </m:r>
                        <m:r>
                          <m:t>F</m:t>
                        </m:r>
                        <m:d>
                          <m:dPr>
                            <m:begChr m:val="("/>
                            <m:sepChr m:val=""/>
                            <m:endChr m:val=")"/>
                            <m:grow/>
                          </m:dPr>
                          <m:e>
                            <m:sSub>
                              <m:e>
                                <m:r>
                                  <m:rPr>
                                    <m:sty m:val="b"/>
                                  </m:rPr>
                                  <m:t>x</m:t>
                                </m:r>
                              </m:e>
                              <m:sub>
                                <m:r>
                                  <m:t>n</m:t>
                                </m:r>
                              </m:sub>
                            </m:sSub>
                          </m:e>
                        </m:d>
                      </m:e>
                    </m:d>
                  </m:num>
                  <m:den>
                    <m:r>
                      <m:rPr>
                        <m:sty m:val="p"/>
                      </m:rPr>
                      <m:t>∂</m:t>
                    </m:r>
                    <m:r>
                      <m:t>F</m:t>
                    </m:r>
                    <m:d>
                      <m:dPr>
                        <m:begChr m:val="("/>
                        <m:sepChr m:val=""/>
                        <m:endChr m:val=")"/>
                        <m:grow/>
                      </m:dPr>
                      <m:e>
                        <m:sSub>
                          <m:e>
                            <m:r>
                              <m:rPr>
                                <m:sty m:val="b"/>
                              </m:rPr>
                              <m:t>x</m:t>
                            </m:r>
                          </m:e>
                          <m:sub>
                            <m:r>
                              <m:t>n</m:t>
                            </m:r>
                          </m:sub>
                        </m:sSub>
                      </m:e>
                    </m:d>
                  </m:den>
                </m:f>
              </m:e>
            </m:d>
          </m:e>
          <m:sub>
            <m:r>
              <m:t>F</m:t>
            </m:r>
            <m:r>
              <m:rPr>
                <m:sty m:val="p"/>
              </m:rPr>
              <m:t>=</m:t>
            </m:r>
            <m:sSub>
              <m:e>
                <m:r>
                  <m:t>F</m:t>
                </m:r>
              </m:e>
              <m:sub>
                <m:r>
                  <m:t>m</m:t>
                </m:r>
                <m:r>
                  <m:rPr>
                    <m:sty m:val="p"/>
                  </m:rPr>
                  <m:t>−</m:t>
                </m:r>
                <m:r>
                  <m:t>1</m:t>
                </m:r>
              </m:sub>
            </m:sSub>
          </m:sub>
        </m:sSub>
      </m:oMath>
      <w:r>
        <w:tab/>
        <w:t>(2.29)</w:t>
      </w:r>
    </w:p>
    <w:p>
      <w:pPr>
        <w:keepLines w:val="0"/>
        <w:spacing w:after="120"/>
        <w:ind w:firstLine="567"/>
      </w:pPr>
      <w:r>
        <w:t xml:space="preserve">Với hàm mất mát bình phương L = ½(y − F)², giả phần dư trùng với phần dư thông thường y − F, nên mỗi cây mới học phần sai số mà tổ hợp các cây trước chưa giải thích. Khác với Random Forest, các cây ở đây phụ thuộc tuần tự; mỗi cây thường nông hơn và có độ chệch cao khi đứng riêng, nhưng tổng của nhiều cây giảm dần độ chệch của mô hình. Hệ số η nhỏ làm mỗi bước thận trọng hơn và thường cải thiện khả năng khái quát hóa, đổi lại cần nhiều cây hơn; kết hợp giữa η và số cây M vì vậy là cơ chế điều chuẩn chính của boosting (Friedman, 2001; Hastie và cộng sự, 2009), bên cạnh lấy mẫu con ngẫu nhiên các dòng ở mỗi vòng.</w:t>
      </w:r>
    </w:p>
    <w:p>
      <w:pPr>
        <w:pStyle w:val="Heading3"/>
        <w:keepNext/>
      </w:pPr>
      <w:r>
        <w:t xml:space="preserve">2.8.2. Hàm mục tiêu có điều chuẩn và xấp xỉ bậc hai</w:t>
      </w:r>
    </w:p>
    <w:p>
      <w:pPr>
        <w:keepLines w:val="0"/>
        <w:spacing w:after="120"/>
        <w:ind w:firstLine="567"/>
      </w:pPr>
      <w:r>
        <w:t xml:space="preserve">Điểm khác biệt về mặt thống kê của XGBoost là hàm mục tiêu được điều chuẩn trực tiếp theo độ phức tạp của từng cây. Với J là số lá và w(j) là trọng số của lá j, hàm mục tiêu gồm tổng mất mát và thành phần phạt Ω, với γ phạt theo số lá và λ phạt theo bình phương trọng số lá, như trong (2.30) (Chen và Guestrin, 2016). Khi thêm cây thứ m, XGBoost xấp xỉ hàm mất mát bằng khai triển Taylor bậc hai quanh dự báo hiện hành, với g(n) và h(n) là đạo hàm bậc nhất và bậc hai của l, như trong (2.31).</w:t>
      </w:r>
    </w:p>
    <w:p>
      <w:pPr>
        <w:tabs>
          <w:tab w:val="center" w:pos="4535"/>
          <w:tab w:val="right" w:pos="9071"/>
        </w:tabs>
        <w:spacing w:before="60" w:after="60"/>
        <w:ind w:firstLine="0"/>
      </w:pPr>
      <w:r>
        <w:tab/>
      </w:r>
      <m:oMath xmlns:a="http://schemas.openxmlformats.org/drawingml/2006/main" xmlns:pic="http://schemas.openxmlformats.org/drawingml/2006/picture">
        <m:r>
          <m:rPr>
            <m:scr m:val="script"/>
            <m:sty m:val="p"/>
          </m:rPr>
          <m:t>L</m:t>
        </m:r>
        <m:r>
          <m:rPr>
            <m:sty m:val="p"/>
          </m:rPr>
          <m:t>=</m:t>
        </m:r>
        <m:nary>
          <m:naryPr>
            <m:chr m:val="∑"/>
            <m:limLoc m:val="undOvr"/>
            <m:subHide m:val="off"/>
            <m:supHide m:val="off"/>
          </m:naryPr>
          <m:sub>
            <m:r>
              <m:t>n</m:t>
            </m:r>
            <m:r>
              <m:rPr>
                <m:sty m:val="p"/>
              </m:rPr>
              <m:t>=</m:t>
            </m:r>
            <m:r>
              <m:t>1</m:t>
            </m:r>
          </m:sub>
          <m:sup>
            <m:r>
              <m:t>N</m:t>
            </m:r>
          </m:sup>
          <m:e>
            <m:r>
              <m:t>l</m:t>
            </m:r>
          </m:e>
        </m:nary>
        <m:d>
          <m:dPr>
            <m:begChr m:val="("/>
            <m:sepChr m:val=""/>
            <m:endChr m:val=")"/>
            <m:grow/>
          </m:dPr>
          <m:e>
            <m:sSub>
              <m:e>
                <m:r>
                  <m:t>y</m:t>
                </m:r>
              </m:e>
              <m:sub>
                <m:r>
                  <m:t>n</m:t>
                </m:r>
              </m:sub>
            </m:sSub>
            <m:r>
              <m:rPr>
                <m:sty m:val="p"/>
              </m:rPr>
              <m:t>,</m:t>
            </m:r>
            <m:sSub>
              <m:e>
                <m:acc>
                  <m:accPr>
                    <m:chr m:val="̂"/>
                  </m:accPr>
                  <m:e>
                    <m:r>
                      <m:t>y</m:t>
                    </m:r>
                  </m:e>
                </m:acc>
              </m:e>
              <m:sub>
                <m:r>
                  <m:t>n</m:t>
                </m:r>
              </m:sub>
            </m:sSub>
          </m:e>
        </m:d>
        <m:r>
          <m:rPr>
            <m:sty m:val="p"/>
          </m:rPr>
          <m:t>+</m:t>
        </m:r>
        <m:nary>
          <m:naryPr>
            <m:chr m:val="∑"/>
            <m:limLoc m:val="undOvr"/>
            <m:subHide m:val="off"/>
            <m:supHide m:val="off"/>
          </m:naryPr>
          <m:sub>
            <m:r>
              <m:t>m</m:t>
            </m:r>
            <m:r>
              <m:rPr>
                <m:sty m:val="p"/>
              </m:rPr>
              <m:t>=</m:t>
            </m:r>
            <m:r>
              <m:t>1</m:t>
            </m:r>
          </m:sub>
          <m:sup>
            <m:r>
              <m:t>M</m:t>
            </m:r>
          </m:sup>
          <m:e>
            <m:r>
              <m:t>Ω</m:t>
            </m:r>
          </m:e>
        </m:nary>
        <m:d>
          <m:dPr>
            <m:begChr m:val="("/>
            <m:sepChr m:val=""/>
            <m:endChr m:val=")"/>
            <m:grow/>
          </m:dPr>
          <m:e>
            <m:sSub>
              <m:e>
                <m:r>
                  <m:t>f</m:t>
                </m:r>
              </m:e>
              <m:sub>
                <m:r>
                  <m:t>m</m:t>
                </m:r>
              </m:sub>
            </m:sSub>
          </m:e>
        </m:d>
        <m:r>
          <m:rPr>
            <m:sty m:val="p"/>
          </m:rPr>
          <m:t>,</m:t>
        </m:r>
        <m:r>
          <m:t>  </m:t>
        </m:r>
        <m:r>
          <m:t>Ω</m:t>
        </m:r>
        <m:d>
          <m:dPr>
            <m:begChr m:val="("/>
            <m:sepChr m:val=""/>
            <m:endChr m:val=")"/>
            <m:grow/>
          </m:dPr>
          <m:e>
            <m:r>
              <m:t>f</m:t>
            </m:r>
          </m:e>
        </m:d>
        <m:r>
          <m:rPr>
            <m:sty m:val="p"/>
          </m:rPr>
          <m:t>=</m:t>
        </m:r>
        <m:r>
          <m:t>γ</m:t>
        </m:r>
        <m:r>
          <m:t>J</m:t>
        </m:r>
        <m:r>
          <m:rPr>
            <m:sty m:val="p"/>
          </m:rPr>
          <m:t>+</m:t>
        </m:r>
        <m:f>
          <m:fPr>
            <m:type m:val="bar"/>
          </m:fPr>
          <m:num>
            <m:r>
              <m:t>1</m:t>
            </m:r>
          </m:num>
          <m:den>
            <m:r>
              <m:t>2</m:t>
            </m:r>
          </m:den>
        </m:f>
        <m:r>
          <m:t>λ</m:t>
        </m:r>
        <m:nary>
          <m:naryPr>
            <m:chr m:val="∑"/>
            <m:limLoc m:val="undOvr"/>
            <m:subHide m:val="off"/>
            <m:supHide m:val="off"/>
          </m:naryPr>
          <m:sub>
            <m:r>
              <m:t>j</m:t>
            </m:r>
            <m:r>
              <m:rPr>
                <m:sty m:val="p"/>
              </m:rPr>
              <m:t>=</m:t>
            </m:r>
            <m:r>
              <m:t>1</m:t>
            </m:r>
          </m:sub>
          <m:sup>
            <m:r>
              <m:t>J</m:t>
            </m:r>
          </m:sup>
          <m:e>
            <m:sSubSup>
              <m:e>
                <m:r>
                  <m:t>w</m:t>
                </m:r>
              </m:e>
              <m:sub>
                <m:r>
                  <m:t>j</m:t>
                </m:r>
              </m:sub>
              <m:sup>
                <m:r>
                  <m:t>2</m:t>
                </m:r>
              </m:sup>
            </m:sSubSup>
          </m:e>
        </m:nary>
      </m:oMath>
      <w:r>
        <w:tab/>
        <w:t>(2.30)</w:t>
      </w:r>
    </w:p>
    <w:p>
      <w:pPr>
        <w:tabs>
          <w:tab w:val="center" w:pos="4535"/>
          <w:tab w:val="right" w:pos="9071"/>
        </w:tabs>
        <w:spacing w:before="60" w:after="60"/>
        <w:ind w:firstLine="0"/>
      </w:pPr>
      <w:r>
        <w:tab/>
      </w:r>
      <m:oMath xmlns:a="http://schemas.openxmlformats.org/drawingml/2006/main" xmlns:pic="http://schemas.openxmlformats.org/drawingml/2006/picture">
        <m:sSup>
          <m:e>
            <m:acc>
              <m:accPr>
                <m:chr m:val="̃"/>
              </m:accPr>
              <m:e>
                <m:r>
                  <m:rPr>
                    <m:scr m:val="script"/>
                    <m:sty m:val="p"/>
                  </m:rPr>
                  <m:t>L</m:t>
                </m:r>
              </m:e>
            </m:acc>
          </m:e>
          <m:sup>
            <m:d>
              <m:dPr>
                <m:begChr m:val="("/>
                <m:sepChr m:val=""/>
                <m:endChr m:val=")"/>
                <m:grow/>
              </m:dPr>
              <m:e>
                <m:r>
                  <m:t>m</m:t>
                </m:r>
              </m:e>
            </m:d>
          </m:sup>
        </m:sSup>
        <m:r>
          <m:rPr>
            <m:sty m:val="p"/>
          </m:rPr>
          <m:t>=</m:t>
        </m:r>
        <m:nary>
          <m:naryPr>
            <m:chr m:val="∑"/>
            <m:limLoc m:val="undOvr"/>
            <m:subHide m:val="off"/>
            <m:supHide m:val="off"/>
          </m:naryPr>
          <m:sub>
            <m:r>
              <m:t>n</m:t>
            </m:r>
            <m:r>
              <m:rPr>
                <m:sty m:val="p"/>
              </m:rPr>
              <m:t>=</m:t>
            </m:r>
            <m:r>
              <m:t>1</m:t>
            </m:r>
          </m:sub>
          <m:sup>
            <m:r>
              <m:t>N</m:t>
            </m:r>
          </m:sup>
          <m:e>
            <m:d>
              <m:dPr>
                <m:begChr m:val="["/>
                <m:sepChr m:val=""/>
                <m:endChr m:val="]"/>
                <m:grow/>
              </m:dPr>
              <m:e>
                <m:sSub>
                  <m:e>
                    <m:r>
                      <m:t>g</m:t>
                    </m:r>
                  </m:e>
                  <m:sub>
                    <m:r>
                      <m:t>n</m:t>
                    </m:r>
                  </m:sub>
                </m:sSub>
                <m:sSub>
                  <m:e>
                    <m:r>
                      <m:t>f</m:t>
                    </m:r>
                  </m:e>
                  <m:sub>
                    <m:r>
                      <m:t>m</m:t>
                    </m:r>
                  </m:sub>
                </m:sSub>
                <m:d>
                  <m:dPr>
                    <m:begChr m:val="("/>
                    <m:sepChr m:val=""/>
                    <m:endChr m:val=")"/>
                    <m:grow/>
                  </m:dPr>
                  <m:e>
                    <m:sSub>
                      <m:e>
                        <m:r>
                          <m:rPr>
                            <m:sty m:val="b"/>
                          </m:rPr>
                          <m:t>x</m:t>
                        </m:r>
                      </m:e>
                      <m:sub>
                        <m:r>
                          <m:t>n</m:t>
                        </m:r>
                      </m:sub>
                    </m:sSub>
                  </m:e>
                </m:d>
                <m:r>
                  <m:rPr>
                    <m:sty m:val="p"/>
                  </m:rPr>
                  <m:t>+</m:t>
                </m:r>
                <m:f>
                  <m:fPr>
                    <m:type m:val="bar"/>
                  </m:fPr>
                  <m:num>
                    <m:r>
                      <m:t>1</m:t>
                    </m:r>
                  </m:num>
                  <m:den>
                    <m:r>
                      <m:t>2</m:t>
                    </m:r>
                  </m:den>
                </m:f>
                <m:sSub>
                  <m:e>
                    <m:r>
                      <m:t>h</m:t>
                    </m:r>
                  </m:e>
                  <m:sub>
                    <m:r>
                      <m:t>n</m:t>
                    </m:r>
                  </m:sub>
                </m:sSub>
                <m:sSubSup>
                  <m:e>
                    <m:r>
                      <m:t>f</m:t>
                    </m:r>
                  </m:e>
                  <m:sub>
                    <m:r>
                      <m:t>m</m:t>
                    </m:r>
                  </m:sub>
                  <m:sup>
                    <m:r>
                      <m:t>2</m:t>
                    </m:r>
                  </m:sup>
                </m:sSubSup>
                <m:d>
                  <m:dPr>
                    <m:begChr m:val="("/>
                    <m:sepChr m:val=""/>
                    <m:endChr m:val=")"/>
                    <m:grow/>
                  </m:dPr>
                  <m:e>
                    <m:sSub>
                      <m:e>
                        <m:r>
                          <m:rPr>
                            <m:sty m:val="b"/>
                          </m:rPr>
                          <m:t>x</m:t>
                        </m:r>
                      </m:e>
                      <m:sub>
                        <m:r>
                          <m:t>n</m:t>
                        </m:r>
                      </m:sub>
                    </m:sSub>
                  </m:e>
                </m:d>
              </m:e>
            </m:d>
          </m:e>
        </m:nary>
        <m:r>
          <m:rPr>
            <m:sty m:val="p"/>
          </m:rPr>
          <m:t>+</m:t>
        </m:r>
        <m:r>
          <m:t>Ω</m:t>
        </m:r>
        <m:d>
          <m:dPr>
            <m:begChr m:val="("/>
            <m:sepChr m:val=""/>
            <m:endChr m:val=")"/>
            <m:grow/>
          </m:dPr>
          <m:e>
            <m:sSub>
              <m:e>
                <m:r>
                  <m:t>f</m:t>
                </m:r>
              </m:e>
              <m:sub>
                <m:r>
                  <m:t>m</m:t>
                </m:r>
              </m:sub>
            </m:sSub>
          </m:e>
        </m:d>
      </m:oMath>
      <w:r>
        <w:tab/>
        <w:t>(2.31)</w:t>
      </w:r>
    </w:p>
    <w:p>
      <w:pPr>
        <w:keepLines w:val="0"/>
        <w:spacing w:after="120"/>
        <w:ind w:firstLine="567"/>
      </w:pPr>
      <w:r>
        <w:t xml:space="preserve">Gọi G(j) và H(j) là tổng g(n) và h(n) trên các quan sát thuộc lá j. Cực tiểu hóa (2.31) cho trọng số tối ưu của lá và độ lợi (gain) của một phép tách thành nút trái L và nút phải R, như trong (2.32). Với mục tiêu reg:squarederror được dùng trong luận văn, g(n) = ŷ(n) − y(n) và h(n) = 1, nên H(j) là số quan sát trong lá và mỗi lá dự báo trung bình phần dư đã được co về 0, mức co càng mạnh khi lá càng ít quan sát.</w:t>
      </w:r>
    </w:p>
    <w:p>
      <w:pPr>
        <w:tabs>
          <w:tab w:val="center" w:pos="4535"/>
          <w:tab w:val="right" w:pos="9071"/>
        </w:tabs>
        <w:spacing w:before="60" w:after="60"/>
        <w:ind w:firstLine="0"/>
      </w:pPr>
      <w:r>
        <w:tab/>
      </w:r>
      <m:oMath xmlns:a="http://schemas.openxmlformats.org/drawingml/2006/main" xmlns:pic="http://schemas.openxmlformats.org/drawingml/2006/picture">
        <m:sSubSup>
          <m:e>
            <m:r>
              <m:t>w</m:t>
            </m:r>
          </m:e>
          <m:sub>
            <m:r>
              <m:t>j</m:t>
            </m:r>
          </m:sub>
          <m:sup>
            <m:r>
              <m:rPr>
                <m:sty m:val="p"/>
              </m:rPr>
              <m:t>*</m:t>
            </m:r>
          </m:sup>
        </m:sSubSup>
        <m:r>
          <m:rPr>
            <m:sty m:val="p"/>
          </m:rPr>
          <m:t>=</m:t>
        </m:r>
        <m:r>
          <m:rPr>
            <m:sty m:val="p"/>
          </m:rPr>
          <m:t>−</m:t>
        </m:r>
        <m:f>
          <m:fPr>
            <m:type m:val="bar"/>
          </m:fPr>
          <m:num>
            <m:sSub>
              <m:e>
                <m:r>
                  <m:t>G</m:t>
                </m:r>
              </m:e>
              <m:sub>
                <m:r>
                  <m:t>j</m:t>
                </m:r>
              </m:sub>
            </m:sSub>
          </m:num>
          <m:den>
            <m:sSub>
              <m:e>
                <m:r>
                  <m:t>H</m:t>
                </m:r>
              </m:e>
              <m:sub>
                <m:r>
                  <m:t>j</m:t>
                </m:r>
              </m:sub>
            </m:sSub>
            <m:r>
              <m:rPr>
                <m:sty m:val="p"/>
              </m:rPr>
              <m:t>+</m:t>
            </m:r>
            <m:r>
              <m:t>λ</m:t>
            </m:r>
          </m:den>
        </m:f>
        <m:r>
          <m:rPr>
            <m:sty m:val="p"/>
          </m:rPr>
          <m:t>,</m:t>
        </m:r>
        <m:r>
          <m:t>  </m:t>
        </m:r>
        <m:r>
          <m:rPr>
            <m:sty m:val="p"/>
          </m:rPr>
          <m:t>G</m:t>
        </m:r>
        <m:r>
          <m:rPr>
            <m:sty m:val="p"/>
          </m:rPr>
          <m:t>a</m:t>
        </m:r>
        <m:r>
          <m:rPr>
            <m:sty m:val="p"/>
          </m:rPr>
          <m:t>i</m:t>
        </m:r>
        <m:r>
          <m:rPr>
            <m:sty m:val="p"/>
          </m:rPr>
          <m:t>n</m:t>
        </m:r>
        <m:r>
          <m:rPr>
            <m:sty m:val="p"/>
          </m:rPr>
          <m:t>=</m:t>
        </m:r>
        <m:f>
          <m:fPr>
            <m:type m:val="bar"/>
          </m:fPr>
          <m:num>
            <m:r>
              <m:t>1</m:t>
            </m:r>
          </m:num>
          <m:den>
            <m:r>
              <m:t>2</m:t>
            </m:r>
          </m:den>
        </m:f>
        <m:d>
          <m:dPr>
            <m:begChr m:val="["/>
            <m:sepChr m:val=""/>
            <m:endChr m:val="]"/>
            <m:grow/>
          </m:dPr>
          <m:e>
            <m:f>
              <m:fPr>
                <m:type m:val="bar"/>
              </m:fPr>
              <m:num>
                <m:sSubSup>
                  <m:e>
                    <m:r>
                      <m:t>G</m:t>
                    </m:r>
                  </m:e>
                  <m:sub>
                    <m:r>
                      <m:t>L</m:t>
                    </m:r>
                  </m:sub>
                  <m:sup>
                    <m:r>
                      <m:t>2</m:t>
                    </m:r>
                  </m:sup>
                </m:sSubSup>
              </m:num>
              <m:den>
                <m:sSub>
                  <m:e>
                    <m:r>
                      <m:t>H</m:t>
                    </m:r>
                  </m:e>
                  <m:sub>
                    <m:r>
                      <m:t>L</m:t>
                    </m:r>
                  </m:sub>
                </m:sSub>
                <m:r>
                  <m:rPr>
                    <m:sty m:val="p"/>
                  </m:rPr>
                  <m:t>+</m:t>
                </m:r>
                <m:r>
                  <m:t>λ</m:t>
                </m:r>
              </m:den>
            </m:f>
            <m:r>
              <m:rPr>
                <m:sty m:val="p"/>
              </m:rPr>
              <m:t>+</m:t>
            </m:r>
            <m:f>
              <m:fPr>
                <m:type m:val="bar"/>
              </m:fPr>
              <m:num>
                <m:sSubSup>
                  <m:e>
                    <m:r>
                      <m:t>G</m:t>
                    </m:r>
                  </m:e>
                  <m:sub>
                    <m:r>
                      <m:t>R</m:t>
                    </m:r>
                  </m:sub>
                  <m:sup>
                    <m:r>
                      <m:t>2</m:t>
                    </m:r>
                  </m:sup>
                </m:sSubSup>
              </m:num>
              <m:den>
                <m:sSub>
                  <m:e>
                    <m:r>
                      <m:t>H</m:t>
                    </m:r>
                  </m:e>
                  <m:sub>
                    <m:r>
                      <m:t>R</m:t>
                    </m:r>
                  </m:sub>
                </m:sSub>
                <m:r>
                  <m:rPr>
                    <m:sty m:val="p"/>
                  </m:rPr>
                  <m:t>+</m:t>
                </m:r>
                <m:r>
                  <m:t>λ</m:t>
                </m:r>
              </m:den>
            </m:f>
            <m:r>
              <m:rPr>
                <m:sty m:val="p"/>
              </m:rPr>
              <m:t>−</m:t>
            </m:r>
            <m:f>
              <m:fPr>
                <m:type m:val="bar"/>
              </m:fPr>
              <m:num>
                <m:sSup>
                  <m:e>
                    <m:d>
                      <m:dPr>
                        <m:begChr m:val="("/>
                        <m:sepChr m:val=""/>
                        <m:endChr m:val=")"/>
                        <m:grow/>
                      </m:dPr>
                      <m:e>
                        <m:sSub>
                          <m:e>
                            <m:r>
                              <m:t>G</m:t>
                            </m:r>
                          </m:e>
                          <m:sub>
                            <m:r>
                              <m:t>L</m:t>
                            </m:r>
                          </m:sub>
                        </m:sSub>
                        <m:r>
                          <m:rPr>
                            <m:sty m:val="p"/>
                          </m:rPr>
                          <m:t>+</m:t>
                        </m:r>
                        <m:sSub>
                          <m:e>
                            <m:r>
                              <m:t>G</m:t>
                            </m:r>
                          </m:e>
                          <m:sub>
                            <m:r>
                              <m:t>R</m:t>
                            </m:r>
                          </m:sub>
                        </m:sSub>
                      </m:e>
                    </m:d>
                  </m:e>
                  <m:sup>
                    <m:r>
                      <m:t>2</m:t>
                    </m:r>
                  </m:sup>
                </m:sSup>
              </m:num>
              <m:den>
                <m:sSub>
                  <m:e>
                    <m:r>
                      <m:t>H</m:t>
                    </m:r>
                  </m:e>
                  <m:sub>
                    <m:r>
                      <m:t>L</m:t>
                    </m:r>
                  </m:sub>
                </m:sSub>
                <m:r>
                  <m:rPr>
                    <m:sty m:val="p"/>
                  </m:rPr>
                  <m:t>+</m:t>
                </m:r>
                <m:sSub>
                  <m:e>
                    <m:r>
                      <m:t>H</m:t>
                    </m:r>
                  </m:e>
                  <m:sub>
                    <m:r>
                      <m:t>R</m:t>
                    </m:r>
                  </m:sub>
                </m:sSub>
                <m:r>
                  <m:rPr>
                    <m:sty m:val="p"/>
                  </m:rPr>
                  <m:t>+</m:t>
                </m:r>
                <m:r>
                  <m:t>λ</m:t>
                </m:r>
              </m:den>
            </m:f>
          </m:e>
        </m:d>
        <m:r>
          <m:rPr>
            <m:sty m:val="p"/>
          </m:rPr>
          <m:t>−</m:t>
        </m:r>
        <m:r>
          <m:t>γ</m:t>
        </m:r>
      </m:oMath>
      <w:r>
        <w:tab/>
        <w:t>(2.32)</w:t>
      </w:r>
    </w:p>
    <w:p>
      <w:pPr>
        <w:keepLines w:val="0"/>
        <w:spacing w:after="120"/>
        <w:ind w:firstLine="567"/>
      </w:pPr>
      <w:r>
        <w:t xml:space="preserve">Công thức (2.32) cho thấy λ co trọng số lá về 0, còn γ đóng vai trò ngưỡng độ lợi tối thiểu: phép tách không bù được chi phí γ sẽ bị loại. Mã nguồn không đặt tường minh hai tham số này nên chúng nhận giá trị mặc định của thư viện. Độ lợi này cũng là cơ sở của importance theo gain mà luận văn dùng cho XGBoost; với importance_type = gain, XGBoost báo cáo độ lợi trung bình của các phép tách dùng đặc trưng đó, không phải tổng độ lợi. Ở cấp hệ thống, Chen và Guestrin (2016) bổ sung thuật toán tìm điểm tách nhận biết dữ liệu thưa (sparsity-aware) với hướng mặc định cho giá trị thiếu, và phác thảo phân vị có trọng số (weighted quantile sketch) để đề xuất ngưỡng ứng viên. Trong luận văn, năng lực xử lý giá trị thiếu không được khai thác, vì chỉ các dòng đủ mọi đặc trưng mới được đưa vào huấn luyện.</w:t>
      </w:r>
    </w:p>
    <w:p>
      <w:pPr>
        <w:pStyle w:val="Heading3"/>
        <w:keepNext/>
      </w:pPr>
      <w:r>
        <w:t xml:space="preserve">2.8.3. Cấu hình siêu tham số và liên hệ với lý thuyết</w:t>
      </w:r>
    </w:p>
    <w:p>
      <w:pPr>
        <w:keepLines w:val="0"/>
        <w:spacing w:after="120"/>
        <w:ind w:firstLine="567"/>
      </w:pPr>
      <w:r>
        <w:t xml:space="preserve">Nghiên cứu sử dụng XGBoost với n_estimators = 450, max_depth = 8, learning_rate = 0,05, subsample = 0,8, colsample_bytree = 0,8, objective = reg:squarederror và tree_method = hist được đặt tường minh trong mã nguồn, với random_state = 42. Số cây M = 450 và η = 0,05 trong (2.28) xác định một lộ trình học gồm nhiều bước nhỏ. Độ sâu 8 giới hạn mỗi cây ở tối đa 2⁸ lá và cho phép biểu diễn tương tác giữa tối đa tám điều kiện tách. Tỷ lệ subsample 0,8 nghĩa là mỗi cây dùng ngẫu nhiên 80% số dòng, còn colsample_bytree 0,8 giới hạn mỗi cây ở 80% số cột, cùng tinh thần giảm tương quan giữa các cây như ở (2.27). Việc đặt tường minh tree_method = hist, cách dựng cây theo histogram cùng họ với LightGBM, giúp cấu hình không phụ thuộc giá trị mặc định của phiên bản thư viện.</w:t>
      </w:r>
    </w:p>
    <w:p>
      <w:pPr>
        <w:keepLines w:val="0"/>
        <w:spacing w:after="120"/>
        <w:ind w:firstLine="567"/>
      </w:pPr>
      <w:r>
        <w:t xml:space="preserve">XGBoost được huấn luyện trên toàn bộ dữ liệu huấn luyện của mỗi lần, như LightGBM và Ridge (từ 2.575.452 dòng ở lần kiểm định thứ nhất đến 2.660.988 dòng ở tập kiểm tra cuối). Lý do phương pháp là để hai mô hình tăng cường, vốn là hai ứng viên chính, được so sánh trong cùng điều kiện dữ liệu: nếu một mô hình dùng mẫu con còn mô hình kia dùng toàn bộ dữ liệu, chênh lệch sai số sẽ lẫn giữa khác biệt thuật toán và khác biệt lượng dữ liệu. Thí nghiệm độ nhạy ở mục 4.15 kiểm tra lựa chọn này bằng cách chỉ thay đổi đúng một yếu tố: với cùng đặc trưng và cùng ba lần kiểm định, XGBoost huấn luyện trên mẫu 600.000 dòng có WAPE trung bình 12,258%, cao hơn 0,169 điểm % so với 12,089% của cấu hình chính thức, trong khi thời gian huấn luyện trung bình giảm từ 65,3 xuống 15,3 giây. Chênh lệch không đồng nhất giữa các lần (lần 2 mẫu con còn thấp hơn 0,053 điểm %), và với chỉ ba cửa sổ, kết quả được đọc như dấu hiệu định hướng chứ không phải bằng chứng thống kê.</w:t>
      </w:r>
    </w:p>
    <w:p>
      <w:pPr>
        <w:keepLines w:val="0"/>
        <w:spacing w:after="120"/>
        <w:ind w:firstLine="567"/>
      </w:pPr>
      <w:r>
        <w:t xml:space="preserve">Mục tiêu reg:squarederror có hệ quả quan trọng cho các phần sau: mô hình ước lượng kỳ vọng có điều kiện của doanh số chứ không phải trung vị hay phân vị. Với phân phối lệch phải, kỳ vọng và trung vị có thể khác nhau đáng kể, nên lớp dự báo xác suất ở mục 2.12 phải bổ sung cơ chế riêng để tạo P10/P50/P90. Trong thiết kế của nghiên cứu, P50 bằng dự báo điểm cộng phân vị 0,5 của phần dư trong nhóm tương ứng, nên hai đại lượng không trùng nhau: trên tập kiểm tra cuối, MAE của P50 là 66,855, còn MAE của dự báo điểm là 66,927.</w:t>
      </w:r>
    </w:p>
    <w:p>
      <w:pPr>
        <w:pStyle w:val="Heading3"/>
        <w:keepNext/>
      </w:pPr>
      <w:r>
        <w:t xml:space="preserve">2.8.4. Vị trí của XGBoost trong quy trình và căn cứ từ tài liệu</w:t>
      </w:r>
    </w:p>
    <w:p>
      <w:pPr>
        <w:keepLines w:val="0"/>
        <w:spacing w:after="120"/>
        <w:ind w:firstLine="567"/>
      </w:pPr>
      <w:r>
        <w:t xml:space="preserve">Lựa chọn cây tăng cường làm ứng viên chính có căn cứ trong tài liệu. Trong cuộc thi M5 trên dữ liệu bán lẻ phân cấp, các phương pháp dựa trên cây tăng cường và mô hình toàn cục chiếm ưu thế (Makridakis và cộng sự, 2022a); Januschowski và cộng sự (2022) phân tích lý do mô hình cây hiệu quả trong dự báo, còn Montero-Manso và Hyndman (2021) chỉ ra rằng mô hình toàn cục có thể hưởng lợi từ học chéo nhiều chuỗi. Trong luận văn, XGBoost là một mô hình toàn cục duy nhất cho 1.782 chuỗi, với store_code và family_code giúp cây phân biệt các chuỗi.</w:t>
      </w:r>
    </w:p>
    <w:p>
      <w:pPr>
        <w:keepLines w:val="0"/>
        <w:spacing w:after="120"/>
        <w:ind w:firstLine="567"/>
      </w:pPr>
      <w:r>
        <w:t xml:space="preserve">XGBoost không được chọn trước về mặt lý thuyết mà qua quy tắc đã khóa trước: WAPE trung bình của ba lần kiểm định chéo cuốn chiếu, phá thế hòa bằng RMSE rồi MAE, và tập kiểm tra cuối không dùng để chọn. Trong lần chạy chính thức, XGBoost đứng đầu theo WAPE và có RMSE thấp nhất ở cả ba lần kiểm định (WAPE trung bình 12,089%). Tuy vậy, khoảng cách với LightGBM chỉ là 0,478 điểm %, nhỏ hơn độ lệch chuẩn giữa các lần của chính XGBoost (0,646 điểm %), và ba lần kiểm định không đủ để kiểm định ý nghĩa thống kê; trên tập kiểm tra cuối, LightGBM còn có RMSE thấp hơn rất ít (225,479 so với 225,602).</w:t>
      </w:r>
    </w:p>
    <w:p>
      <w:pPr>
        <w:keepLines w:val="0"/>
        <w:spacing w:after="120"/>
        <w:ind w:firstLine="567"/>
      </w:pPr>
      <w:r>
        <w:t xml:space="preserve">Sau khi được chọn, XGBoost trở thành nền của các lớp phía sau. Lớp dự báo xác suất tạo P10/P50/P90 bằng khoảng phần dư split-conformal theo nhóm (Mondrian) quanh dự báo điểm của nó, với phần dư do một mô hình XGBoost cùng cấu hình và cùng quy tắc dữ liệu tính ra (Vovk và cộng sự, 2005; Lei và cộng sự, 2018). Lớp kịch bản khuyến mãi dùng XGBoost để tính P50 khi thay đổi onpromotion, còn lớp tồn kho và phiếu khuyến nghị dùng các phân vị này. Các tính chất như mục tiêu bình phương và khả năng ngoại suy hạn chế của cây vì vậy được các lớp này kế thừa và phản ứng của P50 với mức onpromotion vượt xa miền lịch sử của chuỗi là ngoại suy (783 chuỗi có |Δ| &gt; 100% ở kịch bản cao).</w:t>
      </w:r>
    </w:p>
    <w:p>
      <w:pPr>
        <w:pStyle w:val="Heading2"/>
        <w:keepNext/>
      </w:pPr>
      <w:r>
        <w:t xml:space="preserve">2.9. LightGBM</w:t>
      </w:r>
    </w:p>
    <w:p>
      <w:pPr>
        <w:pStyle w:val="Heading3"/>
        <w:keepNext/>
      </w:pPr>
      <w:r>
        <w:t xml:space="preserve">2.9.1. Tìm điểm tách dựa trên histogram và tăng trưởng cây theo lá</w:t>
      </w:r>
    </w:p>
    <w:p>
      <w:pPr>
        <w:keepLines w:val="0"/>
        <w:spacing w:after="120"/>
        <w:ind w:firstLine="567"/>
      </w:pPr>
      <w:r>
        <w:t xml:space="preserve">LightGBM là thuật toán tăng cường độ dốc trên cây được tối ưu hóa về hiệu quả tính toán (Ke và cộng sự, 2017). Về nguyên lý, mô hình vẫn tuân theo cơ chế cộng dồn ở (2.28); khác biệt nằm ở cách tìm điểm tách và cách phát triển cây. LightGBM rời rạc hóa đặc trưng liên tục thành các thùng (bin) và tích lũy thống kê độ dốc theo thùng, nên chi phí tìm điểm tách phụ thuộc vào số thùng thay vì số dòng. Độ lợi phương sai của ngưỡng d trên đặc trưng j tại một nút có n quan sát được định nghĩa như (2.33), với n(l), n(r) là số quan sát ở hai phía ngưỡng.</w:t>
      </w:r>
    </w:p>
    <w:p>
      <w:pPr>
        <w:tabs>
          <w:tab w:val="center" w:pos="4535"/>
          <w:tab w:val="right" w:pos="9071"/>
        </w:tabs>
        <w:spacing w:before="60" w:after="60"/>
        <w:ind w:firstLine="0"/>
      </w:pPr>
      <w:r>
        <w:tab/>
      </w:r>
      <m:oMath xmlns:a="http://schemas.openxmlformats.org/drawingml/2006/main" xmlns:pic="http://schemas.openxmlformats.org/drawingml/2006/picture">
        <m:sSub>
          <m:e>
            <m:r>
              <m:t>V</m:t>
            </m:r>
          </m:e>
          <m:sub>
            <m:r>
              <m:t>j</m:t>
            </m:r>
          </m:sub>
        </m:sSub>
        <m:d>
          <m:dPr>
            <m:begChr m:val="("/>
            <m:sepChr m:val=""/>
            <m:endChr m:val=")"/>
            <m:grow/>
          </m:dPr>
          <m:e>
            <m:r>
              <m:t>d</m:t>
            </m:r>
          </m:e>
        </m:d>
        <m:r>
          <m:rPr>
            <m:sty m:val="p"/>
          </m:rPr>
          <m:t>=</m:t>
        </m:r>
        <m:f>
          <m:fPr>
            <m:type m:val="bar"/>
          </m:fPr>
          <m:num>
            <m:r>
              <m:t>1</m:t>
            </m:r>
          </m:num>
          <m:den>
            <m:r>
              <m:t>n</m:t>
            </m:r>
          </m:den>
        </m:f>
        <m:d>
          <m:dPr>
            <m:begChr m:val="["/>
            <m:sepChr m:val=""/>
            <m:endChr m:val="]"/>
            <m:grow/>
          </m:dPr>
          <m:e>
            <m:f>
              <m:fPr>
                <m:type m:val="bar"/>
              </m:fPr>
              <m:num>
                <m:sSup>
                  <m:e>
                    <m:d>
                      <m:dPr>
                        <m:begChr m:val="("/>
                        <m:sepChr m:val=""/>
                        <m:endChr m:val=")"/>
                        <m:grow/>
                      </m:dPr>
                      <m:e>
                        <m:nary>
                          <m:naryPr>
                            <m:chr m:val="∑"/>
                            <m:limLoc m:val="undOvr"/>
                            <m:subHide m:val="off"/>
                            <m:supHide m:val="on"/>
                          </m:naryPr>
                          <m:sub>
                            <m:sSub>
                              <m:e>
                                <m:r>
                                  <m:t>x</m:t>
                                </m:r>
                              </m:e>
                              <m:sub>
                                <m:r>
                                  <m:t>n</m:t>
                                </m:r>
                                <m:r>
                                  <m:t>j</m:t>
                                </m:r>
                              </m:sub>
                            </m:sSub>
                            <m:r>
                              <m:rPr>
                                <m:sty m:val="p"/>
                              </m:rPr>
                              <m:t>≤</m:t>
                            </m:r>
                            <m:r>
                              <m:t>d</m:t>
                            </m:r>
                          </m:sub>
                          <m:sup>
                            <m:r>
                              <m:t>​</m:t>
                            </m:r>
                          </m:sup>
                          <m:e>
                            <m:sSub>
                              <m:e>
                                <m:r>
                                  <m:t>g</m:t>
                                </m:r>
                              </m:e>
                              <m:sub>
                                <m:r>
                                  <m:t>n</m:t>
                                </m:r>
                              </m:sub>
                            </m:sSub>
                          </m:e>
                        </m:nary>
                      </m:e>
                    </m:d>
                  </m:e>
                  <m:sup>
                    <m:r>
                      <m:t>2</m:t>
                    </m:r>
                  </m:sup>
                </m:sSup>
              </m:num>
              <m:den>
                <m:sSubSup>
                  <m:e>
                    <m:r>
                      <m:t>n</m:t>
                    </m:r>
                  </m:e>
                  <m:sub>
                    <m:r>
                      <m:t>l</m:t>
                    </m:r>
                  </m:sub>
                  <m:sup>
                    <m:r>
                      <m:t>j</m:t>
                    </m:r>
                  </m:sup>
                </m:sSubSup>
                <m:d>
                  <m:dPr>
                    <m:begChr m:val="("/>
                    <m:sepChr m:val=""/>
                    <m:endChr m:val=")"/>
                    <m:grow/>
                  </m:dPr>
                  <m:e>
                    <m:r>
                      <m:t>d</m:t>
                    </m:r>
                  </m:e>
                </m:d>
              </m:den>
            </m:f>
            <m:r>
              <m:rPr>
                <m:sty m:val="p"/>
              </m:rPr>
              <m:t>+</m:t>
            </m:r>
            <m:f>
              <m:fPr>
                <m:type m:val="bar"/>
              </m:fPr>
              <m:num>
                <m:sSup>
                  <m:e>
                    <m:d>
                      <m:dPr>
                        <m:begChr m:val="("/>
                        <m:sepChr m:val=""/>
                        <m:endChr m:val=")"/>
                        <m:grow/>
                      </m:dPr>
                      <m:e>
                        <m:nary>
                          <m:naryPr>
                            <m:chr m:val="∑"/>
                            <m:limLoc m:val="undOvr"/>
                            <m:subHide m:val="off"/>
                            <m:supHide m:val="on"/>
                          </m:naryPr>
                          <m:sub>
                            <m:sSub>
                              <m:e>
                                <m:r>
                                  <m:t>x</m:t>
                                </m:r>
                              </m:e>
                              <m:sub>
                                <m:r>
                                  <m:t>n</m:t>
                                </m:r>
                                <m:r>
                                  <m:t>j</m:t>
                                </m:r>
                              </m:sub>
                            </m:sSub>
                            <m:r>
                              <m:rPr>
                                <m:sty m:val="p"/>
                              </m:rPr>
                              <m:t>&gt;</m:t>
                            </m:r>
                            <m:r>
                              <m:t>d</m:t>
                            </m:r>
                          </m:sub>
                          <m:sup>
                            <m:r>
                              <m:t>​</m:t>
                            </m:r>
                          </m:sup>
                          <m:e>
                            <m:sSub>
                              <m:e>
                                <m:r>
                                  <m:t>g</m:t>
                                </m:r>
                              </m:e>
                              <m:sub>
                                <m:r>
                                  <m:t>n</m:t>
                                </m:r>
                              </m:sub>
                            </m:sSub>
                          </m:e>
                        </m:nary>
                      </m:e>
                    </m:d>
                  </m:e>
                  <m:sup>
                    <m:r>
                      <m:t>2</m:t>
                    </m:r>
                  </m:sup>
                </m:sSup>
              </m:num>
              <m:den>
                <m:sSubSup>
                  <m:e>
                    <m:r>
                      <m:t>n</m:t>
                    </m:r>
                  </m:e>
                  <m:sub>
                    <m:r>
                      <m:t>r</m:t>
                    </m:r>
                  </m:sub>
                  <m:sup>
                    <m:r>
                      <m:t>j</m:t>
                    </m:r>
                  </m:sup>
                </m:sSubSup>
                <m:d>
                  <m:dPr>
                    <m:begChr m:val="("/>
                    <m:sepChr m:val=""/>
                    <m:endChr m:val=")"/>
                    <m:grow/>
                  </m:dPr>
                  <m:e>
                    <m:r>
                      <m:t>d</m:t>
                    </m:r>
                  </m:e>
                </m:d>
              </m:den>
            </m:f>
          </m:e>
        </m:d>
      </m:oMath>
      <w:r>
        <w:tab/>
        <w:t>(2.33)</w:t>
      </w:r>
    </w:p>
    <w:p>
      <w:pPr>
        <w:keepLines w:val="0"/>
        <w:spacing w:after="120"/>
        <w:ind w:firstLine="567"/>
      </w:pPr>
      <w:r>
        <w:t xml:space="preserve">Khác biệt thứ hai là chiến lược tăng trưởng theo lá (leaf-wise). Thay vì mở rộng đồng loạt mọi nút ở cùng độ sâu (level-wise), thuật toán mỗi lần chọn lá có độ lợi lớn nhất để tách, cho đến khi đạt số lá tối đa, như trong (2.34). Với cùng số lá, cách này thường giảm hàm mất mát nhiều hơn nhưng có thể tạo cây sâu và lệch, dễ quá khớp; số lá vì vậy là tham số kiểm soát độ phức tạp chính, giải thích vì sao LightGBM được cấu hình bằng num_leaves = 63, còn XGBoost bằng max_depth = 8. Trong cấu hình của nghiên cứu, cả hai mô hình đều dùng toàn bộ dữ liệu và đều dựng cây theo histogram, nên khác biệt chính nằm ở chiến lược tăng trưởng cây, hàm mục tiêu có điều chuẩn và tỷ lệ lấy mẫu.</w:t>
      </w:r>
    </w:p>
    <w:p>
      <w:pPr>
        <w:tabs>
          <w:tab w:val="center" w:pos="4535"/>
          <w:tab w:val="right" w:pos="9071"/>
        </w:tabs>
        <w:spacing w:before="60" w:after="60"/>
        <w:ind w:firstLine="0"/>
      </w:pPr>
      <w:r>
        <w:tab/>
      </w:r>
      <m:oMath xmlns:a="http://schemas.openxmlformats.org/drawingml/2006/main" xmlns:pic="http://schemas.openxmlformats.org/drawingml/2006/picture">
        <m:sSup>
          <m:e>
            <m:r>
              <m:rPr>
                <m:sty m:val="p"/>
              </m:rPr>
              <m:t>ℓ</m:t>
            </m:r>
          </m:e>
          <m:sup>
            <m:r>
              <m:rPr>
                <m:sty m:val="p"/>
              </m:rPr>
              <m:t>*</m:t>
            </m:r>
          </m:sup>
        </m:sSup>
        <m:r>
          <m:rPr>
            <m:sty m:val="p"/>
          </m:rPr>
          <m:t>=</m:t>
        </m:r>
        <m:r>
          <m:rPr>
            <m:sty m:val="p"/>
          </m:rPr>
          <m:t>arg</m:t>
        </m:r>
        <m:limLow>
          <m:e>
            <m:r>
              <m:rPr>
                <m:sty m:val="p"/>
              </m:rPr>
              <m:t>max</m:t>
            </m:r>
          </m:e>
          <m:lim>
            <m:r>
              <m:rPr>
                <m:sty m:val="p"/>
              </m:rPr>
              <m:t>ℓ</m:t>
            </m:r>
            <m:r>
              <m:rPr>
                <m:sty m:val="p"/>
              </m:rPr>
              <m:t>∈</m:t>
            </m:r>
            <m:sSub>
              <m:e>
                <m:r>
                  <m:rPr>
                    <m:scr m:val="script"/>
                    <m:sty m:val="p"/>
                  </m:rPr>
                  <m:t>L</m:t>
                </m:r>
              </m:e>
              <m:sub>
                <m:r>
                  <m:rPr>
                    <m:sty m:val="p"/>
                  </m:rPr>
                  <m:t>c</m:t>
                </m:r>
                <m:r>
                  <m:rPr>
                    <m:sty m:val="p"/>
                  </m:rPr>
                  <m:t>u</m:t>
                </m:r>
                <m:r>
                  <m:rPr>
                    <m:sty m:val="p"/>
                  </m:rPr>
                  <m:t>r</m:t>
                </m:r>
              </m:sub>
            </m:sSub>
          </m:lim>
        </m:limLow>
        <m:r>
          <m:t> </m:t>
        </m:r>
        <m:limLow>
          <m:e>
            <m:r>
              <m:rPr>
                <m:sty m:val="p"/>
              </m:rPr>
              <m:t>max</m:t>
            </m:r>
          </m:e>
          <m:lim>
            <m:r>
              <m:t>j</m:t>
            </m:r>
            <m:r>
              <m:rPr>
                <m:sty m:val="p"/>
              </m:rPr>
              <m:t>,</m:t>
            </m:r>
            <m:r>
              <m:t> </m:t>
            </m:r>
            <m:r>
              <m:t>d</m:t>
            </m:r>
          </m:lim>
        </m:limLow>
        <m:r>
          <m:t> </m:t>
        </m:r>
        <m:r>
          <m:rPr>
            <m:sty m:val="p"/>
          </m:rPr>
          <m:t>G</m:t>
        </m:r>
        <m:r>
          <m:rPr>
            <m:sty m:val="p"/>
          </m:rPr>
          <m:t>a</m:t>
        </m:r>
        <m:r>
          <m:rPr>
            <m:sty m:val="p"/>
          </m:rPr>
          <m:t>i</m:t>
        </m:r>
        <m:r>
          <m:rPr>
            <m:sty m:val="p"/>
          </m:rPr>
          <m:t>n</m:t>
        </m:r>
        <m:d>
          <m:dPr>
            <m:begChr m:val="("/>
            <m:sepChr m:val=""/>
            <m:endChr m:val=")"/>
            <m:grow/>
          </m:dPr>
          <m:e>
            <m:r>
              <m:rPr>
                <m:sty m:val="p"/>
              </m:rPr>
              <m:t>ℓ</m:t>
            </m:r>
            <m:r>
              <m:rPr>
                <m:sty m:val="p"/>
              </m:rPr>
              <m:t>,</m:t>
            </m:r>
            <m:r>
              <m:t>j</m:t>
            </m:r>
            <m:r>
              <m:rPr>
                <m:sty m:val="p"/>
              </m:rPr>
              <m:t>,</m:t>
            </m:r>
            <m:r>
              <m:t>d</m:t>
            </m:r>
          </m:e>
        </m:d>
        <m:r>
          <m:rPr>
            <m:sty m:val="p"/>
          </m:rPr>
          <m:t>,</m:t>
        </m:r>
        <m:r>
          <m:t>  </m:t>
        </m:r>
        <m:d>
          <m:dPr>
            <m:begChr m:val="|"/>
            <m:sepChr m:val=""/>
            <m:endChr m:val="|"/>
            <m:grow/>
          </m:dPr>
          <m:e>
            <m:sSub>
              <m:e>
                <m:r>
                  <m:rPr>
                    <m:scr m:val="script"/>
                    <m:sty m:val="p"/>
                  </m:rPr>
                  <m:t>L</m:t>
                </m:r>
              </m:e>
              <m:sub>
                <m:r>
                  <m:rPr>
                    <m:sty m:val="p"/>
                  </m:rPr>
                  <m:t>c</m:t>
                </m:r>
                <m:r>
                  <m:rPr>
                    <m:sty m:val="p"/>
                  </m:rPr>
                  <m:t>u</m:t>
                </m:r>
                <m:r>
                  <m:rPr>
                    <m:sty m:val="p"/>
                  </m:rPr>
                  <m:t>r</m:t>
                </m:r>
              </m:sub>
            </m:sSub>
          </m:e>
        </m:d>
        <m:r>
          <m:rPr>
            <m:sty m:val="p"/>
          </m:rPr>
          <m:t>≤</m:t>
        </m:r>
        <m:r>
          <m:rPr>
            <m:sty m:val="p"/>
          </m:rPr>
          <m:t>n</m:t>
        </m:r>
        <m:r>
          <m:rPr>
            <m:sty m:val="p"/>
          </m:rPr>
          <m:t>u</m:t>
        </m:r>
        <m:r>
          <m:rPr>
            <m:sty m:val="p"/>
          </m:rPr>
          <m:t>m</m:t>
        </m:r>
        <m:r>
          <m:rPr>
            <m:sty m:val="p"/>
          </m:rPr>
          <m:t>_</m:t>
        </m:r>
        <m:r>
          <m:rPr>
            <m:sty m:val="p"/>
          </m:rPr>
          <m:t>l</m:t>
        </m:r>
        <m:r>
          <m:rPr>
            <m:sty m:val="p"/>
          </m:rPr>
          <m:t>e</m:t>
        </m:r>
        <m:r>
          <m:rPr>
            <m:sty m:val="p"/>
          </m:rPr>
          <m:t>a</m:t>
        </m:r>
        <m:r>
          <m:rPr>
            <m:sty m:val="p"/>
          </m:rPr>
          <m:t>v</m:t>
        </m:r>
        <m:r>
          <m:rPr>
            <m:sty m:val="p"/>
          </m:rPr>
          <m:t>e</m:t>
        </m:r>
        <m:r>
          <m:rPr>
            <m:sty m:val="p"/>
          </m:rPr>
          <m:t>s</m:t>
        </m:r>
      </m:oMath>
      <w:r>
        <w:tab/>
        <w:t>(2.34)</w:t>
      </w:r>
    </w:p>
    <w:p>
      <w:pPr>
        <w:pStyle w:val="Heading3"/>
        <w:keepNext/>
      </w:pPr>
      <w:r>
        <w:t xml:space="preserve">2.9.2. GOSS, EFB và các cơ chế ngẫu nhiên được kích hoạt trong cấu hình</w:t>
      </w:r>
    </w:p>
    <w:p>
      <w:pPr>
        <w:keepLines w:val="0"/>
        <w:spacing w:after="120"/>
        <w:ind w:firstLine="567"/>
      </w:pPr>
      <w:r>
        <w:t xml:space="preserve">Ke và cộng sự (2017) còn đề xuất hai kỹ thuật giảm chi phí. Lấy mẫu một phía dựa trên độ dốc (Gradient-based One-Side Sampling, GOSS) giữ toàn bộ tỷ lệ a các quan sát có độ dốc tuyệt đối lớn nhất (tập A), lấy ngẫu nhiên tỷ lệ b trong phần còn lại (tập B) và nhân độ dốc của tập B với (1 − a)/b; độ lợi được ước lượng lại như (2.35). Gộp đặc trưng loại trừ lẫn nhau (Exclusive Feature Bundling, EFB) ghép các đặc trưng thưa hiếm khi cùng khác 0 thành một đặc trưng để giảm số cột cần xây histogram.</w:t>
      </w:r>
    </w:p>
    <w:p>
      <w:pPr>
        <w:tabs>
          <w:tab w:val="center" w:pos="4535"/>
          <w:tab w:val="right" w:pos="9071"/>
        </w:tabs>
        <w:spacing w:before="60" w:after="60"/>
        <w:ind w:firstLine="0"/>
      </w:pPr>
      <w:r>
        <w:tab/>
      </w:r>
      <m:oMath xmlns:a="http://schemas.openxmlformats.org/drawingml/2006/main" xmlns:pic="http://schemas.openxmlformats.org/drawingml/2006/picture">
        <m:sSub>
          <m:e>
            <m:acc>
              <m:accPr>
                <m:chr m:val="̃"/>
              </m:accPr>
              <m:e>
                <m:r>
                  <m:t>V</m:t>
                </m:r>
              </m:e>
            </m:acc>
          </m:e>
          <m:sub>
            <m:r>
              <m:t>j</m:t>
            </m:r>
          </m:sub>
        </m:sSub>
        <m:d>
          <m:dPr>
            <m:begChr m:val="("/>
            <m:sepChr m:val=""/>
            <m:endChr m:val=")"/>
            <m:grow/>
          </m:dPr>
          <m:e>
            <m:r>
              <m:t>d</m:t>
            </m:r>
          </m:e>
        </m:d>
        <m:r>
          <m:rPr>
            <m:sty m:val="p"/>
          </m:rPr>
          <m:t>=</m:t>
        </m:r>
        <m:f>
          <m:fPr>
            <m:type m:val="bar"/>
          </m:fPr>
          <m:num>
            <m:r>
              <m:t>1</m:t>
            </m:r>
          </m:num>
          <m:den>
            <m:r>
              <m:t>n</m:t>
            </m:r>
          </m:den>
        </m:f>
        <m:d>
          <m:dPr>
            <m:begChr m:val="["/>
            <m:sepChr m:val=""/>
            <m:endChr m:val="]"/>
            <m:grow/>
          </m:dPr>
          <m:e>
            <m:f>
              <m:fPr>
                <m:type m:val="bar"/>
              </m:fPr>
              <m:num>
                <m:sSup>
                  <m:e>
                    <m:d>
                      <m:dPr>
                        <m:begChr m:val="("/>
                        <m:sepChr m:val=""/>
                        <m:endChr m:val=")"/>
                        <m:grow/>
                      </m:dPr>
                      <m:e>
                        <m:nary>
                          <m:naryPr>
                            <m:chr m:val="∑"/>
                            <m:limLoc m:val="undOvr"/>
                            <m:subHide m:val="off"/>
                            <m:supHide m:val="on"/>
                          </m:naryPr>
                          <m:sub>
                            <m:sSub>
                              <m:e>
                                <m:r>
                                  <m:t>A</m:t>
                                </m:r>
                              </m:e>
                              <m:sub>
                                <m:r>
                                  <m:t>l</m:t>
                                </m:r>
                              </m:sub>
                            </m:sSub>
                          </m:sub>
                          <m:sup>
                            <m:r>
                              <m:t>​</m:t>
                            </m:r>
                          </m:sup>
                          <m:e>
                            <m:sSub>
                              <m:e>
                                <m:r>
                                  <m:t>g</m:t>
                                </m:r>
                              </m:e>
                              <m:sub>
                                <m:r>
                                  <m:t>n</m:t>
                                </m:r>
                              </m:sub>
                            </m:sSub>
                          </m:e>
                        </m:nary>
                        <m:r>
                          <m:rPr>
                            <m:sty m:val="p"/>
                          </m:rPr>
                          <m:t>+</m:t>
                        </m:r>
                        <m:f>
                          <m:fPr>
                            <m:type m:val="bar"/>
                          </m:fPr>
                          <m:num>
                            <m:r>
                              <m:t>1</m:t>
                            </m:r>
                            <m:r>
                              <m:rPr>
                                <m:sty m:val="p"/>
                              </m:rPr>
                              <m:t>−</m:t>
                            </m:r>
                            <m:r>
                              <m:t>a</m:t>
                            </m:r>
                          </m:num>
                          <m:den>
                            <m:r>
                              <m:t>b</m:t>
                            </m:r>
                          </m:den>
                        </m:f>
                        <m:nary>
                          <m:naryPr>
                            <m:chr m:val="∑"/>
                            <m:limLoc m:val="undOvr"/>
                            <m:subHide m:val="off"/>
                            <m:supHide m:val="on"/>
                          </m:naryPr>
                          <m:sub>
                            <m:sSub>
                              <m:e>
                                <m:r>
                                  <m:t>B</m:t>
                                </m:r>
                              </m:e>
                              <m:sub>
                                <m:r>
                                  <m:t>l</m:t>
                                </m:r>
                              </m:sub>
                            </m:sSub>
                          </m:sub>
                          <m:sup>
                            <m:r>
                              <m:t>​</m:t>
                            </m:r>
                          </m:sup>
                          <m:e>
                            <m:sSub>
                              <m:e>
                                <m:r>
                                  <m:t>g</m:t>
                                </m:r>
                              </m:e>
                              <m:sub>
                                <m:r>
                                  <m:t>n</m:t>
                                </m:r>
                              </m:sub>
                            </m:sSub>
                          </m:e>
                        </m:nary>
                      </m:e>
                    </m:d>
                  </m:e>
                  <m:sup>
                    <m:r>
                      <m:t>2</m:t>
                    </m:r>
                  </m:sup>
                </m:sSup>
              </m:num>
              <m:den>
                <m:sSubSup>
                  <m:e>
                    <m:r>
                      <m:t>n</m:t>
                    </m:r>
                  </m:e>
                  <m:sub>
                    <m:r>
                      <m:t>l</m:t>
                    </m:r>
                  </m:sub>
                  <m:sup>
                    <m:r>
                      <m:t>j</m:t>
                    </m:r>
                  </m:sup>
                </m:sSubSup>
                <m:d>
                  <m:dPr>
                    <m:begChr m:val="("/>
                    <m:sepChr m:val=""/>
                    <m:endChr m:val=")"/>
                    <m:grow/>
                  </m:dPr>
                  <m:e>
                    <m:r>
                      <m:t>d</m:t>
                    </m:r>
                  </m:e>
                </m:d>
              </m:den>
            </m:f>
            <m:r>
              <m:rPr>
                <m:sty m:val="p"/>
              </m:rPr>
              <m:t>+</m:t>
            </m:r>
            <m:f>
              <m:fPr>
                <m:type m:val="bar"/>
              </m:fPr>
              <m:num>
                <m:sSup>
                  <m:e>
                    <m:d>
                      <m:dPr>
                        <m:begChr m:val="("/>
                        <m:sepChr m:val=""/>
                        <m:endChr m:val=")"/>
                        <m:grow/>
                      </m:dPr>
                      <m:e>
                        <m:nary>
                          <m:naryPr>
                            <m:chr m:val="∑"/>
                            <m:limLoc m:val="undOvr"/>
                            <m:subHide m:val="off"/>
                            <m:supHide m:val="on"/>
                          </m:naryPr>
                          <m:sub>
                            <m:sSub>
                              <m:e>
                                <m:r>
                                  <m:t>A</m:t>
                                </m:r>
                              </m:e>
                              <m:sub>
                                <m:r>
                                  <m:t>r</m:t>
                                </m:r>
                              </m:sub>
                            </m:sSub>
                          </m:sub>
                          <m:sup>
                            <m:r>
                              <m:t>​</m:t>
                            </m:r>
                          </m:sup>
                          <m:e>
                            <m:sSub>
                              <m:e>
                                <m:r>
                                  <m:t>g</m:t>
                                </m:r>
                              </m:e>
                              <m:sub>
                                <m:r>
                                  <m:t>n</m:t>
                                </m:r>
                              </m:sub>
                            </m:sSub>
                          </m:e>
                        </m:nary>
                        <m:r>
                          <m:rPr>
                            <m:sty m:val="p"/>
                          </m:rPr>
                          <m:t>+</m:t>
                        </m:r>
                        <m:f>
                          <m:fPr>
                            <m:type m:val="bar"/>
                          </m:fPr>
                          <m:num>
                            <m:r>
                              <m:t>1</m:t>
                            </m:r>
                            <m:r>
                              <m:rPr>
                                <m:sty m:val="p"/>
                              </m:rPr>
                              <m:t>−</m:t>
                            </m:r>
                            <m:r>
                              <m:t>a</m:t>
                            </m:r>
                          </m:num>
                          <m:den>
                            <m:r>
                              <m:t>b</m:t>
                            </m:r>
                          </m:den>
                        </m:f>
                        <m:nary>
                          <m:naryPr>
                            <m:chr m:val="∑"/>
                            <m:limLoc m:val="undOvr"/>
                            <m:subHide m:val="off"/>
                            <m:supHide m:val="on"/>
                          </m:naryPr>
                          <m:sub>
                            <m:sSub>
                              <m:e>
                                <m:r>
                                  <m:t>B</m:t>
                                </m:r>
                              </m:e>
                              <m:sub>
                                <m:r>
                                  <m:t>r</m:t>
                                </m:r>
                              </m:sub>
                            </m:sSub>
                          </m:sub>
                          <m:sup>
                            <m:r>
                              <m:t>​</m:t>
                            </m:r>
                          </m:sup>
                          <m:e>
                            <m:sSub>
                              <m:e>
                                <m:r>
                                  <m:t>g</m:t>
                                </m:r>
                              </m:e>
                              <m:sub>
                                <m:r>
                                  <m:t>n</m:t>
                                </m:r>
                              </m:sub>
                            </m:sSub>
                          </m:e>
                        </m:nary>
                      </m:e>
                    </m:d>
                  </m:e>
                  <m:sup>
                    <m:r>
                      <m:t>2</m:t>
                    </m:r>
                  </m:sup>
                </m:sSup>
              </m:num>
              <m:den>
                <m:sSubSup>
                  <m:e>
                    <m:r>
                      <m:t>n</m:t>
                    </m:r>
                  </m:e>
                  <m:sub>
                    <m:r>
                      <m:t>r</m:t>
                    </m:r>
                  </m:sub>
                  <m:sup>
                    <m:r>
                      <m:t>j</m:t>
                    </m:r>
                  </m:sup>
                </m:sSubSup>
                <m:d>
                  <m:dPr>
                    <m:begChr m:val="("/>
                    <m:sepChr m:val=""/>
                    <m:endChr m:val=")"/>
                    <m:grow/>
                  </m:dPr>
                  <m:e>
                    <m:r>
                      <m:t>d</m:t>
                    </m:r>
                  </m:e>
                </m:d>
              </m:den>
            </m:f>
          </m:e>
        </m:d>
      </m:oMath>
      <w:r>
        <w:tab/>
        <w:t>(2.35)</w:t>
      </w:r>
    </w:p>
    <w:p>
      <w:pPr>
        <w:keepLines w:val="0"/>
        <w:spacing w:after="120"/>
        <w:ind w:firstLine="567"/>
      </w:pPr>
      <w:r>
        <w:t xml:space="preserve">Cần phân biệt năng lực của thuật toán với những gì được kích hoạt trong cấu hình. Mã nguồn không đặt kiểu tăng cường, nên LightGBM chạy với kiểu gbdt mặc định và GOSS không được dùng; phần trình bày về GOSS chỉ là cơ sở lý thuyết, còn EFB được bật theo mặc định của thư viện. Về lấy mẫu dòng, LightGBM chỉ thực hiện bagging khi subsample_freq lớn hơn 0; nếu chỉ khai báo subsample = 0,85 mà không đặt tần suất này, tham số lấy mẫu không có hiệu lực và mỗi cây thực tế dùng toàn bộ dữ liệu. Nghiên cứu vì vậy đặt subsample_freq = 1, nên ở mỗi vòng lặp một mẫu ngẫu nhiên 85% số dòng được rút lại, còn colsample_bytree = 0,85 giới hạn mỗi cây ở 85% số đặc trưng; như vậy cả XGBoost và LightGBM đều có hai nguồn ngẫu nhiên. Thí nghiệm độ nhạy ở mục 4.15 cho thấy tác động của lựa chọn này đến độ chính xác là nhỏ: LightGBM không đặt subsample_freq có WAPE trung bình 12,594%, so với 12,568% khi đặt, chênh lệch 0,027 điểm % và đổi dấu giữa các lần; ý nghĩa chính của lựa chọn là tham số khai báo phải có hiệu lực đúng như mô tả.</w:t>
      </w:r>
    </w:p>
    <w:p>
      <w:pPr>
        <w:pStyle w:val="Heading3"/>
        <w:keepNext/>
      </w:pPr>
      <w:r>
        <w:t xml:space="preserve">2.9.3. Cấu hình, mức độ quan trọng đặc trưng và vai trò mô hình thách thức</w:t>
      </w:r>
    </w:p>
    <w:p>
      <w:pPr>
        <w:keepLines w:val="0"/>
        <w:spacing w:after="120"/>
        <w:ind w:firstLine="567"/>
      </w:pPr>
      <w:r>
        <w:t xml:space="preserve">Nghiên cứu sử dụng LightGBM với n_estimators = 450, num_leaves = 63, learning_rate = 0,05, subsample = 0,85, subsample_freq = 1 và colsample_bytree = 0,85, với random_state = 42, huấn luyện trên toàn bộ dữ liệu. Số cây và tốc độ học được đặt giống XGBoost, nên hai mô hình có cùng lộ trình học danh nghĩa trong (2.28). Trong lần chạy chính thức, LightGBM đứng thứ hai theo WAPE ở cả ba lần kiểm định (trung bình 12,568%), với độ lệch chuẩn giữa các lần nhỏ nhất trong ba mô hình cây (0,499 điểm %). Với hiệu năng sát XGBoost, LightGBM phù hợp làm mô hình thách thức (challenger); vì lớp dự báo xác suất được dựng chung quanh mô hình thắng, không có nhánh riêng cho LightGBM, việc thay mô hình nền nếu thứ hạng đảo chiều qua nhiều kỳ đánh giá không đòi hỏi thiết kế lại các lớp phía sau.</w:t>
      </w:r>
    </w:p>
    <w:p>
      <w:pPr>
        <w:keepLines w:val="0"/>
        <w:spacing w:after="120"/>
        <w:ind w:firstLine="567"/>
      </w:pPr>
      <w:r>
        <w:t xml:space="preserve">Mức độ quan trọng đặc trưng của LightGBM được lưu theo mặc định của thư viện, tức số lần một đặc trưng được dùng để tách (split count), và đóng vai trò đối chứng. Số lần tách không đo mức giảm hàm mất mát, nên biến có nhiều giá trị khả dĩ như oil_price_lag16, day hay weekofyear, ba biến đứng đầu bảng này trong lần chạy chính thức, có thể được tách nhiều lần mà không nhất thiết đóng góp nhiều vào độ chính xác. Với XGBoost là mô hình được chọn, quy trình lưu thêm importance theo gain dựa trên (2.32); theo thước đo này, lag_21 (36,09%) và roll_mean_7 (34,77%) chiếm phần lớn tổng gain, còn oil_price_lag16 chỉ chiếm 0,30%, minh họa rõ thiên lệch của split count. Cả hai đều là chẩn đoán cấu trúc của mô hình dự báo, không phải bằng chứng nhân quả (Shmueli, 2010); SHAP (Lundberg và Lee, 2017) là hướng mở rộng, không được dùng trong luận văn.</w:t>
      </w:r>
    </w:p>
    <w:p>
      <w:pPr>
        <w:pStyle w:val="Heading3"/>
        <w:keepNext/>
      </w:pPr>
      <w:r>
        <w:t xml:space="preserve">2.9.4. Tổng hợp năm mô hình trong khung so sánh</w:t>
      </w:r>
    </w:p>
    <w:p>
      <w:pPr>
        <w:keepLines w:val="0"/>
        <w:spacing w:after="120"/>
        <w:ind w:firstLine="567"/>
      </w:pPr>
      <w:r>
        <w:t xml:space="preserve">Năm mô hình từ mục 2.5 đến 2.9 tạo thành một phổ tăng dần về độ phức tạp, mỗi bậc kiểm tra một giả thuyết: Seasonal Naive kiểm tra phần độ chính xác đạt được chỉ nhờ mẫu hình tuần; Ridge kiểm tra phần giải thích được tuyến tính từ cùng tập đặc trưng; Random Forest kiểm tra lợi ích của học phi tuyến qua giảm phương sai; XGBoost và LightGBM kiểm tra lợi ích của giảm độ chệch tuần tự. Các giả thuyết này cần được kiểm tra dưới cùng quy tắc tập thông tin và cùng thủ tục đánh giá (Fildes và cộng sự, 2022). Bảng 2.3 tóm tắt cơ chế, cấu hình trong mã nguồn, dữ liệu huấn luyện và điểm cần lưu ý của từng mô hình.</w:t>
      </w:r>
    </w:p>
    <w:p>
      <w:pPr>
        <w:keepNext/>
        <w:spacing w:before="120" w:after="60"/>
        <w:ind w:firstLine="0"/>
        <w:jc w:val="center"/>
      </w:pPr>
      <w:r>
        <w:t xml:space="preserve">Bảng 2.3. Tổng hợp cơ chế, cấu hình thực tế trong mã nguồn và điểm cần lưu ý khi diễn giải của năm mô hình được so sánh</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16"/>
        <w:gridCol w:w="1683"/>
        <w:gridCol w:w="2434"/>
        <w:gridCol w:w="1570"/>
        <w:gridCol w:w="2468"/>
      </w:tblGrid>
      <w:tr>
        <w:trPr>
          <w:tblHeader/>
          <w:cantSplit/>
        </w:trPr>
        <w:tc>
          <w:tcPr>
            <w:tcW w:type="dxa" w:w="916"/>
            <w:shd w:val="clear" w:color="auto" w:fill="D9E2F3"/>
            <w:vAlign w:val="center"/>
          </w:tcPr>
          <w:p>
            <w:pPr>
              <w:spacing w:before="20" w:after="20" w:line="260" w:lineRule="auto"/>
              <w:ind w:firstLine="0"/>
              <w:jc w:val="center"/>
            </w:pPr>
            <w:r>
              <w:rPr>
                <w:b/>
                <w:sz w:val="20"/>
                <w:szCs w:val="20"/>
              </w:rPr>
              <w:t xml:space="preserve">Mô hình</w:t>
            </w:r>
          </w:p>
        </w:tc>
        <w:tc>
          <w:tcPr>
            <w:tcW w:type="dxa" w:w="1683"/>
            <w:shd w:val="clear" w:color="auto" w:fill="D9E2F3"/>
            <w:vAlign w:val="center"/>
          </w:tcPr>
          <w:p>
            <w:pPr>
              <w:spacing w:before="20" w:after="20" w:line="260" w:lineRule="auto"/>
              <w:ind w:firstLine="0"/>
              <w:jc w:val="center"/>
            </w:pPr>
            <w:r>
              <w:rPr>
                <w:b/>
                <w:sz w:val="20"/>
                <w:szCs w:val="20"/>
              </w:rPr>
              <w:t xml:space="preserve">Cơ chế cốt lõi</w:t>
            </w:r>
          </w:p>
        </w:tc>
        <w:tc>
          <w:tcPr>
            <w:tcW w:type="dxa" w:w="2434"/>
            <w:shd w:val="clear" w:color="auto" w:fill="D9E2F3"/>
            <w:vAlign w:val="center"/>
          </w:tcPr>
          <w:p>
            <w:pPr>
              <w:spacing w:before="20" w:after="20" w:line="260" w:lineRule="auto"/>
              <w:ind w:firstLine="0"/>
              <w:jc w:val="center"/>
            </w:pPr>
            <w:r>
              <w:rPr>
                <w:b/>
                <w:sz w:val="20"/>
                <w:szCs w:val="20"/>
              </w:rPr>
              <w:t xml:space="preserve">Cấu hình trong mã nguồn</w:t>
            </w:r>
          </w:p>
        </w:tc>
        <w:tc>
          <w:tcPr>
            <w:tcW w:type="dxa" w:w="1570"/>
            <w:shd w:val="clear" w:color="auto" w:fill="D9E2F3"/>
            <w:vAlign w:val="center"/>
          </w:tcPr>
          <w:p>
            <w:pPr>
              <w:spacing w:before="20" w:after="20" w:line="260" w:lineRule="auto"/>
              <w:ind w:firstLine="0"/>
              <w:jc w:val="center"/>
            </w:pPr>
            <w:r>
              <w:rPr>
                <w:b/>
                <w:sz w:val="20"/>
                <w:szCs w:val="20"/>
              </w:rPr>
              <w:t xml:space="preserve">Dữ liệu huấn luyện</w:t>
            </w:r>
          </w:p>
        </w:tc>
        <w:tc>
          <w:tcPr>
            <w:tcW w:type="dxa" w:w="2468"/>
            <w:shd w:val="clear" w:color="auto" w:fill="D9E2F3"/>
            <w:vAlign w:val="center"/>
          </w:tcPr>
          <w:p>
            <w:pPr>
              <w:spacing w:before="20" w:after="20" w:line="260" w:lineRule="auto"/>
              <w:ind w:firstLine="0"/>
              <w:jc w:val="center"/>
            </w:pPr>
            <w:r>
              <w:rPr>
                <w:b/>
                <w:sz w:val="20"/>
                <w:szCs w:val="20"/>
              </w:rPr>
              <w:t xml:space="preserve">Điểm cần lưu ý khi diễn giải</w:t>
            </w:r>
          </w:p>
        </w:tc>
      </w:tr>
      <w:tr>
        <w:trPr>
          <w:cantSplit/>
        </w:trPr>
        <w:tc>
          <w:tcPr>
            <w:tcW w:type="dxa" w:w="916"/>
            <w:vAlign w:val="center"/>
          </w:tcPr>
          <w:p>
            <w:pPr>
              <w:spacing w:before="20" w:after="20" w:line="260" w:lineRule="auto"/>
              <w:ind w:firstLine="0"/>
              <w:jc w:val="left"/>
            </w:pPr>
            <w:r>
              <w:rPr>
                <w:sz w:val="20"/>
                <w:szCs w:val="20"/>
              </w:rPr>
              <w:t xml:space="preserve">Seasonal Naive</w:t>
            </w:r>
          </w:p>
        </w:tc>
        <w:tc>
          <w:tcPr>
            <w:tcW w:type="dxa" w:w="1683"/>
            <w:vAlign w:val="center"/>
          </w:tcPr>
          <w:p>
            <w:pPr>
              <w:spacing w:before="20" w:after="20" w:line="260" w:lineRule="auto"/>
              <w:ind w:firstLine="0"/>
              <w:jc w:val="left"/>
            </w:pPr>
            <w:r>
              <w:rPr>
                <w:sz w:val="20"/>
                <w:szCs w:val="20"/>
              </w:rPr>
              <w:t xml:space="preserve">Lặp lại tuần cuối trước gốc dự báo theo thứ trong tuần</w:t>
            </w:r>
          </w:p>
        </w:tc>
        <w:tc>
          <w:tcPr>
            <w:tcW w:type="dxa" w:w="2434"/>
            <w:vAlign w:val="center"/>
          </w:tcPr>
          <w:p>
            <w:pPr>
              <w:spacing w:before="20" w:after="20" w:line="260" w:lineRule="auto"/>
              <w:ind w:firstLine="0"/>
              <w:jc w:val="left"/>
            </w:pPr>
            <w:r>
              <w:rPr>
                <w:sz w:val="20"/>
                <w:szCs w:val="20"/>
              </w:rPr>
              <w:t xml:space="preserve">Cố định gốc: lag_7 (h = 1–7), lag_14 (h = 8–14), lag_21 (h = 15–16), độ trễ theo ngày lịch</w:t>
            </w:r>
          </w:p>
        </w:tc>
        <w:tc>
          <w:tcPr>
            <w:tcW w:type="dxa" w:w="1570"/>
            <w:vAlign w:val="center"/>
          </w:tcPr>
          <w:p>
            <w:pPr>
              <w:spacing w:before="20" w:after="20" w:line="260" w:lineRule="auto"/>
              <w:ind w:firstLine="0"/>
              <w:jc w:val="left"/>
            </w:pPr>
            <w:r>
              <w:rPr>
                <w:sz w:val="20"/>
                <w:szCs w:val="20"/>
              </w:rPr>
              <w:t xml:space="preserve">Không huấn luyện</w:t>
            </w:r>
          </w:p>
        </w:tc>
        <w:tc>
          <w:tcPr>
            <w:tcW w:type="dxa" w:w="2468"/>
            <w:vAlign w:val="center"/>
          </w:tcPr>
          <w:p>
            <w:pPr>
              <w:spacing w:before="20" w:after="20" w:line="260" w:lineRule="auto"/>
              <w:ind w:firstLine="0"/>
              <w:jc w:val="left"/>
            </w:pPr>
            <w:r>
              <w:rPr>
                <w:sz w:val="20"/>
                <w:szCs w:val="20"/>
              </w:rPr>
              <w:t xml:space="preserve">Không rò rỉ; sMAPE thấp do ưu ái giá trị 0/nhỏ, không phải dấu hiệu dự báo tốt hơn</w:t>
            </w:r>
          </w:p>
        </w:tc>
      </w:tr>
      <w:tr>
        <w:trPr>
          <w:cantSplit/>
        </w:trPr>
        <w:tc>
          <w:tcPr>
            <w:tcW w:type="dxa" w:w="916"/>
            <w:vAlign w:val="center"/>
          </w:tcPr>
          <w:p>
            <w:pPr>
              <w:spacing w:before="20" w:after="20" w:line="260" w:lineRule="auto"/>
              <w:ind w:firstLine="0"/>
              <w:jc w:val="left"/>
            </w:pPr>
            <w:r>
              <w:rPr>
                <w:sz w:val="20"/>
                <w:szCs w:val="20"/>
              </w:rPr>
              <w:t xml:space="preserve">Ridge Regression</w:t>
            </w:r>
          </w:p>
        </w:tc>
        <w:tc>
          <w:tcPr>
            <w:tcW w:type="dxa" w:w="1683"/>
            <w:vAlign w:val="center"/>
          </w:tcPr>
          <w:p>
            <w:pPr>
              <w:spacing w:before="20" w:after="20" w:line="260" w:lineRule="auto"/>
              <w:ind w:firstLine="0"/>
              <w:jc w:val="left"/>
            </w:pPr>
            <w:r>
              <w:rPr>
                <w:sz w:val="20"/>
                <w:szCs w:val="20"/>
              </w:rPr>
              <w:t xml:space="preserve">Bình phương tối thiểu có phạt L2</w:t>
            </w:r>
          </w:p>
        </w:tc>
        <w:tc>
          <w:tcPr>
            <w:tcW w:type="dxa" w:w="2434"/>
            <w:vAlign w:val="center"/>
          </w:tcPr>
          <w:p>
            <w:pPr>
              <w:spacing w:before="20" w:after="20" w:line="260" w:lineRule="auto"/>
              <w:ind w:firstLine="0"/>
              <w:jc w:val="left"/>
            </w:pPr>
            <w:r>
              <w:rPr>
                <w:sz w:val="20"/>
                <w:szCs w:val="20"/>
              </w:rPr>
              <w:t xml:space="preserve">StandardScaler + Ridge(alpha = 1,0)</w:t>
            </w:r>
          </w:p>
        </w:tc>
        <w:tc>
          <w:tcPr>
            <w:tcW w:type="dxa" w:w="1570"/>
            <w:vAlign w:val="center"/>
          </w:tcPr>
          <w:p>
            <w:pPr>
              <w:spacing w:before="20" w:after="20" w:line="260" w:lineRule="auto"/>
              <w:ind w:firstLine="0"/>
              <w:jc w:val="left"/>
            </w:pPr>
            <w:r>
              <w:rPr>
                <w:sz w:val="20"/>
                <w:szCs w:val="20"/>
              </w:rPr>
              <w:t xml:space="preserve">Toàn bộ dữ liệu huấn luyện</w:t>
            </w:r>
          </w:p>
        </w:tc>
        <w:tc>
          <w:tcPr>
            <w:tcW w:type="dxa" w:w="2468"/>
            <w:vAlign w:val="center"/>
          </w:tcPr>
          <w:p>
            <w:pPr>
              <w:spacing w:before="20" w:after="20" w:line="260" w:lineRule="auto"/>
              <w:ind w:firstLine="0"/>
              <w:jc w:val="left"/>
            </w:pPr>
            <w:r>
              <w:rPr>
                <w:sz w:val="20"/>
                <w:szCs w:val="20"/>
              </w:rPr>
              <w:t xml:space="preserve">alpha không chọn qua kiểm định; mã danh mục dạng số nguyên; cấu trúc cộng tính</w:t>
            </w:r>
          </w:p>
        </w:tc>
      </w:tr>
      <w:tr>
        <w:trPr>
          <w:cantSplit/>
        </w:trPr>
        <w:tc>
          <w:tcPr>
            <w:tcW w:type="dxa" w:w="916"/>
            <w:vAlign w:val="center"/>
          </w:tcPr>
          <w:p>
            <w:pPr>
              <w:spacing w:before="20" w:after="20" w:line="260" w:lineRule="auto"/>
              <w:ind w:firstLine="0"/>
              <w:jc w:val="left"/>
            </w:pPr>
            <w:r>
              <w:rPr>
                <w:sz w:val="20"/>
                <w:szCs w:val="20"/>
              </w:rPr>
              <w:t xml:space="preserve">Random Forest</w:t>
            </w:r>
          </w:p>
        </w:tc>
        <w:tc>
          <w:tcPr>
            <w:tcW w:type="dxa" w:w="1683"/>
            <w:vAlign w:val="center"/>
          </w:tcPr>
          <w:p>
            <w:pPr>
              <w:spacing w:before="20" w:after="20" w:line="260" w:lineRule="auto"/>
              <w:ind w:firstLine="0"/>
              <w:jc w:val="left"/>
            </w:pPr>
            <w:r>
              <w:rPr>
                <w:sz w:val="20"/>
                <w:szCs w:val="20"/>
              </w:rPr>
              <w:t xml:space="preserve">Bagging cây sâu trên mẫu bootstrap, lấy trung bình</w:t>
            </w:r>
          </w:p>
        </w:tc>
        <w:tc>
          <w:tcPr>
            <w:tcW w:type="dxa" w:w="2434"/>
            <w:vAlign w:val="center"/>
          </w:tcPr>
          <w:p>
            <w:pPr>
              <w:spacing w:before="20" w:after="20" w:line="260" w:lineRule="auto"/>
              <w:ind w:firstLine="0"/>
              <w:jc w:val="left"/>
            </w:pPr>
            <w:r>
              <w:rPr>
                <w:sz w:val="20"/>
                <w:szCs w:val="20"/>
              </w:rPr>
              <w:t xml:space="preserve">120 cây; max_depth 18; min_samples_leaf 3; max_features mặc định 1,0</w:t>
            </w:r>
          </w:p>
        </w:tc>
        <w:tc>
          <w:tcPr>
            <w:tcW w:type="dxa" w:w="1570"/>
            <w:vAlign w:val="center"/>
          </w:tcPr>
          <w:p>
            <w:pPr>
              <w:spacing w:before="20" w:after="20" w:line="260" w:lineRule="auto"/>
              <w:ind w:firstLine="0"/>
              <w:jc w:val="left"/>
            </w:pPr>
            <w:r>
              <w:rPr>
                <w:sz w:val="20"/>
                <w:szCs w:val="20"/>
              </w:rPr>
              <w:t xml:space="preserve">Mẫu ngẫu nhiên 600.000 dòng (random_state = 42)</w:t>
            </w:r>
          </w:p>
        </w:tc>
        <w:tc>
          <w:tcPr>
            <w:tcW w:type="dxa" w:w="2468"/>
            <w:vAlign w:val="center"/>
          </w:tcPr>
          <w:p>
            <w:pPr>
              <w:spacing w:before="20" w:after="20" w:line="260" w:lineRule="auto"/>
              <w:ind w:firstLine="0"/>
              <w:jc w:val="left"/>
            </w:pPr>
            <w:r>
              <w:rPr>
                <w:sz w:val="20"/>
                <w:szCs w:val="20"/>
              </w:rPr>
              <w:t xml:space="preserve">Không chọn ngẫu nhiên đặc trưng ở mỗi nút; giới hạn dòng vì chi phí; không ngoại suy ngoài miền mục tiêu đã quan sát</w:t>
            </w:r>
          </w:p>
        </w:tc>
      </w:tr>
      <w:tr>
        <w:trPr>
          <w:cantSplit/>
        </w:trPr>
        <w:tc>
          <w:tcPr>
            <w:tcW w:type="dxa" w:w="916"/>
            <w:vAlign w:val="center"/>
          </w:tcPr>
          <w:p>
            <w:pPr>
              <w:spacing w:before="20" w:after="20" w:line="260" w:lineRule="auto"/>
              <w:ind w:firstLine="0"/>
              <w:jc w:val="left"/>
            </w:pPr>
            <w:r>
              <w:rPr>
                <w:sz w:val="20"/>
                <w:szCs w:val="20"/>
              </w:rPr>
              <w:t xml:space="preserve">XGBoost</w:t>
            </w:r>
          </w:p>
        </w:tc>
        <w:tc>
          <w:tcPr>
            <w:tcW w:type="dxa" w:w="1683"/>
            <w:vAlign w:val="center"/>
          </w:tcPr>
          <w:p>
            <w:pPr>
              <w:spacing w:before="20" w:after="20" w:line="260" w:lineRule="auto"/>
              <w:ind w:firstLine="0"/>
              <w:jc w:val="left"/>
            </w:pPr>
            <w:r>
              <w:rPr>
                <w:sz w:val="20"/>
                <w:szCs w:val="20"/>
              </w:rPr>
              <w:t xml:space="preserve">Tăng cường độ dốc, mục tiêu điều chuẩn, xấp xỉ bậc hai</w:t>
            </w:r>
          </w:p>
        </w:tc>
        <w:tc>
          <w:tcPr>
            <w:tcW w:type="dxa" w:w="2434"/>
            <w:vAlign w:val="center"/>
          </w:tcPr>
          <w:p>
            <w:pPr>
              <w:spacing w:before="20" w:after="20" w:line="260" w:lineRule="auto"/>
              <w:ind w:firstLine="0"/>
              <w:jc w:val="left"/>
            </w:pPr>
            <w:r>
              <w:rPr>
                <w:sz w:val="20"/>
                <w:szCs w:val="20"/>
              </w:rPr>
              <w:t xml:space="preserve">450 cây; max_depth 8; learning_rate 0,05; subsample 0,8; colsample_bytree 0,8; reg:squarederror; tree_method hist</w:t>
            </w:r>
          </w:p>
        </w:tc>
        <w:tc>
          <w:tcPr>
            <w:tcW w:type="dxa" w:w="1570"/>
            <w:vAlign w:val="center"/>
          </w:tcPr>
          <w:p>
            <w:pPr>
              <w:spacing w:before="20" w:after="20" w:line="260" w:lineRule="auto"/>
              <w:ind w:firstLine="0"/>
              <w:jc w:val="left"/>
            </w:pPr>
            <w:r>
              <w:rPr>
                <w:sz w:val="20"/>
                <w:szCs w:val="20"/>
              </w:rPr>
              <w:t xml:space="preserve">Toàn bộ dữ liệu huấn luyện</w:t>
            </w:r>
          </w:p>
        </w:tc>
        <w:tc>
          <w:tcPr>
            <w:tcW w:type="dxa" w:w="2468"/>
            <w:vAlign w:val="center"/>
          </w:tcPr>
          <w:p>
            <w:pPr>
              <w:spacing w:before="20" w:after="20" w:line="260" w:lineRule="auto"/>
              <w:ind w:firstLine="0"/>
              <w:jc w:val="left"/>
            </w:pPr>
            <w:r>
              <w:rPr>
                <w:sz w:val="20"/>
                <w:szCs w:val="20"/>
              </w:rPr>
              <w:t xml:space="preserve">Mô hình được chọn; ước lượng kỳ vọng có điều kiện; nền của các lớp xác suất, kịch bản, tồn kho; importance theo gain</w:t>
            </w:r>
          </w:p>
        </w:tc>
      </w:tr>
      <w:tr>
        <w:trPr>
          <w:cantSplit/>
        </w:trPr>
        <w:tc>
          <w:tcPr>
            <w:tcW w:type="dxa" w:w="916"/>
            <w:vAlign w:val="center"/>
          </w:tcPr>
          <w:p>
            <w:pPr>
              <w:spacing w:before="20" w:after="20" w:line="260" w:lineRule="auto"/>
              <w:ind w:firstLine="0"/>
              <w:jc w:val="left"/>
            </w:pPr>
            <w:r>
              <w:rPr>
                <w:sz w:val="20"/>
                <w:szCs w:val="20"/>
              </w:rPr>
              <w:t xml:space="preserve">LightGBM</w:t>
            </w:r>
          </w:p>
        </w:tc>
        <w:tc>
          <w:tcPr>
            <w:tcW w:type="dxa" w:w="1683"/>
            <w:vAlign w:val="center"/>
          </w:tcPr>
          <w:p>
            <w:pPr>
              <w:spacing w:before="20" w:after="20" w:line="260" w:lineRule="auto"/>
              <w:ind w:firstLine="0"/>
              <w:jc w:val="left"/>
            </w:pPr>
            <w:r>
              <w:rPr>
                <w:sz w:val="20"/>
                <w:szCs w:val="20"/>
              </w:rPr>
              <w:t xml:space="preserve">Tăng cường độ dốc, histogram, tăng trưởng theo lá</w:t>
            </w:r>
          </w:p>
        </w:tc>
        <w:tc>
          <w:tcPr>
            <w:tcW w:type="dxa" w:w="2434"/>
            <w:vAlign w:val="center"/>
          </w:tcPr>
          <w:p>
            <w:pPr>
              <w:spacing w:before="20" w:after="20" w:line="260" w:lineRule="auto"/>
              <w:ind w:firstLine="0"/>
              <w:jc w:val="left"/>
            </w:pPr>
            <w:r>
              <w:rPr>
                <w:sz w:val="20"/>
                <w:szCs w:val="20"/>
              </w:rPr>
              <w:t xml:space="preserve">450 cây; num_leaves 63; learning_rate 0,05; subsample 0,85; subsample_freq 1; colsample_bytree 0,85</w:t>
            </w:r>
          </w:p>
        </w:tc>
        <w:tc>
          <w:tcPr>
            <w:tcW w:type="dxa" w:w="1570"/>
            <w:vAlign w:val="center"/>
          </w:tcPr>
          <w:p>
            <w:pPr>
              <w:spacing w:before="20" w:after="20" w:line="260" w:lineRule="auto"/>
              <w:ind w:firstLine="0"/>
              <w:jc w:val="left"/>
            </w:pPr>
            <w:r>
              <w:rPr>
                <w:sz w:val="20"/>
                <w:szCs w:val="20"/>
              </w:rPr>
              <w:t xml:space="preserve">Toàn bộ dữ liệu huấn luyện</w:t>
            </w:r>
          </w:p>
        </w:tc>
        <w:tc>
          <w:tcPr>
            <w:tcW w:type="dxa" w:w="2468"/>
            <w:vAlign w:val="center"/>
          </w:tcPr>
          <w:p>
            <w:pPr>
              <w:spacing w:before="20" w:after="20" w:line="260" w:lineRule="auto"/>
              <w:ind w:firstLine="0"/>
              <w:jc w:val="left"/>
            </w:pPr>
            <w:r>
              <w:rPr>
                <w:sz w:val="20"/>
                <w:szCs w:val="20"/>
              </w:rPr>
              <w:t xml:space="preserve">Mô hình thách thức; GOSS không dùng; importance là số lần tách, ưu ái biến nhiều giá trị</w:t>
            </w:r>
          </w:p>
        </w:tc>
      </w:tr>
    </w:tbl>
    <w:p>
      <w:pPr>
        <w:spacing w:before="40" w:after="160"/>
        <w:ind w:firstLine="0"/>
      </w:pPr>
      <w:r>
        <w:rPr>
          <w:i/>
          <w:sz w:val="22"/>
          <w:szCs w:val="22"/>
        </w:rPr>
        <w:t xml:space="preserve">Nguồn: tổng hợp của tác giả từ mã nguồn (03_feature_engineering.py, 04_train_compare_5_models.py). Bốn mô hình học máy dùng chung 29 đặc trưng (31 đặc trưng trừ lag_7 và lag_14); SEED = 42; không tinh chỉnh siêu tham số.</w:t>
      </w:r>
    </w:p>
    <w:p>
      <w:pPr>
        <w:keepLines w:val="0"/>
        <w:spacing w:after="120"/>
        <w:ind w:firstLine="567"/>
      </w:pPr>
      <w:r>
        <w:t xml:space="preserve">Thiết kế so sánh đặt năm mô hình vào điều kiện đồng nhất nhất có thể: đường cơ sở cố định gốc dự báo nên chỉ dùng thông tin có tại gốc, Ridge được chuẩn hóa đặc trưng, XGBoost dùng cùng lượng dữ liệu với LightGBM và Ridge, và tham số lấy mẫu dòng của LightGBM có hiệu lực. Tuy vậy, Random Forest vẫn chỉ dùng mẫu 600.000 dòng, không mô hình nào được tinh chỉnh siêu tham số, và kết quả dựa trên ba lần kiểm định 16 ngày, nên chênh lệch nhỏ giữa XGBoost và LightGBM không thể kiểm định về ý nghĩa thống kê; ngoài ra, môi trường của lần chạy chính thức (scikit-learn 1.8.0, xgboost 3.2.0) khác môi trường.venv trong thư mục đề tài, nên XGBoost và Random Forest có thể lệch nhỏ khi chạy lại. Thứ hạng trong Chương 4 vì vậy là thứ hạng của các cấu hình cụ thể dưới điều kiện của lần chạy chính thức, không phải thứ hạng phổ quát của các họ thuật toán; các chương sau dùng XGBoost làm mô hình nền theo quy tắc đã khóa trước và giữ LightGBM làm mô hình thách thức.</w:t>
      </w:r>
    </w:p>
    <w:p>
      <w:pPr>
        <w:pStyle w:val="Heading2"/>
        <w:keepNext/>
      </w:pPr>
      <w:r>
        <w:t xml:space="preserve">2.10. MAE và RMSE</w:t>
      </w:r>
    </w:p>
    <w:p>
      <w:pPr>
        <w:pStyle w:val="Heading3"/>
        <w:keepNext/>
      </w:pPr>
      <w:r>
        <w:t xml:space="preserve">2.10.1. Định nghĩa và tính chất thống kê</w:t>
      </w:r>
    </w:p>
    <w:p>
      <w:pPr>
        <w:keepLines w:val="0"/>
        <w:spacing w:after="120"/>
        <w:ind w:firstLine="567"/>
      </w:pPr>
      <w:r>
        <w:t xml:space="preserve">Gọi D là tập đánh giá gồm N quan sát ngày × cửa hàng × nhóm sản phẩm; mỗi quan sát được chỉ số hóa bằng cặp (i, t), trong đó i là một chuỗi cửa hàng × nhóm sản phẩm và t là một ngày thuộc cửa sổ đánh giá. Với y(i,t) là doanh số thực tế và ŷ(i,t) là dự báo điểm, phần dư là e(i,t) = y(i,t) − ŷ(i,t); e dương nghĩa là mô hình dự báo thấp hơn thực tế. MAE (Mean Absolute Error – sai số tuyệt đối trung bình) và RMSE (Root Mean Squared Error – căn bậc hai của sai số bình phương trung bình) được xác định như trong (2.36) và (2.37) (Hyndman và Athanasopoulos, 2021). Trong mã nguồn, dự báo được chặn về 0 trước khi tính mọi thước đo, nên ŷ(i,t) ≥ 0 trong tất cả công thức của mục 2.10 và 2.11.</w:t>
      </w:r>
    </w:p>
    <w:p>
      <w:pPr>
        <w:tabs>
          <w:tab w:val="center" w:pos="4535"/>
          <w:tab w:val="right" w:pos="9071"/>
        </w:tabs>
        <w:spacing w:before="60" w:after="60"/>
        <w:ind w:firstLine="0"/>
      </w:pPr>
      <w:r>
        <w:tab/>
      </w:r>
      <m:oMath xmlns:a="http://schemas.openxmlformats.org/drawingml/2006/main" xmlns:pic="http://schemas.openxmlformats.org/drawingml/2006/picture">
        <m:r>
          <m:rPr>
            <m:sty m:val="p"/>
          </m:rPr>
          <m:t>M</m:t>
        </m:r>
        <m:r>
          <m:rPr>
            <m:sty m:val="p"/>
          </m:rPr>
          <m:t>A</m:t>
        </m:r>
        <m:r>
          <m:rPr>
            <m:sty m:val="p"/>
          </m:rPr>
          <m:t>E</m:t>
        </m:r>
        <m:r>
          <m:rPr>
            <m:sty m:val="p"/>
          </m:rPr>
          <m:t>=</m:t>
        </m:r>
        <m:f>
          <m:fPr>
            <m:type m:val="bar"/>
          </m:fPr>
          <m:num>
            <m:r>
              <m:t>1</m:t>
            </m:r>
          </m:num>
          <m:den>
            <m:r>
              <m:t>N</m:t>
            </m:r>
          </m:den>
        </m:f>
        <m:nary>
          <m:naryPr>
            <m:chr m:val="∑"/>
            <m:limLoc m:val="undOvr"/>
            <m:subHide m:val="off"/>
            <m:supHide m:val="on"/>
          </m:naryPr>
          <m:sub>
            <m:d>
              <m:dPr>
                <m:begChr m:val="("/>
                <m:sepChr m:val=""/>
                <m:endChr m:val=")"/>
                <m:grow/>
              </m:dPr>
              <m:e>
                <m:r>
                  <m:t>i</m:t>
                </m:r>
                <m:r>
                  <m:rPr>
                    <m:sty m:val="p"/>
                  </m:rPr>
                  <m:t>,</m:t>
                </m:r>
                <m:r>
                  <m:t>t</m:t>
                </m:r>
              </m:e>
            </m:d>
            <m:r>
              <m:rPr>
                <m:sty m:val="p"/>
              </m:rPr>
              <m:t>∈</m:t>
            </m:r>
            <m:r>
              <m:t>D</m:t>
            </m:r>
          </m:sub>
          <m:sup>
            <m:r>
              <m:t>​</m:t>
            </m:r>
          </m:sup>
          <m:e>
            <m:d>
              <m:dPr>
                <m:begChr m:val="|"/>
                <m:sepChr m:val=""/>
                <m:endChr m:val="|"/>
                <m:grow/>
              </m:dPr>
              <m:e>
                <m:sSub>
                  <m:e>
                    <m:r>
                      <m:t>y</m:t>
                    </m:r>
                  </m:e>
                  <m:sub>
                    <m:r>
                      <m:t>i</m:t>
                    </m:r>
                    <m:r>
                      <m:rPr>
                        <m:sty m:val="p"/>
                      </m:rPr>
                      <m:t>,</m:t>
                    </m:r>
                    <m:r>
                      <m:t>t</m:t>
                    </m:r>
                  </m:sub>
                </m:sSub>
                <m:r>
                  <m:rPr>
                    <m:sty m:val="p"/>
                  </m:rPr>
                  <m:t>−</m:t>
                </m:r>
                <m:sSub>
                  <m:e>
                    <m:acc>
                      <m:accPr>
                        <m:chr m:val="̂"/>
                      </m:accPr>
                      <m:e>
                        <m:r>
                          <m:t>y</m:t>
                        </m:r>
                      </m:e>
                    </m:acc>
                  </m:e>
                  <m:sub>
                    <m:r>
                      <m:t>i</m:t>
                    </m:r>
                    <m:r>
                      <m:rPr>
                        <m:sty m:val="p"/>
                      </m:rPr>
                      <m:t>,</m:t>
                    </m:r>
                    <m:r>
                      <m:t>t</m:t>
                    </m:r>
                  </m:sub>
                </m:sSub>
              </m:e>
            </m:d>
          </m:e>
        </m:nary>
      </m:oMath>
      <w:r>
        <w:tab/>
        <w:t>(2.36)</w:t>
      </w:r>
    </w:p>
    <w:p>
      <w:pPr>
        <w:tabs>
          <w:tab w:val="center" w:pos="4535"/>
          <w:tab w:val="right" w:pos="9071"/>
        </w:tabs>
        <w:spacing w:before="60" w:after="60"/>
        <w:ind w:firstLine="0"/>
      </w:pPr>
      <w:r>
        <w:tab/>
      </w:r>
      <m:oMath xmlns:a="http://schemas.openxmlformats.org/drawingml/2006/main" xmlns:pic="http://schemas.openxmlformats.org/drawingml/2006/picture">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n"/>
              </m:naryPr>
              <m:sub>
                <m:d>
                  <m:dPr>
                    <m:begChr m:val="("/>
                    <m:sepChr m:val=""/>
                    <m:endChr m:val=")"/>
                    <m:grow/>
                  </m:dPr>
                  <m:e>
                    <m:r>
                      <m:t>i</m:t>
                    </m:r>
                    <m:r>
                      <m:rPr>
                        <m:sty m:val="p"/>
                      </m:rPr>
                      <m:t>,</m:t>
                    </m:r>
                    <m:r>
                      <m:t>t</m:t>
                    </m:r>
                  </m:e>
                </m:d>
                <m:r>
                  <m:rPr>
                    <m:sty m:val="p"/>
                  </m:rPr>
                  <m:t>∈</m:t>
                </m:r>
                <m:r>
                  <m:t>D</m:t>
                </m:r>
              </m:sub>
              <m:sup>
                <m:r>
                  <m:t>​</m:t>
                </m:r>
              </m:sup>
              <m:e>
                <m:sSup>
                  <m:e>
                    <m:d>
                      <m:dPr>
                        <m:begChr m:val="("/>
                        <m:sepChr m:val=""/>
                        <m:endChr m:val=")"/>
                        <m:grow/>
                      </m:dPr>
                      <m:e>
                        <m:sSub>
                          <m:e>
                            <m:r>
                              <m:t>y</m:t>
                            </m:r>
                          </m:e>
                          <m:sub>
                            <m:r>
                              <m:t>i</m:t>
                            </m:r>
                            <m:r>
                              <m:rPr>
                                <m:sty m:val="p"/>
                              </m:rPr>
                              <m:t>,</m:t>
                            </m:r>
                            <m:r>
                              <m:t>t</m:t>
                            </m:r>
                          </m:sub>
                        </m:sSub>
                        <m:r>
                          <m:rPr>
                            <m:sty m:val="p"/>
                          </m:rPr>
                          <m:t>−</m:t>
                        </m:r>
                        <m:sSub>
                          <m:e>
                            <m:acc>
                              <m:accPr>
                                <m:chr m:val="̂"/>
                              </m:accPr>
                              <m:e>
                                <m:r>
                                  <m:t>y</m:t>
                                </m:r>
                              </m:e>
                            </m:acc>
                          </m:e>
                          <m:sub>
                            <m:r>
                              <m:t>i</m:t>
                            </m:r>
                            <m:r>
                              <m:rPr>
                                <m:sty m:val="p"/>
                              </m:rPr>
                              <m:t>,</m:t>
                            </m:r>
                            <m:r>
                              <m:t>t</m:t>
                            </m:r>
                          </m:sub>
                        </m:sSub>
                      </m:e>
                    </m:d>
                  </m:e>
                  <m:sup>
                    <m:r>
                      <m:t>2</m:t>
                    </m:r>
                  </m:sup>
                </m:sSup>
              </m:e>
            </m:nary>
          </m:e>
        </m:rad>
      </m:oMath>
      <w:r>
        <w:tab/>
        <w:t>(2.37)</w:t>
      </w:r>
    </w:p>
    <w:p>
      <w:pPr>
        <w:keepLines w:val="0"/>
        <w:spacing w:after="120"/>
        <w:ind w:firstLine="567"/>
      </w:pPr>
      <w:r>
        <w:t xml:space="preserve">MAE có cùng đơn vị với doanh số và xử lý sai số tuyến tính, nên được đọc như mức lệch điển hình của một quan sát. RMSE bình phương phần dư trước khi lấy trung bình, nên phạt nặng các sai số lớn; giữa hai thước đo luôn có MAE ≤ RMSE ≤ √N × MAE, và tỷ số RMSE/MAE càng lớn thì sai số càng dồn vào ít quan sát. Dự báo tối ưu dưới mất mát tuyệt đối là trung vị có điều kiện, dưới mất mát bình phương là kỳ vọng có điều kiện. Với dữ liệu lệch phải như Favorita, hai đại lượng này cách xa nhau (nhóm không có khuyến mãi có trung bình 158,247 nhưng trung vị 3,0). Hyndman và Koehler (2006) xếp cả MAE và RMSE vào nhóm thước đo phụ thuộc thang đo (scale-dependent): thích hợp để so sánh mô hình trên cùng một tập dữ liệu, nhưng không thích hợp để so sánh giữa các chuỗi có quy mô khác nhau.</w:t>
      </w:r>
    </w:p>
    <w:p>
      <w:pPr>
        <w:pStyle w:val="Heading3"/>
        <w:keepNext/>
      </w:pPr>
      <w:r>
        <w:t xml:space="preserve">2.10.2. Vai trò của MAE và RMSE trong quy tắc lựa chọn mô hình</w:t>
      </w:r>
    </w:p>
    <w:p>
      <w:pPr>
        <w:keepLines w:val="0"/>
        <w:spacing w:after="120"/>
        <w:ind w:firstLine="567"/>
      </w:pPr>
      <w:r>
        <w:t xml:space="preserve">Trong thiết kế của luận văn, MAE và RMSE là các tiêu chí phá thế hòa được xác định trước: mô hình được xếp theo WAPE trung bình qua ba lần kiểm định chéo cuốn chiếu theo thời gian; nếu hòa, xét RMSE trung bình rồi đến MAE trung bình. Trên cùng một cửa sổ, thứ tự theo WAPE và theo MAE luôn trùng nhau, còn RMSE có thể đảo thứ hạng. Trong lần chạy chính thức, XGBoost vừa có WAPE trung bình thấp nhất (12,089% so với 12,568% của LightGBM) vừa có RMSE thấp nhất ở cả ba lần kiểm định, nên tiêu chí phá thế hòa không phải dùng đến. Trên tập kiểm tra cuối, thứ hạng theo RMSE lại đảo rất nhẹ: LightGBM đạt 225,479 so với 225,602 của XGBoost, trong khi XGBoost vẫn có WAPE thấp hơn (14,327% so với 14,868%). Quy tắc được cố định trước để tập kiểm tra cuối không trở thành một phần của quá trình lựa chọn (Tashman, 2000; Hewamalage và cộng sự, 2023).</w:t>
      </w:r>
    </w:p>
    <w:p>
      <w:pPr>
        <w:keepLines w:val="0"/>
        <w:spacing w:after="120"/>
        <w:ind w:firstLine="567"/>
      </w:pPr>
      <w:r>
        <w:t xml:space="preserve">Báo cáo đồng thời hai chỉ số còn giúp nhận diện hình dạng phân phối sai số. Trên tập kiểm tra cuối, MAE của dự báo điểm XGBoost là 66,927 còn RMSE là 225,602, tức RMSE gấp khoảng 3,37 lần MAE. Tỷ số này cho thấy phần dư có đuôi dài: phần lớn tổng bình phương sai số đến từ số ít quan sát doanh số lớn, phù hợp với việc nhóm tứ phân vị nhu cầu cao nhất chiếm 92,70% tổng doanh số thực tế của tập kiểm tra cuối và có MAE 231,940, trong khi nhóm thấp nhất chỉ có MAE 1,715. Đặc điểm này là cầu nối sang dự báo xác suất ở mục 2.12, nơi độ rộng khoảng được phép thay đổi theo quy mô.</w:t>
      </w:r>
    </w:p>
    <w:p>
      <w:pPr>
        <w:pStyle w:val="Heading2"/>
        <w:keepNext/>
      </w:pPr>
      <w:r>
        <w:t xml:space="preserve">2.11. WAPE, sMAPE và RMSLE</w:t>
      </w:r>
    </w:p>
    <w:p>
      <w:pPr>
        <w:pStyle w:val="Heading3"/>
        <w:keepNext/>
      </w:pPr>
      <w:r>
        <w:t xml:space="preserve">2.11.1. WAPE và cơ chế trọng số theo khối lượng</w:t>
      </w:r>
    </w:p>
    <w:p>
      <w:pPr>
        <w:keepLines w:val="0"/>
        <w:spacing w:after="120"/>
        <w:ind w:firstLine="567"/>
      </w:pPr>
      <w:r>
        <w:t xml:space="preserve">WAPE (Weighted Absolute Percentage Error – sai số phần trăm tuyệt đối có trọng số) chuẩn hóa tổng sai số tuyệt đối bằng tổng giá trị thực tế trên toàn tập đánh giá, như trong (2.38). Chia cả tử số và mẫu số cho N cho thấy WAPE chính là MAE chia cho doanh số thực tế trung bình; vì thế WAPE kế thừa tính tuyến tính của MAE nhưng không phụ thuộc đơn vị đo, và mỗi đơn vị doanh số bị dự báo lệch được tính như nhau, bất kể thuộc chuỗi lớn hay nhỏ. Mã nguồn cộng hằng số rất nhỏ (10⁻⁹) vào mẫu số để tránh chia cho 0, không ảnh hưởng kết quả vì tổng doanh số luôn dương.</w:t>
      </w:r>
    </w:p>
    <w:p>
      <w:pPr>
        <w:tabs>
          <w:tab w:val="center" w:pos="4535"/>
          <w:tab w:val="right" w:pos="9071"/>
        </w:tabs>
        <w:spacing w:before="60" w:after="60"/>
        <w:ind w:firstLine="0"/>
      </w:pPr>
      <w:r>
        <w:tab/>
      </w:r>
      <m:oMath xmlns:a="http://schemas.openxmlformats.org/drawingml/2006/main" xmlns:pic="http://schemas.openxmlformats.org/drawingml/2006/picture">
        <m:r>
          <m:rPr>
            <m:sty m:val="p"/>
          </m:rPr>
          <m:t>W</m:t>
        </m:r>
        <m:r>
          <m:rPr>
            <m:sty m:val="p"/>
          </m:rPr>
          <m:t>A</m:t>
        </m:r>
        <m:r>
          <m:rPr>
            <m:sty m:val="p"/>
          </m:rPr>
          <m:t>P</m:t>
        </m:r>
        <m:r>
          <m:rPr>
            <m:sty m:val="p"/>
          </m:rPr>
          <m:t>E</m:t>
        </m:r>
        <m:r>
          <m:rPr>
            <m:sty m:val="p"/>
          </m:rPr>
          <m:t>=</m:t>
        </m:r>
        <m:f>
          <m:fPr>
            <m:type m:val="bar"/>
          </m:fPr>
          <m:num>
            <m:nary>
              <m:naryPr>
                <m:chr m:val="∑"/>
                <m:limLoc m:val="undOvr"/>
                <m:subHide m:val="off"/>
                <m:supHide m:val="on"/>
              </m:naryPr>
              <m:sub>
                <m:d>
                  <m:dPr>
                    <m:begChr m:val="("/>
                    <m:sepChr m:val=""/>
                    <m:endChr m:val=")"/>
                    <m:grow/>
                  </m:dPr>
                  <m:e>
                    <m:r>
                      <m:t>i</m:t>
                    </m:r>
                    <m:r>
                      <m:rPr>
                        <m:sty m:val="p"/>
                      </m:rPr>
                      <m:t>,</m:t>
                    </m:r>
                    <m:r>
                      <m:t>t</m:t>
                    </m:r>
                  </m:e>
                </m:d>
                <m:r>
                  <m:rPr>
                    <m:sty m:val="p"/>
                  </m:rPr>
                  <m:t>∈</m:t>
                </m:r>
                <m:r>
                  <m:t>D</m:t>
                </m:r>
              </m:sub>
              <m:sup>
                <m:r>
                  <m:t>​</m:t>
                </m:r>
              </m:sup>
              <m:e>
                <m:d>
                  <m:dPr>
                    <m:begChr m:val="|"/>
                    <m:sepChr m:val=""/>
                    <m:endChr m:val="|"/>
                    <m:grow/>
                  </m:dPr>
                  <m:e>
                    <m:sSub>
                      <m:e>
                        <m:r>
                          <m:t>y</m:t>
                        </m:r>
                      </m:e>
                      <m:sub>
                        <m:r>
                          <m:t>i</m:t>
                        </m:r>
                        <m:r>
                          <m:rPr>
                            <m:sty m:val="p"/>
                          </m:rPr>
                          <m:t>,</m:t>
                        </m:r>
                        <m:r>
                          <m:t>t</m:t>
                        </m:r>
                      </m:sub>
                    </m:sSub>
                    <m:r>
                      <m:rPr>
                        <m:sty m:val="p"/>
                      </m:rPr>
                      <m:t>−</m:t>
                    </m:r>
                    <m:sSub>
                      <m:e>
                        <m:acc>
                          <m:accPr>
                            <m:chr m:val="̂"/>
                          </m:accPr>
                          <m:e>
                            <m:r>
                              <m:t>y</m:t>
                            </m:r>
                          </m:e>
                        </m:acc>
                      </m:e>
                      <m:sub>
                        <m:r>
                          <m:t>i</m:t>
                        </m:r>
                        <m:r>
                          <m:rPr>
                            <m:sty m:val="p"/>
                          </m:rPr>
                          <m:t>,</m:t>
                        </m:r>
                        <m:r>
                          <m:t>t</m:t>
                        </m:r>
                      </m:sub>
                    </m:sSub>
                  </m:e>
                </m:d>
              </m:e>
            </m:nary>
          </m:num>
          <m:den>
            <m:nary>
              <m:naryPr>
                <m:chr m:val="∑"/>
                <m:limLoc m:val="undOvr"/>
                <m:subHide m:val="off"/>
                <m:supHide m:val="on"/>
              </m:naryPr>
              <m:sub>
                <m:d>
                  <m:dPr>
                    <m:begChr m:val="("/>
                    <m:sepChr m:val=""/>
                    <m:endChr m:val=")"/>
                    <m:grow/>
                  </m:dPr>
                  <m:e>
                    <m:r>
                      <m:t>i</m:t>
                    </m:r>
                    <m:r>
                      <m:rPr>
                        <m:sty m:val="p"/>
                      </m:rPr>
                      <m:t>,</m:t>
                    </m:r>
                    <m:r>
                      <m:t>t</m:t>
                    </m:r>
                  </m:e>
                </m:d>
                <m:r>
                  <m:rPr>
                    <m:sty m:val="p"/>
                  </m:rPr>
                  <m:t>∈</m:t>
                </m:r>
                <m:r>
                  <m:t>D</m:t>
                </m:r>
              </m:sub>
              <m:sup>
                <m:r>
                  <m:t>​</m:t>
                </m:r>
              </m:sup>
              <m:e>
                <m:d>
                  <m:dPr>
                    <m:begChr m:val="|"/>
                    <m:sepChr m:val=""/>
                    <m:endChr m:val="|"/>
                    <m:grow/>
                  </m:dPr>
                  <m:e>
                    <m:sSub>
                      <m:e>
                        <m:r>
                          <m:t>y</m:t>
                        </m:r>
                      </m:e>
                      <m:sub>
                        <m:r>
                          <m:t>i</m:t>
                        </m:r>
                        <m:r>
                          <m:rPr>
                            <m:sty m:val="p"/>
                          </m:rPr>
                          <m:t>,</m:t>
                        </m:r>
                        <m:r>
                          <m:t>t</m:t>
                        </m:r>
                      </m:sub>
                    </m:sSub>
                  </m:e>
                </m:d>
              </m:e>
            </m:nary>
          </m:den>
        </m:f>
        <m:r>
          <m:rPr>
            <m:sty m:val="p"/>
          </m:rPr>
          <m:t>×</m:t>
        </m:r>
        <m:r>
          <m:t>100</m:t>
        </m:r>
        <m:r>
          <m:rPr>
            <m:sty m:val="p"/>
          </m:rPr>
          <m:t>%</m:t>
        </m:r>
      </m:oMath>
      <w:r>
        <w:tab/>
        <w:t>(2.38)</w:t>
      </w:r>
    </w:p>
    <w:p>
      <w:pPr>
        <w:keepLines w:val="0"/>
        <w:spacing w:after="120"/>
        <w:ind w:firstLine="567"/>
      </w:pPr>
      <w:r>
        <w:t xml:space="preserve">WAPE phù hợp khi biến mục tiêu có nhiều giá trị 0, vì mẫu số là tổng thay vì từng giá trị riêng lẻ: 31,30% số dòng của dữ liệu có sales bằng 0, khiến MAPE không xác định ở mỗi dòng đó, còn WAPE chỉ không xác định khi tổng doanh số của cả tập bằng 0. Mặt trái là sai số tương đối lớn ở chuỗi nhu cầu thấp hầu như không ảnh hưởng WAPE tổng. Kết quả ở Chương 4 minh họa rõ: trên tập kiểm tra cuối, nhóm tứ phân vị nhu cầu thấp nhất có WAPE 210,17% nhưng chỉ chiếm khoảng 0,0437% tổng doanh số thực tế, nên gần như vô hình trong WAPE toàn hệ thống 14,327%. Chỉ số tổng vì vậy cần đi kèm WAPE phân rã theo cửa hàng, nhóm sản phẩm và mức nhu cầu; chọn thước đo theo cấu trúc dữ liệu cũng là khuyến nghị của Hewamalage và cộng sự (2023).</w:t>
      </w:r>
    </w:p>
    <w:p>
      <w:pPr>
        <w:pStyle w:val="Heading3"/>
        <w:keepNext/>
      </w:pPr>
      <w:r>
        <w:t xml:space="preserve">2.11.2. sMAPE và hành vi tại vùng giá trị nhỏ</w:t>
      </w:r>
    </w:p>
    <w:p>
      <w:pPr>
        <w:keepLines w:val="0"/>
        <w:spacing w:after="120"/>
        <w:ind w:firstLine="567"/>
      </w:pPr>
      <w:r>
        <w:t xml:space="preserve">sMAPE (symmetric Mean Absolute Percentage Error – sai số phần trăm tuyệt đối trung bình đối xứng) chia độ lệch tuyệt đối của từng quan sát cho trung bình độ lớn của giá trị thực tế và giá trị dự báo, theo (2.39). Luận văn trình bày sMAPE ở dạng tỷ lệ, đúng như cách mã nguồn tính và báo cáo (chẳng hạn 0,5093 của XGBoost trong kiểm định chéo). Sai số từng quan sát bị chặn trên bởi 2: mọi điểm có y = 0 và ŷ &gt; 0, hoặc ngược lại, đều nhận giá trị cực đại dù độ lệch tuyệt đối lớn hay nhỏ. Khi cả y và ŷ bằng 0, biểu thức có dạng 0/0; mã nguồn quy ước sai số bằng 0 tại các điểm này, và chúng vẫn nằm trong mẫu số N của phép lấy trung bình.</w:t>
      </w:r>
    </w:p>
    <w:p>
      <w:pPr>
        <w:tabs>
          <w:tab w:val="center" w:pos="4535"/>
          <w:tab w:val="right" w:pos="9071"/>
        </w:tabs>
        <w:spacing w:before="60" w:after="60"/>
        <w:ind w:firstLine="0"/>
      </w:pPr>
      <w:r>
        <w:tab/>
      </w:r>
      <m:oMath xmlns:a="http://schemas.openxmlformats.org/drawingml/2006/main" xmlns:pic="http://schemas.openxmlformats.org/drawingml/2006/picture">
        <m:r>
          <m:rPr>
            <m:sty m:val="p"/>
          </m:rPr>
          <m:t>s</m:t>
        </m:r>
        <m:r>
          <m:rPr>
            <m:sty m:val="p"/>
          </m:rPr>
          <m:t>M</m:t>
        </m:r>
        <m:r>
          <m:rPr>
            <m:sty m:val="p"/>
          </m:rPr>
          <m:t>A</m:t>
        </m:r>
        <m:r>
          <m:rPr>
            <m:sty m:val="p"/>
          </m:rPr>
          <m:t>P</m:t>
        </m:r>
        <m:r>
          <m:rPr>
            <m:sty m:val="p"/>
          </m:rPr>
          <m:t>E</m:t>
        </m:r>
        <m:r>
          <m:rPr>
            <m:sty m:val="p"/>
          </m:rPr>
          <m:t>=</m:t>
        </m:r>
        <m:f>
          <m:fPr>
            <m:type m:val="bar"/>
          </m:fPr>
          <m:num>
            <m:r>
              <m:t>1</m:t>
            </m:r>
          </m:num>
          <m:den>
            <m:r>
              <m:t>N</m:t>
            </m:r>
          </m:den>
        </m:f>
        <m:nary>
          <m:naryPr>
            <m:chr m:val="∑"/>
            <m:limLoc m:val="undOvr"/>
            <m:subHide m:val="off"/>
            <m:supHide m:val="on"/>
          </m:naryPr>
          <m:sub>
            <m:d>
              <m:dPr>
                <m:begChr m:val="("/>
                <m:sepChr m:val=""/>
                <m:endChr m:val=")"/>
                <m:grow/>
              </m:dPr>
              <m:e>
                <m:r>
                  <m:t>i</m:t>
                </m:r>
                <m:r>
                  <m:rPr>
                    <m:sty m:val="p"/>
                  </m:rPr>
                  <m:t>,</m:t>
                </m:r>
                <m:r>
                  <m:t>t</m:t>
                </m:r>
              </m:e>
            </m:d>
            <m:r>
              <m:rPr>
                <m:sty m:val="p"/>
              </m:rPr>
              <m:t>∈</m:t>
            </m:r>
            <m:r>
              <m:t>D</m:t>
            </m:r>
          </m:sub>
          <m:sup>
            <m:r>
              <m:t>​</m:t>
            </m:r>
          </m:sup>
          <m:e>
            <m:sSub>
              <m:e>
                <m:r>
                  <m:t>s</m:t>
                </m:r>
              </m:e>
              <m:sub>
                <m:r>
                  <m:t>i</m:t>
                </m:r>
                <m:r>
                  <m:rPr>
                    <m:sty m:val="p"/>
                  </m:rPr>
                  <m:t>,</m:t>
                </m:r>
                <m:r>
                  <m:t>t</m:t>
                </m:r>
              </m:sub>
            </m:sSub>
          </m:e>
        </m:nary>
        <m:r>
          <m:rPr>
            <m:sty m:val="p"/>
          </m:rPr>
          <m:t>,</m:t>
        </m:r>
        <m:r>
          <m:t>  </m:t>
        </m:r>
        <m:sSub>
          <m:e>
            <m:r>
              <m:t>s</m:t>
            </m:r>
          </m:e>
          <m:sub>
            <m:r>
              <m:t>i</m:t>
            </m:r>
            <m:r>
              <m:rPr>
                <m:sty m:val="p"/>
              </m:rPr>
              <m:t>,</m:t>
            </m:r>
            <m:r>
              <m:t>t</m:t>
            </m:r>
          </m:sub>
        </m:sSub>
        <m:r>
          <m:rPr>
            <m:sty m:val="p"/>
          </m:rPr>
          <m:t>=</m:t>
        </m:r>
        <m:d>
          <m:dPr>
            <m:begChr m:val="{"/>
            <m:sepChr m:val=""/>
            <m:endChr m:val=""/>
            <m:grow/>
          </m:dPr>
          <m:e>
            <m:m>
              <m:mPr>
                <m:baseJc m:val="center"/>
                <m:plcHide m:val="on"/>
                <m:mcs>
                  <m:mc>
                    <m:mcPr>
                      <m:count m:val="1"/>
                      <m:mcJc m:val="left"/>
                    </m:mcPr>
                  </m:mc>
                  <m:mc>
                    <m:mcPr>
                      <m:count m:val="1"/>
                      <m:mcJc m:val="left"/>
                    </m:mcPr>
                  </m:mc>
                </m:mcs>
              </m:mPr>
              <m:mr>
                <m:e>
                  <m:f>
                    <m:fPr>
                      <m:type m:val="bar"/>
                    </m:fPr>
                    <m:num>
                      <m:r>
                        <m:t>2</m:t>
                      </m:r>
                      <m:d>
                        <m:dPr>
                          <m:begChr m:val="|"/>
                          <m:sepChr m:val=""/>
                          <m:endChr m:val="|"/>
                          <m:grow/>
                        </m:dPr>
                        <m:e>
                          <m:sSub>
                            <m:e>
                              <m:r>
                                <m:t>y</m:t>
                              </m:r>
                            </m:e>
                            <m:sub>
                              <m:r>
                                <m:t>i</m:t>
                              </m:r>
                              <m:r>
                                <m:rPr>
                                  <m:sty m:val="p"/>
                                </m:rPr>
                                <m:t>,</m:t>
                              </m:r>
                              <m:r>
                                <m:t>t</m:t>
                              </m:r>
                            </m:sub>
                          </m:sSub>
                          <m:r>
                            <m:rPr>
                              <m:sty m:val="p"/>
                            </m:rPr>
                            <m:t>−</m:t>
                          </m:r>
                          <m:sSub>
                            <m:e>
                              <m:acc>
                                <m:accPr>
                                  <m:chr m:val="̂"/>
                                </m:accPr>
                                <m:e>
                                  <m:r>
                                    <m:t>y</m:t>
                                  </m:r>
                                </m:e>
                              </m:acc>
                            </m:e>
                            <m:sub>
                              <m:r>
                                <m:t>i</m:t>
                              </m:r>
                              <m:r>
                                <m:rPr>
                                  <m:sty m:val="p"/>
                                </m:rPr>
                                <m:t>,</m:t>
                              </m:r>
                              <m:r>
                                <m:t>t</m:t>
                              </m:r>
                            </m:sub>
                          </m:sSub>
                        </m:e>
                      </m:d>
                    </m:num>
                    <m:den>
                      <m:d>
                        <m:dPr>
                          <m:begChr m:val="|"/>
                          <m:sepChr m:val=""/>
                          <m:endChr m:val="|"/>
                          <m:grow/>
                        </m:dPr>
                        <m:e>
                          <m:sSub>
                            <m:e>
                              <m:r>
                                <m:t>y</m:t>
                              </m:r>
                            </m:e>
                            <m:sub>
                              <m:r>
                                <m:t>i</m:t>
                              </m:r>
                              <m:r>
                                <m:rPr>
                                  <m:sty m:val="p"/>
                                </m:rPr>
                                <m:t>,</m:t>
                              </m:r>
                              <m:r>
                                <m:t>t</m:t>
                              </m:r>
                            </m:sub>
                          </m:sSub>
                        </m:e>
                      </m:d>
                      <m:r>
                        <m:rPr>
                          <m:sty m:val="p"/>
                        </m:rPr>
                        <m:t>+</m:t>
                      </m:r>
                      <m:d>
                        <m:dPr>
                          <m:begChr m:val="|"/>
                          <m:sepChr m:val=""/>
                          <m:endChr m:val="|"/>
                          <m:grow/>
                        </m:dPr>
                        <m:e>
                          <m:sSub>
                            <m:e>
                              <m:acc>
                                <m:accPr>
                                  <m:chr m:val="̂"/>
                                </m:accPr>
                                <m:e>
                                  <m:r>
                                    <m:t>y</m:t>
                                  </m:r>
                                </m:e>
                              </m:acc>
                            </m:e>
                            <m:sub>
                              <m:r>
                                <m:t>i</m:t>
                              </m:r>
                              <m:r>
                                <m:rPr>
                                  <m:sty m:val="p"/>
                                </m:rPr>
                                <m:t>,</m:t>
                              </m:r>
                              <m:r>
                                <m:t>t</m:t>
                              </m:r>
                            </m:sub>
                          </m:sSub>
                        </m:e>
                      </m:d>
                    </m:den>
                  </m:f>
                  <m:r>
                    <m:rPr>
                      <m:sty m:val="p"/>
                    </m:rPr>
                    <m:t>,</m:t>
                  </m:r>
                </m:e>
                <m:e>
                  <m:d>
                    <m:dPr>
                      <m:begChr m:val="|"/>
                      <m:sepChr m:val=""/>
                      <m:endChr m:val="|"/>
                      <m:grow/>
                    </m:dPr>
                    <m:e>
                      <m:sSub>
                        <m:e>
                          <m:r>
                            <m:t>y</m:t>
                          </m:r>
                        </m:e>
                        <m:sub>
                          <m:r>
                            <m:t>i</m:t>
                          </m:r>
                          <m:r>
                            <m:rPr>
                              <m:sty m:val="p"/>
                            </m:rPr>
                            <m:t>,</m:t>
                          </m:r>
                          <m:r>
                            <m:t>t</m:t>
                          </m:r>
                        </m:sub>
                      </m:sSub>
                    </m:e>
                  </m:d>
                  <m:r>
                    <m:rPr>
                      <m:sty m:val="p"/>
                    </m:rPr>
                    <m:t>+</m:t>
                  </m:r>
                  <m:d>
                    <m:dPr>
                      <m:begChr m:val="|"/>
                      <m:sepChr m:val=""/>
                      <m:endChr m:val="|"/>
                      <m:grow/>
                    </m:dPr>
                    <m:e>
                      <m:sSub>
                        <m:e>
                          <m:acc>
                            <m:accPr>
                              <m:chr m:val="̂"/>
                            </m:accPr>
                            <m:e>
                              <m:r>
                                <m:t>y</m:t>
                              </m:r>
                            </m:e>
                          </m:acc>
                        </m:e>
                        <m:sub>
                          <m:r>
                            <m:t>i</m:t>
                          </m:r>
                          <m:r>
                            <m:rPr>
                              <m:sty m:val="p"/>
                            </m:rPr>
                            <m:t>,</m:t>
                          </m:r>
                          <m:r>
                            <m:t>t</m:t>
                          </m:r>
                        </m:sub>
                      </m:sSub>
                    </m:e>
                  </m:d>
                  <m:r>
                    <m:rPr>
                      <m:sty m:val="p"/>
                    </m:rPr>
                    <m:t>&gt;</m:t>
                  </m:r>
                  <m:r>
                    <m:t>0</m:t>
                  </m:r>
                </m:e>
              </m:mr>
              <m:mr>
                <m:e>
                  <m:r>
                    <m:t>0</m:t>
                  </m:r>
                  <m:r>
                    <m:rPr>
                      <m:sty m:val="p"/>
                    </m:rPr>
                    <m:t>,</m:t>
                  </m:r>
                </m:e>
                <m:e>
                  <m:d>
                    <m:dPr>
                      <m:begChr m:val="|"/>
                      <m:sepChr m:val=""/>
                      <m:endChr m:val="|"/>
                      <m:grow/>
                    </m:dPr>
                    <m:e>
                      <m:sSub>
                        <m:e>
                          <m:r>
                            <m:t>y</m:t>
                          </m:r>
                        </m:e>
                        <m:sub>
                          <m:r>
                            <m:t>i</m:t>
                          </m:r>
                          <m:r>
                            <m:rPr>
                              <m:sty m:val="p"/>
                            </m:rPr>
                            <m:t>,</m:t>
                          </m:r>
                          <m:r>
                            <m:t>t</m:t>
                          </m:r>
                        </m:sub>
                      </m:sSub>
                    </m:e>
                  </m:d>
                  <m:r>
                    <m:rPr>
                      <m:sty m:val="p"/>
                    </m:rPr>
                    <m:t>+</m:t>
                  </m:r>
                  <m:d>
                    <m:dPr>
                      <m:begChr m:val="|"/>
                      <m:sepChr m:val=""/>
                      <m:endChr m:val="|"/>
                      <m:grow/>
                    </m:dPr>
                    <m:e>
                      <m:sSub>
                        <m:e>
                          <m:acc>
                            <m:accPr>
                              <m:chr m:val="̂"/>
                            </m:accPr>
                            <m:e>
                              <m:r>
                                <m:t>y</m:t>
                              </m:r>
                            </m:e>
                          </m:acc>
                        </m:e>
                        <m:sub>
                          <m:r>
                            <m:t>i</m:t>
                          </m:r>
                          <m:r>
                            <m:rPr>
                              <m:sty m:val="p"/>
                            </m:rPr>
                            <m:t>,</m:t>
                          </m:r>
                          <m:r>
                            <m:t>t</m:t>
                          </m:r>
                        </m:sub>
                      </m:sSub>
                    </m:e>
                  </m:d>
                  <m:r>
                    <m:rPr>
                      <m:sty m:val="p"/>
                    </m:rPr>
                    <m:t>=</m:t>
                  </m:r>
                  <m:r>
                    <m:t>0</m:t>
                  </m:r>
                </m:e>
              </m:mr>
            </m:m>
          </m:e>
        </m:d>
      </m:oMath>
      <w:r>
        <w:tab/>
        <w:t>(2.39)</w:t>
      </w:r>
    </w:p>
    <w:p>
      <w:pPr>
        <w:keepLines w:val="0"/>
        <w:spacing w:after="120"/>
        <w:ind w:firstLine="567"/>
      </w:pPr>
      <w:r>
        <w:t xml:space="preserve">Quy ước này có hệ quả đáng kể trên dữ liệu nhiều số 0: phương pháp dự báo đúng bằng 0 tại ngày không bán được nhận sai số 0 ở những điểm đó, trong khi mô hình hồi quy trả về một giá trị dương nhỏ nhận mức phạt cực đại, dù độ lệch chỉ vài đơn vị. Hyndman và Koehler (2006) chỉ ra rằng MAPE và sMAPE bất ổn khi giá trị thực tế gần 0 và mức phạt cho dự báo thừa, thiếu không cân bằng; các tác giả đề xuất sai số chuẩn hóa theo thang (MASE) làm phương án thay thế. Với Favorita, sMAPE vì thế chủ yếu phản ánh khả năng dự báo đúng số 0 và các giá trị nhỏ.</w:t>
      </w:r>
    </w:p>
    <w:p>
      <w:pPr>
        <w:pStyle w:val="Heading3"/>
        <w:keepNext/>
      </w:pPr>
      <w:r>
        <w:t xml:space="preserve">2.11.3. RMSLE và sai số trên thang logarit</w:t>
      </w:r>
    </w:p>
    <w:p>
      <w:pPr>
        <w:keepLines w:val="0"/>
        <w:spacing w:after="120"/>
        <w:ind w:firstLine="567"/>
      </w:pPr>
      <w:r>
        <w:t xml:space="preserve">RMSLE (Root Mean Squared Logarithmic Error – căn bậc hai sai số bình phương trung bình trên thang logarit) áp dụng RMSE lên doanh số sau phép biến đổi log(1 + y), theo (2.40); mã nguồn dùng hàm log1p sau khi chặn giá trị về miền không âm, nên RMSLE xác định được tại y = 0 và ŷ = 0. Với doanh số đủ lớn, hiệu log(1 + y) − log(1 + ŷ) xấp xỉ log(y/ŷ), tức một sai lệch theo tỷ lệ; vì vậy RMSLE làm giảm mạnh ảnh hưởng của chuỗi quy mô lớn so với RMSE. Hệ quả là trên thang logarit, chênh lệch giữa 0 và vài đơn vị ở một chuỗi ít bán có thể nặng ngang chênh lệch hàng trăm đơn vị ở một chuỗi bán chạy.</w:t>
      </w:r>
    </w:p>
    <w:p>
      <w:pPr>
        <w:tabs>
          <w:tab w:val="center" w:pos="4535"/>
          <w:tab w:val="right" w:pos="9071"/>
        </w:tabs>
        <w:spacing w:before="60" w:after="60"/>
        <w:ind w:firstLine="0"/>
      </w:pPr>
      <w:r>
        <w:tab/>
      </w:r>
      <m:oMath xmlns:a="http://schemas.openxmlformats.org/drawingml/2006/main" xmlns:pic="http://schemas.openxmlformats.org/drawingml/2006/picture">
        <m:r>
          <m:rPr>
            <m:sty m:val="p"/>
          </m:rPr>
          <m:t>R</m:t>
        </m:r>
        <m:r>
          <m:rPr>
            <m:sty m:val="p"/>
          </m:rPr>
          <m:t>M</m:t>
        </m:r>
        <m:r>
          <m:rPr>
            <m:sty m:val="p"/>
          </m:rPr>
          <m:t>S</m:t>
        </m:r>
        <m:r>
          <m:rPr>
            <m:sty m:val="p"/>
          </m:rPr>
          <m:t>L</m:t>
        </m:r>
        <m:r>
          <m:rPr>
            <m:sty m:val="p"/>
          </m:rPr>
          <m:t>E</m:t>
        </m:r>
        <m:r>
          <m:rPr>
            <m:sty m:val="p"/>
          </m:rPr>
          <m:t>=</m:t>
        </m:r>
        <m:rad>
          <m:radPr>
            <m:degHide m:val="on"/>
          </m:radPr>
          <m:deg/>
          <m:e>
            <m:f>
              <m:fPr>
                <m:type m:val="bar"/>
              </m:fPr>
              <m:num>
                <m:r>
                  <m:t>1</m:t>
                </m:r>
              </m:num>
              <m:den>
                <m:r>
                  <m:t>N</m:t>
                </m:r>
              </m:den>
            </m:f>
            <m:nary>
              <m:naryPr>
                <m:chr m:val="∑"/>
                <m:limLoc m:val="undOvr"/>
                <m:subHide m:val="off"/>
                <m:supHide m:val="on"/>
              </m:naryPr>
              <m:sub>
                <m:d>
                  <m:dPr>
                    <m:begChr m:val="("/>
                    <m:sepChr m:val=""/>
                    <m:endChr m:val=")"/>
                    <m:grow/>
                  </m:dPr>
                  <m:e>
                    <m:r>
                      <m:t>i</m:t>
                    </m:r>
                    <m:r>
                      <m:rPr>
                        <m:sty m:val="p"/>
                      </m:rPr>
                      <m:t>,</m:t>
                    </m:r>
                    <m:r>
                      <m:t>t</m:t>
                    </m:r>
                  </m:e>
                </m:d>
                <m:r>
                  <m:rPr>
                    <m:sty m:val="p"/>
                  </m:rPr>
                  <m:t>∈</m:t>
                </m:r>
                <m:r>
                  <m:t>D</m:t>
                </m:r>
              </m:sub>
              <m:sup>
                <m:r>
                  <m:t>​</m:t>
                </m:r>
              </m:sup>
              <m:e>
                <m:sSup>
                  <m:e>
                    <m:d>
                      <m:dPr>
                        <m:begChr m:val="("/>
                        <m:sepChr m:val=""/>
                        <m:endChr m:val=")"/>
                        <m:grow/>
                      </m:dPr>
                      <m:e>
                        <m:r>
                          <m:rPr>
                            <m:sty m:val="p"/>
                          </m:rPr>
                          <m:t>log</m:t>
                        </m:r>
                        <m:d>
                          <m:dPr>
                            <m:begChr m:val="("/>
                            <m:sepChr m:val=""/>
                            <m:endChr m:val=")"/>
                            <m:grow/>
                          </m:dPr>
                          <m:e>
                            <m:r>
                              <m:t>1</m:t>
                            </m:r>
                            <m:r>
                              <m:rPr>
                                <m:sty m:val="p"/>
                              </m:rPr>
                              <m:t>+</m:t>
                            </m:r>
                            <m:r>
                              <m:rPr>
                                <m:sty m:val="p"/>
                              </m:rPr>
                              <m:t>max</m:t>
                            </m:r>
                            <m:d>
                              <m:dPr>
                                <m:begChr m:val="("/>
                                <m:sepChr m:val=""/>
                                <m:endChr m:val=")"/>
                                <m:grow/>
                              </m:dPr>
                              <m:e>
                                <m:sSub>
                                  <m:e>
                                    <m:r>
                                      <m:t>y</m:t>
                                    </m:r>
                                  </m:e>
                                  <m:sub>
                                    <m:r>
                                      <m:t>i</m:t>
                                    </m:r>
                                    <m:r>
                                      <m:rPr>
                                        <m:sty m:val="p"/>
                                      </m:rPr>
                                      <m:t>,</m:t>
                                    </m:r>
                                    <m:r>
                                      <m:t>t</m:t>
                                    </m:r>
                                  </m:sub>
                                </m:sSub>
                                <m:r>
                                  <m:rPr>
                                    <m:sty m:val="p"/>
                                  </m:rPr>
                                  <m:t>,</m:t>
                                </m:r>
                                <m:r>
                                  <m:t>0</m:t>
                                </m:r>
                              </m:e>
                            </m:d>
                          </m:e>
                        </m:d>
                        <m:r>
                          <m:rPr>
                            <m:sty m:val="p"/>
                          </m:rPr>
                          <m:t>−</m:t>
                        </m:r>
                        <m:r>
                          <m:rPr>
                            <m:sty m:val="p"/>
                          </m:rPr>
                          <m:t>log</m:t>
                        </m:r>
                        <m:d>
                          <m:dPr>
                            <m:begChr m:val="("/>
                            <m:sepChr m:val=""/>
                            <m:endChr m:val=")"/>
                            <m:grow/>
                          </m:dPr>
                          <m:e>
                            <m:r>
                              <m:t>1</m:t>
                            </m:r>
                            <m:r>
                              <m:rPr>
                                <m:sty m:val="p"/>
                              </m:rPr>
                              <m:t>+</m:t>
                            </m:r>
                            <m:sSub>
                              <m:e>
                                <m:acc>
                                  <m:accPr>
                                    <m:chr m:val="̂"/>
                                  </m:accPr>
                                  <m:e>
                                    <m:r>
                                      <m:t>y</m:t>
                                    </m:r>
                                  </m:e>
                                </m:acc>
                              </m:e>
                              <m:sub>
                                <m:r>
                                  <m:t>i</m:t>
                                </m:r>
                                <m:r>
                                  <m:rPr>
                                    <m:sty m:val="p"/>
                                  </m:rPr>
                                  <m:t>,</m:t>
                                </m:r>
                                <m:r>
                                  <m:t>t</m:t>
                                </m:r>
                              </m:sub>
                            </m:sSub>
                          </m:e>
                        </m:d>
                      </m:e>
                    </m:d>
                  </m:e>
                  <m:sup>
                    <m:r>
                      <m:t>2</m:t>
                    </m:r>
                  </m:sup>
                </m:sSup>
              </m:e>
            </m:nary>
          </m:e>
        </m:rad>
      </m:oMath>
      <w:r>
        <w:tab/>
        <w:t>(2.40)</w:t>
      </w:r>
    </w:p>
    <w:p>
      <w:pPr>
        <w:keepLines w:val="0"/>
        <w:spacing w:after="120"/>
        <w:ind w:firstLine="567"/>
      </w:pPr>
      <w:r>
        <w:t xml:space="preserve">Do hàm logarit lõm, với cùng độ lệch tuyệt đối d, dự báo thiếu (ŷ = y − d) tạo chênh lệch logarit lớn hơn dự báo thừa (ŷ = y + d), nên RMSLE phạt dự báo thiếu nặng hơn. RMSLE không đo trực tiếp khối lượng nhu cầu bị dự báo sai; một mô hình có thể đạt RMSLE tốt mà vẫn để lại sai số tuyệt đối lớn ở chuỗi lớn. Giống sMAPE, RMSLE ưu ái các phương pháp dự báo chính xác giá trị 0 và giá trị nhỏ, vốn rất phổ biến: 31,30% số dòng của toàn bộ dữ liệu và 14,58% số dòng của tập kiểm tra cuối có sales bằng 0.</w:t>
      </w:r>
    </w:p>
    <w:p>
      <w:pPr>
        <w:pStyle w:val="Heading3"/>
        <w:keepNext/>
      </w:pPr>
      <w:r>
        <w:t xml:space="preserve">2.11.4. Đánh đổi giữa các thước đo và căn cứ lựa chọn WAPE</w:t>
      </w:r>
    </w:p>
    <w:p>
      <w:pPr>
        <w:keepLines w:val="0"/>
        <w:spacing w:after="120"/>
        <w:ind w:firstLine="567"/>
      </w:pPr>
      <w:r>
        <w:t xml:space="preserve">Các thước đo không xếp hạng mô hình giống nhau. Trong kiểm định chéo của lần chạy chính thức, Seasonal Naive có sMAPE trung bình thấp nhất (0,4079, so với 0,5093 của XGBoost), còn Random Forest có RMSLE trung bình thấp nhất (0,4746, so với 0,5208 của Seasonal Naive và 0,5838 của XGBoost); trong khi đó WAPE trung bình của Seasonal Naive là 15,718%, kém rõ so với 12,089% của XGBoost. Trên tập kiểm tra cuối, Seasonal Naive vẫn đứng đầu theo sMAPE (0,4334) nhưng chỉ đứng thứ tư theo WAPE (20,665%). Seasonal Naive trong thiết kế của nghiên cứu được cố định tại gốc dự báo (mục 2.5), nên chỉ dùng doanh số đã biết trước kỳ dự báo và không sử dụng thông tin nằm trong chính kỳ dự báo. Dù vậy, luận văn không diễn giải chúng là bằng chứng Seasonal Naive tốt hơn: sMAPE và RMSLE đều ưu ái việc dự báo đúng giá trị 0 và giá trị nhỏ.</w:t>
      </w:r>
    </w:p>
    <w:p>
      <w:pPr>
        <w:keepLines w:val="0"/>
        <w:spacing w:after="120"/>
        <w:ind w:firstLine="567"/>
      </w:pPr>
      <w:r>
        <w:t xml:space="preserve">Khác biệt giữa các chỉ số vì vậy phản ánh đánh đổi giữa các góc nhìn chứ không phải mâu thuẫn trong kết quả. Nghiên cứu chọn WAPE làm tiêu chí chính vì mục tiêu quản trị là tổng khối lượng hàng bị dự báo lệch so với tổng nhu cầu; cách trao trọng số theo tầm quan trọng kinh doanh này tương đồng với các cuộc thi dự báo bán lẻ quy mô lớn (Makridakis và cộng sự, 2022a). RMSE và MAE được cố định thứ tự phá thế hòa trước kiểm định chéo, còn sMAPE và RMSLE chỉ được báo cáo để chẩn đoán chất lượng ở chuỗi nhỏ. Bảng 2.4 tổng hợp đặc điểm, hành vi tại giá trị 0 và vai trò của năm thước đo.</w:t>
      </w:r>
    </w:p>
    <w:p>
      <w:pPr>
        <w:keepNext/>
        <w:spacing w:before="120" w:after="60"/>
        <w:ind w:firstLine="0"/>
        <w:jc w:val="center"/>
      </w:pPr>
      <w:r>
        <w:t xml:space="preserve">Bảng 2.4. Đặc điểm và vai trò của năm thước đo sai số dự báo điểm trong luận văn</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03"/>
        <w:gridCol w:w="3258"/>
        <w:gridCol w:w="2495"/>
        <w:gridCol w:w="2415"/>
      </w:tblGrid>
      <w:tr>
        <w:trPr>
          <w:tblHeader/>
          <w:cantSplit/>
        </w:trPr>
        <w:tc>
          <w:tcPr>
            <w:tcW w:type="dxa" w:w="903"/>
            <w:shd w:val="clear" w:color="auto" w:fill="D9E2F3"/>
            <w:vAlign w:val="center"/>
          </w:tcPr>
          <w:p>
            <w:pPr>
              <w:spacing w:before="20" w:after="20" w:line="260" w:lineRule="auto"/>
              <w:ind w:firstLine="0"/>
              <w:jc w:val="center"/>
            </w:pPr>
            <w:r>
              <w:rPr>
                <w:b/>
                <w:sz w:val="20"/>
                <w:szCs w:val="20"/>
              </w:rPr>
              <w:t xml:space="preserve">Thước đo</w:t>
            </w:r>
          </w:p>
        </w:tc>
        <w:tc>
          <w:tcPr>
            <w:tcW w:type="dxa" w:w="3258"/>
            <w:shd w:val="clear" w:color="auto" w:fill="D9E2F3"/>
            <w:vAlign w:val="center"/>
          </w:tcPr>
          <w:p>
            <w:pPr>
              <w:spacing w:before="20" w:after="20" w:line="260" w:lineRule="auto"/>
              <w:ind w:firstLine="0"/>
              <w:jc w:val="center"/>
            </w:pPr>
            <w:r>
              <w:rPr>
                <w:b/>
                <w:sz w:val="20"/>
                <w:szCs w:val="20"/>
              </w:rPr>
              <w:t xml:space="preserve">Đặc điểm chính</w:t>
            </w:r>
          </w:p>
        </w:tc>
        <w:tc>
          <w:tcPr>
            <w:tcW w:type="dxa" w:w="2495"/>
            <w:shd w:val="clear" w:color="auto" w:fill="D9E2F3"/>
            <w:vAlign w:val="center"/>
          </w:tcPr>
          <w:p>
            <w:pPr>
              <w:spacing w:before="20" w:after="20" w:line="260" w:lineRule="auto"/>
              <w:ind w:firstLine="0"/>
              <w:jc w:val="center"/>
            </w:pPr>
            <w:r>
              <w:rPr>
                <w:b/>
                <w:sz w:val="20"/>
                <w:szCs w:val="20"/>
              </w:rPr>
              <w:t xml:space="preserve">Hành vi khi y = 0</w:t>
            </w:r>
          </w:p>
        </w:tc>
        <w:tc>
          <w:tcPr>
            <w:tcW w:type="dxa" w:w="2415"/>
            <w:shd w:val="clear" w:color="auto" w:fill="D9E2F3"/>
            <w:vAlign w:val="center"/>
          </w:tcPr>
          <w:p>
            <w:pPr>
              <w:spacing w:before="20" w:after="20" w:line="260" w:lineRule="auto"/>
              <w:ind w:firstLine="0"/>
              <w:jc w:val="center"/>
            </w:pPr>
            <w:r>
              <w:rPr>
                <w:b/>
                <w:sz w:val="20"/>
                <w:szCs w:val="20"/>
              </w:rPr>
              <w:t xml:space="preserve">Vai trò trong luận văn</w:t>
            </w:r>
          </w:p>
        </w:tc>
      </w:tr>
      <w:tr>
        <w:trPr>
          <w:cantSplit/>
        </w:trPr>
        <w:tc>
          <w:tcPr>
            <w:tcW w:type="dxa" w:w="903"/>
            <w:vAlign w:val="center"/>
          </w:tcPr>
          <w:p>
            <w:pPr>
              <w:spacing w:before="20" w:after="20" w:line="260" w:lineRule="auto"/>
              <w:ind w:firstLine="0"/>
              <w:jc w:val="left"/>
            </w:pPr>
            <w:r>
              <w:rPr>
                <w:sz w:val="20"/>
                <w:szCs w:val="20"/>
              </w:rPr>
              <w:t xml:space="preserve">WAPE</w:t>
            </w:r>
          </w:p>
        </w:tc>
        <w:tc>
          <w:tcPr>
            <w:tcW w:type="dxa" w:w="3258"/>
            <w:vAlign w:val="center"/>
          </w:tcPr>
          <w:p>
            <w:pPr>
              <w:spacing w:before="20" w:after="20" w:line="260" w:lineRule="auto"/>
              <w:ind w:firstLine="0"/>
              <w:jc w:val="left"/>
            </w:pPr>
            <w:r>
              <w:rPr>
                <w:sz w:val="20"/>
                <w:szCs w:val="20"/>
              </w:rPr>
              <w:t xml:space="preserve">Không phụ thuộc đơn vị; trọng số theo khối lượng doanh số; bằng MAE chia cho doanh số thực tế trung bình</w:t>
            </w:r>
          </w:p>
        </w:tc>
        <w:tc>
          <w:tcPr>
            <w:tcW w:type="dxa" w:w="2495"/>
            <w:vAlign w:val="center"/>
          </w:tcPr>
          <w:p>
            <w:pPr>
              <w:spacing w:before="20" w:after="20" w:line="260" w:lineRule="auto"/>
              <w:ind w:firstLine="0"/>
              <w:jc w:val="left"/>
            </w:pPr>
            <w:r>
              <w:rPr>
                <w:sz w:val="20"/>
                <w:szCs w:val="20"/>
              </w:rPr>
              <w:t xml:space="preserve">Xác định nếu tổng doanh số thực tế của tập đánh giá lớn hơn 0</w:t>
            </w:r>
          </w:p>
        </w:tc>
        <w:tc>
          <w:tcPr>
            <w:tcW w:type="dxa" w:w="2415"/>
            <w:vAlign w:val="center"/>
          </w:tcPr>
          <w:p>
            <w:pPr>
              <w:spacing w:before="20" w:after="20" w:line="260" w:lineRule="auto"/>
              <w:ind w:firstLine="0"/>
              <w:jc w:val="left"/>
            </w:pPr>
            <w:r>
              <w:rPr>
                <w:sz w:val="20"/>
                <w:szCs w:val="20"/>
              </w:rPr>
              <w:t xml:space="preserve">Tiêu chí xếp hạng chính (trung bình qua ba lần kiểm định)</w:t>
            </w:r>
          </w:p>
        </w:tc>
      </w:tr>
      <w:tr>
        <w:trPr>
          <w:cantSplit/>
        </w:trPr>
        <w:tc>
          <w:tcPr>
            <w:tcW w:type="dxa" w:w="903"/>
            <w:vAlign w:val="center"/>
          </w:tcPr>
          <w:p>
            <w:pPr>
              <w:spacing w:before="20" w:after="20" w:line="260" w:lineRule="auto"/>
              <w:ind w:firstLine="0"/>
              <w:jc w:val="left"/>
            </w:pPr>
            <w:r>
              <w:rPr>
                <w:sz w:val="20"/>
                <w:szCs w:val="20"/>
              </w:rPr>
              <w:t xml:space="preserve">RMSE</w:t>
            </w:r>
          </w:p>
        </w:tc>
        <w:tc>
          <w:tcPr>
            <w:tcW w:type="dxa" w:w="3258"/>
            <w:vAlign w:val="center"/>
          </w:tcPr>
          <w:p>
            <w:pPr>
              <w:spacing w:before="20" w:after="20" w:line="260" w:lineRule="auto"/>
              <w:ind w:firstLine="0"/>
              <w:jc w:val="left"/>
            </w:pPr>
            <w:r>
              <w:rPr>
                <w:sz w:val="20"/>
                <w:szCs w:val="20"/>
              </w:rPr>
              <w:t xml:space="preserve">Cùng đơn vị với doanh số; phạt nặng sai số lớn; gắn với kỳ vọng có điều kiện</w:t>
            </w:r>
          </w:p>
        </w:tc>
        <w:tc>
          <w:tcPr>
            <w:tcW w:type="dxa" w:w="2495"/>
            <w:vAlign w:val="center"/>
          </w:tcPr>
          <w:p>
            <w:pPr>
              <w:spacing w:before="20" w:after="20" w:line="260" w:lineRule="auto"/>
              <w:ind w:firstLine="0"/>
              <w:jc w:val="left"/>
            </w:pPr>
            <w:r>
              <w:rPr>
                <w:sz w:val="20"/>
                <w:szCs w:val="20"/>
              </w:rPr>
              <w:t xml:space="preserve">Xác định</w:t>
            </w:r>
          </w:p>
        </w:tc>
        <w:tc>
          <w:tcPr>
            <w:tcW w:type="dxa" w:w="2415"/>
            <w:vAlign w:val="center"/>
          </w:tcPr>
          <w:p>
            <w:pPr>
              <w:spacing w:before="20" w:after="20" w:line="260" w:lineRule="auto"/>
              <w:ind w:firstLine="0"/>
              <w:jc w:val="left"/>
            </w:pPr>
            <w:r>
              <w:rPr>
                <w:sz w:val="20"/>
                <w:szCs w:val="20"/>
              </w:rPr>
              <w:t xml:space="preserve">Tiêu chí phá thế hòa thứ nhất</w:t>
            </w:r>
          </w:p>
        </w:tc>
      </w:tr>
      <w:tr>
        <w:trPr>
          <w:cantSplit/>
        </w:trPr>
        <w:tc>
          <w:tcPr>
            <w:tcW w:type="dxa" w:w="903"/>
            <w:vAlign w:val="center"/>
          </w:tcPr>
          <w:p>
            <w:pPr>
              <w:spacing w:before="20" w:after="20" w:line="260" w:lineRule="auto"/>
              <w:ind w:firstLine="0"/>
              <w:jc w:val="left"/>
            </w:pPr>
            <w:r>
              <w:rPr>
                <w:sz w:val="20"/>
                <w:szCs w:val="20"/>
              </w:rPr>
              <w:t xml:space="preserve">MAE</w:t>
            </w:r>
          </w:p>
        </w:tc>
        <w:tc>
          <w:tcPr>
            <w:tcW w:type="dxa" w:w="3258"/>
            <w:vAlign w:val="center"/>
          </w:tcPr>
          <w:p>
            <w:pPr>
              <w:spacing w:before="20" w:after="20" w:line="260" w:lineRule="auto"/>
              <w:ind w:firstLine="0"/>
              <w:jc w:val="left"/>
            </w:pPr>
            <w:r>
              <w:rPr>
                <w:sz w:val="20"/>
                <w:szCs w:val="20"/>
              </w:rPr>
              <w:t xml:space="preserve">Cùng đơn vị với doanh số; tuyến tính; gắn với trung vị có điều kiện</w:t>
            </w:r>
          </w:p>
        </w:tc>
        <w:tc>
          <w:tcPr>
            <w:tcW w:type="dxa" w:w="2495"/>
            <w:vAlign w:val="center"/>
          </w:tcPr>
          <w:p>
            <w:pPr>
              <w:spacing w:before="20" w:after="20" w:line="260" w:lineRule="auto"/>
              <w:ind w:firstLine="0"/>
              <w:jc w:val="left"/>
            </w:pPr>
            <w:r>
              <w:rPr>
                <w:sz w:val="20"/>
                <w:szCs w:val="20"/>
              </w:rPr>
              <w:t xml:space="preserve">Xác định</w:t>
            </w:r>
          </w:p>
        </w:tc>
        <w:tc>
          <w:tcPr>
            <w:tcW w:type="dxa" w:w="2415"/>
            <w:vAlign w:val="center"/>
          </w:tcPr>
          <w:p>
            <w:pPr>
              <w:spacing w:before="20" w:after="20" w:line="260" w:lineRule="auto"/>
              <w:ind w:firstLine="0"/>
              <w:jc w:val="left"/>
            </w:pPr>
            <w:r>
              <w:rPr>
                <w:sz w:val="20"/>
                <w:szCs w:val="20"/>
              </w:rPr>
              <w:t xml:space="preserve">Tiêu chí phá thế hòa thứ hai</w:t>
            </w:r>
          </w:p>
        </w:tc>
      </w:tr>
      <w:tr>
        <w:trPr>
          <w:cantSplit/>
        </w:trPr>
        <w:tc>
          <w:tcPr>
            <w:tcW w:type="dxa" w:w="903"/>
            <w:vAlign w:val="center"/>
          </w:tcPr>
          <w:p>
            <w:pPr>
              <w:spacing w:before="20" w:after="20" w:line="260" w:lineRule="auto"/>
              <w:ind w:firstLine="0"/>
              <w:jc w:val="left"/>
            </w:pPr>
            <w:r>
              <w:rPr>
                <w:sz w:val="20"/>
                <w:szCs w:val="20"/>
              </w:rPr>
              <w:t xml:space="preserve">sMAPE</w:t>
            </w:r>
          </w:p>
        </w:tc>
        <w:tc>
          <w:tcPr>
            <w:tcW w:type="dxa" w:w="3258"/>
            <w:vAlign w:val="center"/>
          </w:tcPr>
          <w:p>
            <w:pPr>
              <w:spacing w:before="20" w:after="20" w:line="260" w:lineRule="auto"/>
              <w:ind w:firstLine="0"/>
              <w:jc w:val="left"/>
            </w:pPr>
            <w:r>
              <w:rPr>
                <w:sz w:val="20"/>
                <w:szCs w:val="20"/>
              </w:rPr>
              <w:t xml:space="preserve">Tỷ lệ theo từng quan sát, bị chặn trên bởi 2; mức phạt thừa/thiếu không cân bằng</w:t>
            </w:r>
          </w:p>
        </w:tc>
        <w:tc>
          <w:tcPr>
            <w:tcW w:type="dxa" w:w="2495"/>
            <w:vAlign w:val="center"/>
          </w:tcPr>
          <w:p>
            <w:pPr>
              <w:spacing w:before="20" w:after="20" w:line="260" w:lineRule="auto"/>
              <w:ind w:firstLine="0"/>
              <w:jc w:val="left"/>
            </w:pPr>
            <w:r>
              <w:rPr>
                <w:sz w:val="20"/>
                <w:szCs w:val="20"/>
              </w:rPr>
              <w:t xml:space="preserve">Bằng 2 khi ŷ &gt; 0; bằng 0 khi ŷ = 0 (quy ước của mã nguồn)</w:t>
            </w:r>
          </w:p>
        </w:tc>
        <w:tc>
          <w:tcPr>
            <w:tcW w:type="dxa" w:w="2415"/>
            <w:vAlign w:val="center"/>
          </w:tcPr>
          <w:p>
            <w:pPr>
              <w:spacing w:before="20" w:after="20" w:line="260" w:lineRule="auto"/>
              <w:ind w:firstLine="0"/>
              <w:jc w:val="left"/>
            </w:pPr>
            <w:r>
              <w:rPr>
                <w:sz w:val="20"/>
                <w:szCs w:val="20"/>
              </w:rPr>
              <w:t xml:space="preserve">Chỉ số chẩn đoán bổ sung</w:t>
            </w:r>
          </w:p>
        </w:tc>
      </w:tr>
      <w:tr>
        <w:trPr>
          <w:cantSplit/>
        </w:trPr>
        <w:tc>
          <w:tcPr>
            <w:tcW w:type="dxa" w:w="903"/>
            <w:vAlign w:val="center"/>
          </w:tcPr>
          <w:p>
            <w:pPr>
              <w:spacing w:before="20" w:after="20" w:line="260" w:lineRule="auto"/>
              <w:ind w:firstLine="0"/>
              <w:jc w:val="left"/>
            </w:pPr>
            <w:r>
              <w:rPr>
                <w:sz w:val="20"/>
                <w:szCs w:val="20"/>
              </w:rPr>
              <w:t xml:space="preserve">RMSLE</w:t>
            </w:r>
          </w:p>
        </w:tc>
        <w:tc>
          <w:tcPr>
            <w:tcW w:type="dxa" w:w="3258"/>
            <w:vAlign w:val="center"/>
          </w:tcPr>
          <w:p>
            <w:pPr>
              <w:spacing w:before="20" w:after="20" w:line="260" w:lineRule="auto"/>
              <w:ind w:firstLine="0"/>
              <w:jc w:val="left"/>
            </w:pPr>
            <w:r>
              <w:rPr>
                <w:sz w:val="20"/>
                <w:szCs w:val="20"/>
              </w:rPr>
              <w:t xml:space="preserve">Sai lệch tương đối trên thang log(1 + y) (log1p); phạt dự báo thiếu nặng hơn</w:t>
            </w:r>
          </w:p>
        </w:tc>
        <w:tc>
          <w:tcPr>
            <w:tcW w:type="dxa" w:w="2495"/>
            <w:vAlign w:val="center"/>
          </w:tcPr>
          <w:p>
            <w:pPr>
              <w:spacing w:before="20" w:after="20" w:line="260" w:lineRule="auto"/>
              <w:ind w:firstLine="0"/>
              <w:jc w:val="left"/>
            </w:pPr>
            <w:r>
              <w:rPr>
                <w:sz w:val="20"/>
                <w:szCs w:val="20"/>
              </w:rPr>
              <w:t xml:space="preserve">Xác định</w:t>
            </w:r>
          </w:p>
        </w:tc>
        <w:tc>
          <w:tcPr>
            <w:tcW w:type="dxa" w:w="2415"/>
            <w:vAlign w:val="center"/>
          </w:tcPr>
          <w:p>
            <w:pPr>
              <w:spacing w:before="20" w:after="20" w:line="260" w:lineRule="auto"/>
              <w:ind w:firstLine="0"/>
              <w:jc w:val="left"/>
            </w:pPr>
            <w:r>
              <w:rPr>
                <w:sz w:val="20"/>
                <w:szCs w:val="20"/>
              </w:rPr>
              <w:t xml:space="preserve">Chỉ số chẩn đoán bổ sung</w:t>
            </w:r>
          </w:p>
        </w:tc>
      </w:tr>
    </w:tbl>
    <w:p>
      <w:pPr>
        <w:spacing w:before="40" w:after="160"/>
        <w:ind w:firstLine="0"/>
      </w:pPr>
      <w:r>
        <w:rPr>
          <w:i/>
          <w:sz w:val="22"/>
          <w:szCs w:val="22"/>
        </w:rPr>
        <w:t xml:space="preserve">Nguồn: tổng hợp của tác giả dựa trên Hyndman và Athanasopoulos (2021), Hyndman và Koehler (2006) và mã nguồn src/common.py của quy trình.</w:t>
      </w:r>
    </w:p>
    <w:p>
      <w:pPr>
        <w:pStyle w:val="Heading2"/>
        <w:keepNext/>
      </w:pPr>
      <w:r>
        <w:t xml:space="preserve">2.12. Dự báo xác suất và phân vị</w:t>
      </w:r>
    </w:p>
    <w:p>
      <w:pPr>
        <w:pStyle w:val="Heading3"/>
        <w:keepNext/>
      </w:pPr>
      <w:r>
        <w:t xml:space="preserve">2.12.1. Phân phối dự báo có điều kiện và hàm mất mát phân vị</w:t>
      </w:r>
    </w:p>
    <w:p>
      <w:pPr>
        <w:keepLines w:val="0"/>
        <w:spacing w:after="120"/>
        <w:ind w:firstLine="567"/>
      </w:pPr>
      <w:r>
        <w:t xml:space="preserve">Quyết định tồn kho cần biết nhu cầu có thể dao động trong phạm vi nào, không chỉ một con số đại diện. Dự báo xác suất (probabilistic forecasting) ước lượng phân phối có điều kiện F(y | x) của doanh số, cho trước thông tin x sẵn có tại thời điểm dự báo. Dự báo phân vị (quantile forecasting) là dạng rút gọn, trả về một số phân vị có điều kiện; phân vị mức τ ∈ (0, 1) được định nghĩa trong (2.41), và P10, P50, P90 tương ứng với τ = 0,1; 0,5; 0,9. Cuộc thi M5 Uncertainty đánh giá dự báo phân vị bán lẻ bằng hàm mất mát phân vị có trọng số (Makridakis và cộng sự, 2022b).</w:t>
      </w:r>
    </w:p>
    <w:p>
      <w:pPr>
        <w:tabs>
          <w:tab w:val="center" w:pos="4535"/>
          <w:tab w:val="right" w:pos="9071"/>
        </w:tabs>
        <w:spacing w:before="60" w:after="60"/>
        <w:ind w:firstLine="0"/>
      </w:pPr>
      <w:r>
        <w:tab/>
      </w:r>
      <m:oMath xmlns:a="http://schemas.openxmlformats.org/drawingml/2006/main" xmlns:pic="http://schemas.openxmlformats.org/drawingml/2006/picture">
        <m:sSub>
          <m:e>
            <m:r>
              <m:t>q</m:t>
            </m:r>
          </m:e>
          <m:sub>
            <m:r>
              <m:t>τ</m:t>
            </m:r>
          </m:sub>
        </m:sSub>
        <m:d>
          <m:dPr>
            <m:begChr m:val="("/>
            <m:sepChr m:val=""/>
            <m:endChr m:val=")"/>
            <m:grow/>
          </m:dPr>
          <m:e>
            <m:r>
              <m:t>x</m:t>
            </m:r>
          </m:e>
        </m:d>
        <m:r>
          <m:rPr>
            <m:sty m:val="p"/>
          </m:rPr>
          <m:t>=</m:t>
        </m:r>
        <m:sSup>
          <m:e>
            <m:r>
              <m:t>F</m:t>
            </m:r>
          </m:e>
          <m:sup>
            <m:r>
              <m:rPr>
                <m:sty m:val="p"/>
              </m:rPr>
              <m:t>−</m:t>
            </m:r>
            <m:r>
              <m:t>1</m:t>
            </m:r>
          </m:sup>
        </m:sSup>
        <m:d>
          <m:dPr>
            <m:begChr m:val="("/>
            <m:sepChr m:val=""/>
            <m:endChr m:val=")"/>
            <m:grow/>
          </m:dPr>
          <m:e>
            <m:r>
              <m:t>τ</m:t>
            </m:r>
            <m:r>
              <m:rPr>
                <m:sty m:val="p"/>
              </m:rPr>
              <m:t>∣</m:t>
            </m:r>
            <m:r>
              <m:t>x</m:t>
            </m:r>
          </m:e>
        </m:d>
        <m:r>
          <m:rPr>
            <m:sty m:val="p"/>
          </m:rPr>
          <m:t>=</m:t>
        </m:r>
        <m:r>
          <m:rPr>
            <m:sty m:val="p"/>
          </m:rPr>
          <m:t>inf</m:t>
        </m:r>
        <m:d>
          <m:dPr>
            <m:begChr m:val="{"/>
            <m:sepChr m:val=""/>
            <m:endChr m:val="}"/>
            <m:grow/>
          </m:dPr>
          <m:e>
            <m:r>
              <m:t> </m:t>
            </m:r>
            <m:r>
              <m:t>y</m:t>
            </m:r>
            <m:r>
              <m:rPr>
                <m:sty m:val="p"/>
              </m:rPr>
              <m:t>:</m:t>
            </m:r>
            <m:r>
              <m:t> </m:t>
            </m:r>
            <m:r>
              <m:t>F</m:t>
            </m:r>
            <m:d>
              <m:dPr>
                <m:begChr m:val="("/>
                <m:sepChr m:val=""/>
                <m:endChr m:val=")"/>
                <m:grow/>
              </m:dPr>
              <m:e>
                <m:r>
                  <m:t>y</m:t>
                </m:r>
                <m:r>
                  <m:rPr>
                    <m:sty m:val="p"/>
                  </m:rPr>
                  <m:t>∣</m:t>
                </m:r>
                <m:r>
                  <m:t>x</m:t>
                </m:r>
              </m:e>
            </m:d>
            <m:r>
              <m:rPr>
                <m:sty m:val="p"/>
              </m:rPr>
              <m:t>≥</m:t>
            </m:r>
            <m:r>
              <m:t>τ</m:t>
            </m:r>
            <m:r>
              <m:t> </m:t>
            </m:r>
          </m:e>
        </m:d>
      </m:oMath>
      <w:r>
        <w:tab/>
        <w:t>(2.41)</w:t>
      </w:r>
    </w:p>
    <w:p>
      <w:pPr>
        <w:keepLines w:val="0"/>
        <w:spacing w:after="120"/>
        <w:ind w:firstLine="567"/>
      </w:pPr>
      <w:r>
        <w:t xml:space="preserve">Hàm mất mát phân vị (pinball loss), hay hàm kiểm tra (check function) của Koenker và Bassett (1978), được định nghĩa trong (2.42). Hàm phạt bất đối xứng: khi giá trị thực tế vượt phân vị dự báo, mức phạt bằng τ nhân với độ lệch; khi thấp hơn, bằng (1 − τ) nhân với độ lệch. Với τ = 0,9, dự báo thấp bị phạt gấp chín lần dự báo cao cùng độ lớn. Hàm mất mát phân vị là quy tắc chấm điểm thích hợp (proper scoring rule) cho phân vị: kỳ vọng của nó đạt cực tiểu khi dự báo trùng phân vị thật, nên người dự báo không thể cải thiện điểm số bằng cách cố ý làm lệch phân vị (Gneiting và Raftery, 2007; Koenker, 2005).</w:t>
      </w:r>
    </w:p>
    <w:p>
      <w:pPr>
        <w:tabs>
          <w:tab w:val="center" w:pos="4535"/>
          <w:tab w:val="right" w:pos="9071"/>
        </w:tabs>
        <w:spacing w:before="60" w:after="60"/>
        <w:ind w:firstLine="0"/>
      </w:pPr>
      <w:r>
        <w:tab/>
      </w:r>
      <m:oMath xmlns:a="http://schemas.openxmlformats.org/drawingml/2006/main" xmlns:pic="http://schemas.openxmlformats.org/drawingml/2006/picture">
        <m:sSub>
          <m:e>
            <m:r>
              <m:t>L</m:t>
            </m:r>
          </m:e>
          <m:sub>
            <m:r>
              <m:t>τ</m:t>
            </m:r>
          </m:sub>
        </m:sSub>
        <m:r>
          <m:rPr>
            <m:sty m:val="p"/>
          </m:rPr>
          <m:t>=</m:t>
        </m:r>
        <m:f>
          <m:fPr>
            <m:type m:val="bar"/>
          </m:fPr>
          <m:num>
            <m:r>
              <m:t>1</m:t>
            </m:r>
          </m:num>
          <m:den>
            <m:r>
              <m:t>N</m:t>
            </m:r>
          </m:den>
        </m:f>
        <m:nary>
          <m:naryPr>
            <m:chr m:val="∑"/>
            <m:limLoc m:val="undOvr"/>
            <m:subHide m:val="off"/>
            <m:supHide m:val="on"/>
          </m:naryPr>
          <m:sub>
            <m:d>
              <m:dPr>
                <m:begChr m:val="("/>
                <m:sepChr m:val=""/>
                <m:endChr m:val=")"/>
                <m:grow/>
              </m:dPr>
              <m:e>
                <m:r>
                  <m:t>i</m:t>
                </m:r>
                <m:r>
                  <m:rPr>
                    <m:sty m:val="p"/>
                  </m:rPr>
                  <m:t>,</m:t>
                </m:r>
                <m:r>
                  <m:t>t</m:t>
                </m:r>
              </m:e>
            </m:d>
            <m:r>
              <m:rPr>
                <m:sty m:val="p"/>
              </m:rPr>
              <m:t>∈</m:t>
            </m:r>
            <m:r>
              <m:t>D</m:t>
            </m:r>
          </m:sub>
          <m:sup>
            <m:r>
              <m:t>​</m:t>
            </m:r>
          </m:sup>
          <m:e>
            <m:sSub>
              <m:e>
                <m:r>
                  <m:t>ρ</m:t>
                </m:r>
              </m:e>
              <m:sub>
                <m:r>
                  <m:t>τ</m:t>
                </m:r>
              </m:sub>
            </m:sSub>
          </m:e>
        </m:nary>
        <m:r>
          <m:t>​</m:t>
        </m:r>
        <m:d>
          <m:dPr>
            <m:begChr m:val="("/>
            <m:sepChr m:val=""/>
            <m:endChr m:val=")"/>
            <m:grow/>
          </m:dPr>
          <m:e>
            <m:sSub>
              <m:e>
                <m:r>
                  <m:t>y</m:t>
                </m:r>
              </m:e>
              <m:sub>
                <m:r>
                  <m:t>i</m:t>
                </m:r>
                <m:r>
                  <m:rPr>
                    <m:sty m:val="p"/>
                  </m:rPr>
                  <m:t>,</m:t>
                </m:r>
                <m:r>
                  <m:t>t</m:t>
                </m:r>
              </m:sub>
            </m:sSub>
            <m:r>
              <m:rPr>
                <m:sty m:val="p"/>
              </m:rPr>
              <m:t>−</m:t>
            </m:r>
            <m:sSub>
              <m:e>
                <m:acc>
                  <m:accPr>
                    <m:chr m:val="̂"/>
                  </m:accPr>
                  <m:e>
                    <m:r>
                      <m:t>q</m:t>
                    </m:r>
                  </m:e>
                </m:acc>
              </m:e>
              <m:sub>
                <m:r>
                  <m:t>τ</m:t>
                </m:r>
                <m:r>
                  <m:rPr>
                    <m:sty m:val="p"/>
                  </m:rPr>
                  <m:t>,</m:t>
                </m:r>
                <m:r>
                  <m:t>i</m:t>
                </m:r>
                <m:r>
                  <m:rPr>
                    <m:sty m:val="p"/>
                  </m:rPr>
                  <m:t>,</m:t>
                </m:r>
                <m:r>
                  <m:t>t</m:t>
                </m:r>
              </m:sub>
            </m:sSub>
          </m:e>
        </m:d>
        <m:r>
          <m:rPr>
            <m:sty m:val="p"/>
          </m:rPr>
          <m:t>,</m:t>
        </m:r>
        <m:r>
          <m:t>  </m:t>
        </m:r>
        <m:sSub>
          <m:e>
            <m:r>
              <m:t>ρ</m:t>
            </m:r>
          </m:e>
          <m:sub>
            <m:r>
              <m:t>τ</m:t>
            </m:r>
          </m:sub>
        </m:sSub>
        <m:d>
          <m:dPr>
            <m:begChr m:val="("/>
            <m:sepChr m:val=""/>
            <m:endChr m:val=")"/>
            <m:grow/>
          </m:dPr>
          <m:e>
            <m:r>
              <m:t>u</m:t>
            </m:r>
          </m:e>
        </m:d>
        <m:r>
          <m:rPr>
            <m:sty m:val="p"/>
          </m:rPr>
          <m:t>=</m:t>
        </m:r>
        <m:r>
          <m:t>u</m:t>
        </m:r>
        <m:d>
          <m:dPr>
            <m:begChr m:val="("/>
            <m:sepChr m:val=""/>
            <m:endChr m:val=")"/>
            <m:grow/>
          </m:dPr>
          <m:e>
            <m:r>
              <m:t>τ</m:t>
            </m:r>
            <m:r>
              <m:rPr>
                <m:sty m:val="p"/>
              </m:rPr>
              <m:t>−</m:t>
            </m:r>
            <m:r>
              <m:rPr>
                <m:scr m:val="double-struck"/>
                <m:sty m:val="p"/>
              </m:rPr>
              <m:t>1</m:t>
            </m:r>
            <m:r>
              <m:rPr>
                <m:sty m:val="p"/>
              </m:rPr>
              <m:t>{</m:t>
            </m:r>
            <m:r>
              <m:t>u</m:t>
            </m:r>
            <m:r>
              <m:rPr>
                <m:sty m:val="p"/>
              </m:rPr>
              <m:t>&lt;</m:t>
            </m:r>
            <m:r>
              <m:t>0</m:t>
            </m:r>
            <m:r>
              <m:rPr>
                <m:sty m:val="p"/>
              </m:rPr>
              <m:t>}</m:t>
            </m:r>
          </m:e>
        </m:d>
        <m:r>
          <m:rPr>
            <m:sty m:val="p"/>
          </m:rPr>
          <m:t>=</m:t>
        </m:r>
        <m:r>
          <m:rPr>
            <m:sty m:val="p"/>
          </m:rPr>
          <m:t>max</m:t>
        </m:r>
        <m:d>
          <m:dPr>
            <m:begChr m:val="("/>
            <m:sepChr m:val=""/>
            <m:endChr m:val=")"/>
            <m:grow/>
          </m:dPr>
          <m:e>
            <m:r>
              <m:t>τ</m:t>
            </m:r>
            <m:r>
              <m:t>u</m:t>
            </m:r>
            <m:r>
              <m:rPr>
                <m:sty m:val="p"/>
              </m:rPr>
              <m:t>,</m:t>
            </m:r>
            <m:r>
              <m:t> </m:t>
            </m:r>
            <m:d>
              <m:dPr>
                <m:begChr m:val="("/>
                <m:sepChr m:val=""/>
                <m:endChr m:val=")"/>
                <m:grow/>
              </m:dPr>
              <m:e>
                <m:r>
                  <m:t>τ</m:t>
                </m:r>
                <m:r>
                  <m:rPr>
                    <m:sty m:val="p"/>
                  </m:rPr>
                  <m:t>−</m:t>
                </m:r>
                <m:r>
                  <m:t>1</m:t>
                </m:r>
              </m:e>
            </m:d>
            <m:r>
              <m:t>u</m:t>
            </m:r>
          </m:e>
        </m:d>
      </m:oMath>
      <w:r>
        <w:tab/>
        <w:t>(2.42)</w:t>
      </w:r>
    </w:p>
    <w:p>
      <w:pPr>
        <w:keepLines w:val="0"/>
        <w:spacing w:after="120"/>
        <w:ind w:firstLine="567"/>
      </w:pPr>
      <w:r>
        <w:t xml:space="preserve">Tại τ = 0,5, ρ bằng một nửa giá trị tuyệt đối, nên hai lần mất mát của P50 bằng đúng MAE của P50. Trong lần chạy chính thức, mất mát phân vị đạt 17,850 ở P10, 33,428 ở P50 và 20,960 ở P90; hai lần giá trị tại P50 bằng 66,855, trùng với MAE của P50 (66,855) như định nghĩa đòi hỏi. Con số này khác MAE 66,927 của dự báo điểm XGBoost, vì P50 không phải dự báo điểm mà là dự báo điểm cộng phân vị 0,5 của phần dư trong nhóm tương ứng (mục 2.12.4). Mất mát ở các mức τ khác nhau không so sánh trực tiếp được với nhau, nên giá trị nhỏ nhất ở P10 không có nghĩa P10 được dự báo tốt nhất. Với dữ liệu đếm nhiều số 0, Kolassa (2016) lưu ý rằng quy tắc chấm điểm cần phù hợp với bản chất rời rạc của nhu cầu.</w:t>
      </w:r>
    </w:p>
    <w:p>
      <w:pPr>
        <w:pStyle w:val="Heading3"/>
        <w:keepNext/>
      </w:pPr>
      <w:r>
        <w:t xml:space="preserve">2.12.2. Hiệu chuẩn, độ sắc nét và các chỉ số khoảng dự báo</w:t>
      </w:r>
    </w:p>
    <w:p>
      <w:pPr>
        <w:keepLines w:val="0"/>
        <w:spacing w:after="120"/>
        <w:ind w:firstLine="567"/>
      </w:pPr>
      <w:r>
        <w:t xml:space="preserve">Nếu các phân vị được hiệu chuẩn tốt, cặp P10/P90 tạo thành khoảng dự báo danh nghĩa 80%. Gneiting, Balabdaoui và Raftery (2007) xác lập nguyên tắc tối đa hóa độ sắc nét (sharpness) với ràng buộc hiệu chuẩn (calibration). Hai khía cạnh này được đo bằng độ bao phủ thực nghiệm và độ rộng trung bình, theo (2.43) và (2.44). Độ bao phủ phải được đọc cùng độ rộng, bởi bao phủ cao có thể chỉ là hệ quả của khoảng quá rộng. Điểm khoảng (interval score) của Gneiting và Raftery (2007) gộp hai khía cạnh; luận văn không dùng thước đo này mà báo cáo riêng mất mát phân vị, độ bao phủ và độ rộng.</w:t>
      </w:r>
    </w:p>
    <w:p>
      <w:pPr>
        <w:tabs>
          <w:tab w:val="center" w:pos="4535"/>
          <w:tab w:val="right" w:pos="9071"/>
        </w:tabs>
        <w:spacing w:before="60" w:after="60"/>
        <w:ind w:firstLine="0"/>
      </w:pPr>
      <w:r>
        <w:tab/>
      </w:r>
      <m:oMath xmlns:a="http://schemas.openxmlformats.org/drawingml/2006/main" xmlns:pic="http://schemas.openxmlformats.org/drawingml/2006/picture">
        <m:r>
          <m:rPr>
            <m:sty m:val="p"/>
          </m:rPr>
          <m:t>C</m:t>
        </m:r>
        <m:r>
          <m:rPr>
            <m:sty m:val="p"/>
          </m:rPr>
          <m:t>o</m:t>
        </m:r>
        <m:r>
          <m:rPr>
            <m:sty m:val="p"/>
          </m:rPr>
          <m:t>v</m:t>
        </m:r>
        <m:r>
          <m:rPr>
            <m:sty m:val="p"/>
          </m:rPr>
          <m:t>e</m:t>
        </m:r>
        <m:r>
          <m:rPr>
            <m:sty m:val="p"/>
          </m:rPr>
          <m:t>r</m:t>
        </m:r>
        <m:r>
          <m:rPr>
            <m:sty m:val="p"/>
          </m:rPr>
          <m:t>a</m:t>
        </m:r>
        <m:r>
          <m:rPr>
            <m:sty m:val="p"/>
          </m:rPr>
          <m:t>g</m:t>
        </m:r>
        <m:r>
          <m:rPr>
            <m:sty m:val="p"/>
          </m:rPr>
          <m:t>e</m:t>
        </m:r>
        <m:r>
          <m:rPr>
            <m:sty m:val="p"/>
          </m:rPr>
          <m:t>=</m:t>
        </m:r>
        <m:f>
          <m:fPr>
            <m:type m:val="bar"/>
          </m:fPr>
          <m:num>
            <m:r>
              <m:t>1</m:t>
            </m:r>
          </m:num>
          <m:den>
            <m:r>
              <m:t>N</m:t>
            </m:r>
          </m:den>
        </m:f>
        <m:nary>
          <m:naryPr>
            <m:chr m:val="∑"/>
            <m:limLoc m:val="undOvr"/>
            <m:subHide m:val="off"/>
            <m:supHide m:val="on"/>
          </m:naryPr>
          <m:sub>
            <m:d>
              <m:dPr>
                <m:begChr m:val="("/>
                <m:sepChr m:val=""/>
                <m:endChr m:val=")"/>
                <m:grow/>
              </m:dPr>
              <m:e>
                <m:r>
                  <m:t>i</m:t>
                </m:r>
                <m:r>
                  <m:rPr>
                    <m:sty m:val="p"/>
                  </m:rPr>
                  <m:t>,</m:t>
                </m:r>
                <m:r>
                  <m:t>t</m:t>
                </m:r>
              </m:e>
            </m:d>
            <m:r>
              <m:rPr>
                <m:sty m:val="p"/>
              </m:rPr>
              <m:t>∈</m:t>
            </m:r>
            <m:r>
              <m:t>D</m:t>
            </m:r>
          </m:sub>
          <m:sup>
            <m:r>
              <m:t>​</m:t>
            </m:r>
          </m:sup>
          <m:e>
            <m:r>
              <m:rPr>
                <m:scr m:val="double-struck"/>
                <m:sty m:val="p"/>
              </m:rPr>
              <m:t>1</m:t>
            </m:r>
          </m:e>
        </m:nary>
        <m:d>
          <m:dPr>
            <m:begChr m:val="{"/>
            <m:sepChr m:val=""/>
            <m:endChr m:val="}"/>
            <m:grow/>
          </m:dPr>
          <m:e>
            <m:sSub>
              <m:e>
                <m:r>
                  <m:rPr>
                    <m:sty m:val="p"/>
                  </m:rPr>
                  <m:t>P</m:t>
                </m:r>
                <m:r>
                  <m:rPr>
                    <m:sty m:val="p"/>
                  </m:rPr>
                  <m:t>10</m:t>
                </m:r>
              </m:e>
              <m:sub>
                <m:r>
                  <m:t>i</m:t>
                </m:r>
                <m:r>
                  <m:rPr>
                    <m:sty m:val="p"/>
                  </m:rPr>
                  <m:t>,</m:t>
                </m:r>
                <m:r>
                  <m:t>t</m:t>
                </m:r>
              </m:sub>
            </m:sSub>
            <m:r>
              <m:rPr>
                <m:sty m:val="p"/>
              </m:rPr>
              <m:t>≤</m:t>
            </m:r>
            <m:sSub>
              <m:e>
                <m:r>
                  <m:t>y</m:t>
                </m:r>
              </m:e>
              <m:sub>
                <m:r>
                  <m:t>i</m:t>
                </m:r>
                <m:r>
                  <m:rPr>
                    <m:sty m:val="p"/>
                  </m:rPr>
                  <m:t>,</m:t>
                </m:r>
                <m:r>
                  <m:t>t</m:t>
                </m:r>
              </m:sub>
            </m:sSub>
            <m:r>
              <m:rPr>
                <m:sty m:val="p"/>
              </m:rPr>
              <m:t>≤</m:t>
            </m:r>
            <m:sSub>
              <m:e>
                <m:r>
                  <m:rPr>
                    <m:sty m:val="p"/>
                  </m:rPr>
                  <m:t>P</m:t>
                </m:r>
                <m:r>
                  <m:rPr>
                    <m:sty m:val="p"/>
                  </m:rPr>
                  <m:t>90</m:t>
                </m:r>
              </m:e>
              <m:sub>
                <m:r>
                  <m:t>i</m:t>
                </m:r>
                <m:r>
                  <m:rPr>
                    <m:sty m:val="p"/>
                  </m:rPr>
                  <m:t>,</m:t>
                </m:r>
                <m:r>
                  <m:t>t</m:t>
                </m:r>
              </m:sub>
            </m:sSub>
          </m:e>
        </m:d>
      </m:oMath>
      <w:r>
        <w:tab/>
        <w:t>(2.43)</w:t>
      </w:r>
    </w:p>
    <w:p>
      <w:pPr>
        <w:tabs>
          <w:tab w:val="center" w:pos="4535"/>
          <w:tab w:val="right" w:pos="9071"/>
        </w:tabs>
        <w:spacing w:before="60" w:after="60"/>
        <w:ind w:firstLine="0"/>
      </w:pPr>
      <w:r>
        <w:tab/>
      </w:r>
      <m:oMath xmlns:a="http://schemas.openxmlformats.org/drawingml/2006/main" xmlns:pic="http://schemas.openxmlformats.org/drawingml/2006/picture">
        <m:bar>
          <m:barPr>
            <m:pos m:val="top"/>
          </m:barPr>
          <m:e>
            <m:r>
              <m:t>W</m:t>
            </m:r>
          </m:e>
        </m:bar>
        <m:r>
          <m:rPr>
            <m:sty m:val="p"/>
          </m:rPr>
          <m:t>=</m:t>
        </m:r>
        <m:f>
          <m:fPr>
            <m:type m:val="bar"/>
          </m:fPr>
          <m:num>
            <m:r>
              <m:t>1</m:t>
            </m:r>
          </m:num>
          <m:den>
            <m:r>
              <m:t>N</m:t>
            </m:r>
          </m:den>
        </m:f>
        <m:nary>
          <m:naryPr>
            <m:chr m:val="∑"/>
            <m:limLoc m:val="undOvr"/>
            <m:subHide m:val="off"/>
            <m:supHide m:val="on"/>
          </m:naryPr>
          <m:sub>
            <m:d>
              <m:dPr>
                <m:begChr m:val="("/>
                <m:sepChr m:val=""/>
                <m:endChr m:val=")"/>
                <m:grow/>
              </m:dPr>
              <m:e>
                <m:r>
                  <m:t>i</m:t>
                </m:r>
                <m:r>
                  <m:rPr>
                    <m:sty m:val="p"/>
                  </m:rPr>
                  <m:t>,</m:t>
                </m:r>
                <m:r>
                  <m:t>t</m:t>
                </m:r>
              </m:e>
            </m:d>
            <m:r>
              <m:rPr>
                <m:sty m:val="p"/>
              </m:rPr>
              <m:t>∈</m:t>
            </m:r>
            <m:r>
              <m:t>D</m:t>
            </m:r>
          </m:sub>
          <m:sup>
            <m:r>
              <m:t>​</m:t>
            </m:r>
          </m:sup>
          <m:e>
            <m:d>
              <m:dPr>
                <m:begChr m:val="("/>
                <m:sepChr m:val=""/>
                <m:endChr m:val=")"/>
                <m:grow/>
              </m:dPr>
              <m:e>
                <m:sSub>
                  <m:e>
                    <m:r>
                      <m:rPr>
                        <m:sty m:val="p"/>
                      </m:rPr>
                      <m:t>P</m:t>
                    </m:r>
                    <m:r>
                      <m:rPr>
                        <m:sty m:val="p"/>
                      </m:rPr>
                      <m:t>90</m:t>
                    </m:r>
                  </m:e>
                  <m:sub>
                    <m:r>
                      <m:t>i</m:t>
                    </m:r>
                    <m:r>
                      <m:rPr>
                        <m:sty m:val="p"/>
                      </m:rPr>
                      <m:t>,</m:t>
                    </m:r>
                    <m:r>
                      <m:t>t</m:t>
                    </m:r>
                  </m:sub>
                </m:sSub>
                <m:r>
                  <m:rPr>
                    <m:sty m:val="p"/>
                  </m:rPr>
                  <m:t>−</m:t>
                </m:r>
                <m:sSub>
                  <m:e>
                    <m:r>
                      <m:rPr>
                        <m:sty m:val="p"/>
                      </m:rPr>
                      <m:t>P</m:t>
                    </m:r>
                    <m:r>
                      <m:rPr>
                        <m:sty m:val="p"/>
                      </m:rPr>
                      <m:t>10</m:t>
                    </m:r>
                  </m:e>
                  <m:sub>
                    <m:r>
                      <m:t>i</m:t>
                    </m:r>
                    <m:r>
                      <m:rPr>
                        <m:sty m:val="p"/>
                      </m:rPr>
                      <m:t>,</m:t>
                    </m:r>
                    <m:r>
                      <m:t>t</m:t>
                    </m:r>
                  </m:sub>
                </m:sSub>
              </m:e>
            </m:d>
          </m:e>
        </m:nary>
      </m:oMath>
      <w:r>
        <w:tab/>
        <w:t>(2.44)</w:t>
      </w:r>
    </w:p>
    <w:p>
      <w:pPr>
        <w:keepLines w:val="0"/>
        <w:spacing w:after="120"/>
        <w:ind w:firstLine="567"/>
      </w:pPr>
      <w:r>
        <w:t xml:space="preserve">Cần phân biệt hiệu chuẩn biên (marginal calibration), tức độ bao phủ gộp trên toàn tập, với hiệu chuẩn có điều kiện (conditional calibration), tức độ bao phủ trong từng phân đoạn như nhóm sản phẩm hay mức nhu cầu. Một khoảng có thể đạt gần 80% trên toàn tập trong khi bao phủ quá ít ở phân đoạn này và quá nhiều ở phân đoạn khác. Trong lần chạy chính thức, khoảng P10–P90 đạt độ bao phủ 75,40% trên 28.512 quan sát của tập kiểm tra cuối, thấp hơn mức danh nghĩa 80%, với độ rộng trung bình 181,307; tỷ lệ giá trị thực tế dưới P10 là 17,35% và trên P90 là 7,25%, tức hai đuôi không cân bằng như mức danh nghĩa 10% mỗi phía. Mục 2.12.4 phân tích con số tổng này theo phân đoạn.</w:t>
      </w:r>
    </w:p>
    <w:p>
      <w:pPr>
        <w:pStyle w:val="Heading3"/>
        <w:keepNext/>
      </w:pPr>
      <w:r>
        <w:t xml:space="preserve">2.12.3. Hồi quy phân vị, split conformal và conformal theo nhóm</w:t>
      </w:r>
    </w:p>
    <w:p>
      <w:pPr>
        <w:keepLines w:val="0"/>
        <w:spacing w:after="120"/>
        <w:ind w:firstLine="567"/>
      </w:pPr>
      <w:r>
        <w:t xml:space="preserve">Có hai họ phương pháp chính để tạo phân vị từ mô hình học máy. Họ thứ nhất là hồi quy phân vị (quantile regression): mô hình được huấn luyện trực tiếp để cực tiểu mất mát phân vị ở mỗi mức τ, nên ước lượng hàm phân vị có điều kiện và cho phép độ rộng khoảng thay đổi theo đặc trưng đầu vào (Koenker và Bassett, 1978; Koenker, 2005). Hạn chế là cách này không tự bảo đảm độ bao phủ ngoài mẫu. Họ thứ hai là dự báo phù hợp (conformal prediction), khung phương pháp tạo khoảng dự báo không phụ thuộc giả định dạng phân phối (Vovk và cộng sự, 2005). Ở dạng tách mẫu (split conformal), mô hình được huấn luyện trên một phần dữ liệu, điểm số không phù hợp (nonconformity score), thường là phần dư, được tính trên phần hiệu chỉnh tách biệt, và phân vị thực nghiệm của các điểm số xác định biên khoảng như trong (2.45).</w:t>
      </w:r>
    </w:p>
    <w:p>
      <w:pPr>
        <w:tabs>
          <w:tab w:val="center" w:pos="4535"/>
          <w:tab w:val="right" w:pos="9071"/>
        </w:tabs>
        <w:spacing w:before="60" w:after="60"/>
        <w:ind w:firstLine="0"/>
      </w:pPr>
      <w:r>
        <w:tab/>
      </w:r>
      <m:oMath xmlns:a="http://schemas.openxmlformats.org/drawingml/2006/main" xmlns:pic="http://schemas.openxmlformats.org/drawingml/2006/picture">
        <m:acc>
          <m:accPr>
            <m:chr m:val="̂"/>
          </m:accPr>
          <m:e>
            <m:r>
              <m:t>C</m:t>
            </m:r>
          </m:e>
        </m:acc>
        <m:d>
          <m:dPr>
            <m:begChr m:val="("/>
            <m:sepChr m:val=""/>
            <m:endChr m:val=")"/>
            <m:grow/>
          </m:dPr>
          <m:e>
            <m:r>
              <m:t>x</m:t>
            </m:r>
          </m:e>
        </m:d>
        <m:r>
          <m:rPr>
            <m:sty m:val="p"/>
          </m:rPr>
          <m:t>=</m:t>
        </m:r>
        <m:d>
          <m:dPr>
            <m:begChr m:val="["/>
            <m:sepChr m:val=""/>
            <m:endChr m:val="]"/>
            <m:grow/>
          </m:dPr>
          <m:e>
            <m:acc>
              <m:accPr>
                <m:chr m:val="̂"/>
              </m:accPr>
              <m:e>
                <m:r>
                  <m:t>f</m:t>
                </m:r>
              </m:e>
            </m:acc>
            <m:d>
              <m:dPr>
                <m:begChr m:val="("/>
                <m:sepChr m:val=""/>
                <m:endChr m:val=")"/>
                <m:grow/>
              </m:dPr>
              <m:e>
                <m:r>
                  <m:t>x</m:t>
                </m:r>
              </m:e>
            </m:d>
            <m:r>
              <m:rPr>
                <m:sty m:val="p"/>
              </m:rPr>
              <m:t>−</m:t>
            </m:r>
            <m:acc>
              <m:accPr>
                <m:chr m:val="̂"/>
              </m:accPr>
              <m:e>
                <m:r>
                  <m:t>s</m:t>
                </m:r>
              </m:e>
            </m:acc>
            <m:r>
              <m:rPr>
                <m:sty m:val="p"/>
              </m:rPr>
              <m:t>,</m:t>
            </m:r>
            <m:r>
              <m:t> </m:t>
            </m:r>
            <m:acc>
              <m:accPr>
                <m:chr m:val="̂"/>
              </m:accPr>
              <m:e>
                <m:r>
                  <m:t>f</m:t>
                </m:r>
              </m:e>
            </m:acc>
            <m:d>
              <m:dPr>
                <m:begChr m:val="("/>
                <m:sepChr m:val=""/>
                <m:endChr m:val=")"/>
                <m:grow/>
              </m:dPr>
              <m:e>
                <m:r>
                  <m:t>x</m:t>
                </m:r>
              </m:e>
            </m:d>
            <m:r>
              <m:rPr>
                <m:sty m:val="p"/>
              </m:rPr>
              <m:t>+</m:t>
            </m:r>
            <m:acc>
              <m:accPr>
                <m:chr m:val="̂"/>
              </m:accPr>
              <m:e>
                <m:r>
                  <m:t>s</m:t>
                </m:r>
              </m:e>
            </m:acc>
          </m:e>
        </m:d>
        <m:r>
          <m:rPr>
            <m:sty m:val="p"/>
          </m:rPr>
          <m:t>,</m:t>
        </m:r>
        <m:r>
          <m:t>  </m:t>
        </m:r>
        <m:acc>
          <m:accPr>
            <m:chr m:val="̂"/>
          </m:accPr>
          <m:e>
            <m:r>
              <m:t>s</m:t>
            </m:r>
          </m:e>
        </m:acc>
        <m:r>
          <m:rPr>
            <m:sty m:val="p"/>
          </m:rPr>
          <m:t>=</m:t>
        </m:r>
        <m:r>
          <m:rPr>
            <m:nor/>
          </m:rPr>
          <m:t>phân vị mức </m:t>
        </m:r>
        <m:f>
          <m:fPr>
            <m:type m:val="bar"/>
          </m:fPr>
          <m:num>
            <m:r>
              <m:rPr>
                <m:sty m:val="p"/>
              </m:rPr>
              <m:t>⌈</m:t>
            </m:r>
            <m:d>
              <m:dPr>
                <m:begChr m:val="("/>
                <m:sepChr m:val=""/>
                <m:endChr m:val=")"/>
                <m:grow/>
              </m:dPr>
              <m:e>
                <m:r>
                  <m:t>n</m:t>
                </m:r>
                <m:r>
                  <m:rPr>
                    <m:sty m:val="p"/>
                  </m:rPr>
                  <m:t>+</m:t>
                </m:r>
                <m:r>
                  <m:t>1</m:t>
                </m:r>
              </m:e>
            </m:d>
            <m:d>
              <m:dPr>
                <m:begChr m:val="("/>
                <m:sepChr m:val=""/>
                <m:endChr m:val=")"/>
                <m:grow/>
              </m:dPr>
              <m:e>
                <m:r>
                  <m:t>1</m:t>
                </m:r>
                <m:r>
                  <m:rPr>
                    <m:sty m:val="p"/>
                  </m:rPr>
                  <m:t>−</m:t>
                </m:r>
                <m:r>
                  <m:t>α</m:t>
                </m:r>
              </m:e>
            </m:d>
            <m:r>
              <m:rPr>
                <m:sty m:val="p"/>
              </m:rPr>
              <m:t>⌉</m:t>
            </m:r>
          </m:num>
          <m:den>
            <m:r>
              <m:t>n</m:t>
            </m:r>
          </m:den>
        </m:f>
        <m:r>
          <m:rPr>
            <m:nor/>
          </m:rPr>
          <m:t> của </m:t>
        </m:r>
        <m:sSubSup>
          <m:e>
            <m:d>
              <m:dPr>
                <m:begChr m:val="{"/>
                <m:sepChr m:val=""/>
                <m:endChr m:val="}"/>
                <m:grow/>
              </m:dPr>
              <m:e>
                <m:d>
                  <m:dPr>
                    <m:begChr m:val="|"/>
                    <m:sepChr m:val=""/>
                    <m:endChr m:val="|"/>
                    <m:grow/>
                  </m:dPr>
                  <m:e>
                    <m:sSub>
                      <m:e>
                        <m:r>
                          <m:t>r</m:t>
                        </m:r>
                      </m:e>
                      <m:sub>
                        <m:r>
                          <m:t>j</m:t>
                        </m:r>
                      </m:sub>
                    </m:sSub>
                  </m:e>
                </m:d>
              </m:e>
            </m:d>
          </m:e>
          <m:sub>
            <m:r>
              <m:t>j</m:t>
            </m:r>
            <m:r>
              <m:rPr>
                <m:sty m:val="p"/>
              </m:rPr>
              <m:t>=</m:t>
            </m:r>
            <m:r>
              <m:t>1</m:t>
            </m:r>
          </m:sub>
          <m:sup>
            <m:r>
              <m:t>n</m:t>
            </m:r>
          </m:sup>
        </m:sSubSup>
      </m:oMath>
      <w:r>
        <w:tab/>
        <w:t>(2.45)</w:t>
      </w:r>
    </w:p>
    <w:p>
      <w:pPr>
        <w:keepLines w:val="0"/>
        <w:spacing w:after="120"/>
        <w:ind w:firstLine="567"/>
      </w:pPr>
      <w:r>
        <w:t xml:space="preserve">Lei và cộng sự (2018) chứng minh rằng nếu dữ liệu hiệu chỉnh và quan sát mới hoán đổi được (exchangeable), khoảng trong (2.45) đạt độ bao phủ biên tối thiểu 1 − α với mẫu hữu hạn. Bảo đảm này là biên: nó đúng khi lấy trung bình trên mọi quan sát, không đúng theo điều kiện cho từng chuỗi hay từng nhóm. Với một phân vị phần dư chung, độ rộng khoảng như nhau ở mọi quan sát; khi độ phân tán sai số tăng theo quy mô, khoảng quá rộng ở vùng nhỏ và quá hẹp ở vùng lớn, trong khi bao phủ biên vẫn có thể gần danh nghĩa nhờ bù trừ. Với dữ liệu bán lẻ có quy mô chuỗi chênh lệch nhiều bậc, đây là lý do nghiên cứu không dùng một bộ phân vị phần dư chung cho mọi chuỗi mà tính phân vị riêng cho từng nhóm quy mô dự báo (mục 2.12.4).</w:t>
      </w:r>
    </w:p>
    <w:p>
      <w:pPr>
        <w:keepLines w:val="0"/>
        <w:spacing w:after="120"/>
        <w:ind w:firstLine="567"/>
      </w:pPr>
      <w:r>
        <w:t xml:space="preserve">Dự báo phù hợp theo nhóm, còn gọi là Mondrian conformal, khắc phục một phần hạn chế này bằng cách chia không gian đầu vào thành các nhóm rời nhau theo một hàm phân loại g(x) và hiệu chỉnh riêng trong từng nhóm (Vovk và cộng sự, 2005; Angelopoulos và Bates, 2023). Khi các quan sát trong cùng một nhóm hoán đổi được, bảo đảm bao phủ biên áp dụng bên trong từng nhóm, tức P(Y ∈ C(X) | g(X) = k) ≥ 1 − α với mọi nhóm k, như trong (2.46). Điều kiện then chốt là g(x) chỉ phụ thuộc thông tin biết tại thời điểm dự báo; nhóm theo doanh số thực tế không hợp lệ vì y chưa được quan sát. Hồi quy phân vị được hiệu chỉnh bằng conformal (conformalized quantile regression – CQR) của Romano và cộng sự (2019) là hướng thích ứng liên tục hơn: điểm số không phù hợp được tính quanh các phân vị ước lượng từ hồi quy phân vị, nên độ rộng thay đổi theo từng x thay vì theo từng nhóm.</w:t>
      </w:r>
    </w:p>
    <w:p>
      <w:pPr>
        <w:tabs>
          <w:tab w:val="center" w:pos="4535"/>
          <w:tab w:val="right" w:pos="9071"/>
        </w:tabs>
        <w:spacing w:before="60" w:after="60"/>
        <w:ind w:firstLine="0"/>
      </w:pPr>
      <w:r>
        <w:tab/>
      </w:r>
      <m:oMath xmlns:a="http://schemas.openxmlformats.org/drawingml/2006/main" xmlns:pic="http://schemas.openxmlformats.org/drawingml/2006/picture">
        <m:sSub>
          <m:e>
            <m:acc>
              <m:accPr>
                <m:chr m:val="̂"/>
              </m:accPr>
              <m:e>
                <m:r>
                  <m:t>Q</m:t>
                </m:r>
              </m:e>
            </m:acc>
          </m:e>
          <m:sub>
            <m:r>
              <m:t>τ</m:t>
            </m:r>
          </m:sub>
        </m:sSub>
        <m:d>
          <m:dPr>
            <m:begChr m:val="("/>
            <m:sepChr m:val=""/>
            <m:endChr m:val=")"/>
            <m:grow/>
          </m:dPr>
          <m:e>
            <m:r>
              <m:t>x</m:t>
            </m:r>
          </m:e>
        </m:d>
        <m:r>
          <m:rPr>
            <m:sty m:val="p"/>
          </m:rPr>
          <m:t>=</m:t>
        </m:r>
        <m:r>
          <m:rPr>
            <m:sty m:val="p"/>
          </m:rPr>
          <m:t>max</m:t>
        </m:r>
        <m:r>
          <m:t>​</m:t>
        </m:r>
        <m:d>
          <m:dPr>
            <m:begChr m:val="("/>
            <m:sepChr m:val=""/>
            <m:endChr m:val=")"/>
            <m:grow/>
          </m:dPr>
          <m:e>
            <m:r>
              <m:t>0</m:t>
            </m:r>
            <m:r>
              <m:rPr>
                <m:sty m:val="p"/>
              </m:rPr>
              <m:t>,</m:t>
            </m:r>
            <m:r>
              <m:t> </m:t>
            </m:r>
            <m:acc>
              <m:accPr>
                <m:chr m:val="̂"/>
              </m:accPr>
              <m:e>
                <m:r>
                  <m:t>f</m:t>
                </m:r>
              </m:e>
            </m:acc>
            <m:d>
              <m:dPr>
                <m:begChr m:val="("/>
                <m:sepChr m:val=""/>
                <m:endChr m:val=")"/>
                <m:grow/>
              </m:dPr>
              <m:e>
                <m:r>
                  <m:t>x</m:t>
                </m:r>
              </m:e>
            </m:d>
            <m:r>
              <m:rPr>
                <m:sty m:val="p"/>
              </m:rPr>
              <m:t>+</m:t>
            </m:r>
            <m:sSub>
              <m:e>
                <m:acc>
                  <m:accPr>
                    <m:chr m:val="̂"/>
                  </m:accPr>
                  <m:e>
                    <m:r>
                      <m:t>q</m:t>
                    </m:r>
                  </m:e>
                </m:acc>
              </m:e>
              <m:sub>
                <m:r>
                  <m:t>τ</m:t>
                </m:r>
                <m:r>
                  <m:rPr>
                    <m:sty m:val="p"/>
                  </m:rPr>
                  <m:t>,</m:t>
                </m:r>
                <m:r>
                  <m:t>g</m:t>
                </m:r>
                <m:d>
                  <m:dPr>
                    <m:begChr m:val="("/>
                    <m:sepChr m:val=""/>
                    <m:endChr m:val=")"/>
                    <m:grow/>
                  </m:dPr>
                  <m:e>
                    <m:r>
                      <m:t>x</m:t>
                    </m:r>
                  </m:e>
                </m:d>
              </m:sub>
            </m:sSub>
          </m:e>
        </m:d>
        <m:r>
          <m:rPr>
            <m:sty m:val="p"/>
          </m:rPr>
          <m:t>,</m:t>
        </m:r>
        <m:r>
          <m:t>  </m:t>
        </m:r>
        <m:sSub>
          <m:e>
            <m:acc>
              <m:accPr>
                <m:chr m:val="̂"/>
              </m:accPr>
              <m:e>
                <m:r>
                  <m:t>q</m:t>
                </m:r>
              </m:e>
            </m:acc>
          </m:e>
          <m:sub>
            <m:r>
              <m:t>τ</m:t>
            </m:r>
            <m:r>
              <m:rPr>
                <m:sty m:val="p"/>
              </m:rPr>
              <m:t>,</m:t>
            </m:r>
            <m:r>
              <m:t>k</m:t>
            </m:r>
          </m:sub>
        </m:sSub>
        <m:r>
          <m:rPr>
            <m:sty m:val="p"/>
          </m:rPr>
          <m:t>=</m:t>
        </m:r>
        <m:r>
          <m:rPr>
            <m:nor/>
          </m:rPr>
          <m:t>phân vị mức </m:t>
        </m:r>
        <m:r>
          <m:t>τ</m:t>
        </m:r>
        <m:r>
          <m:rPr>
            <m:nor/>
          </m:rPr>
          <m:t> của </m:t>
        </m:r>
        <m:d>
          <m:dPr>
            <m:begChr m:val="{"/>
            <m:sepChr m:val=""/>
            <m:endChr m:val="}"/>
            <m:grow/>
          </m:dPr>
          <m:e>
            <m:sSub>
              <m:e>
                <m:r>
                  <m:t>r</m:t>
                </m:r>
              </m:e>
              <m:sub>
                <m:r>
                  <m:t>j</m:t>
                </m:r>
              </m:sub>
            </m:sSub>
            <m:r>
              <m:rPr>
                <m:sty m:val="p"/>
              </m:rPr>
              <m:t>:</m:t>
            </m:r>
            <m:r>
              <m:t> </m:t>
            </m:r>
            <m:r>
              <m:t>g</m:t>
            </m:r>
            <m:d>
              <m:dPr>
                <m:begChr m:val="("/>
                <m:sepChr m:val=""/>
                <m:endChr m:val=")"/>
                <m:grow/>
              </m:dPr>
              <m:e>
                <m:sSub>
                  <m:e>
                    <m:r>
                      <m:t>x</m:t>
                    </m:r>
                  </m:e>
                  <m:sub>
                    <m:r>
                      <m:t>j</m:t>
                    </m:r>
                  </m:sub>
                </m:sSub>
              </m:e>
            </m:d>
            <m:r>
              <m:rPr>
                <m:sty m:val="p"/>
              </m:rPr>
              <m:t>=</m:t>
            </m:r>
            <m:r>
              <m:t>k</m:t>
            </m:r>
          </m:e>
        </m:d>
        <m:r>
          <m:rPr>
            <m:sty m:val="p"/>
          </m:rPr>
          <m:t>,</m:t>
        </m:r>
        <m:r>
          <m:t>  </m:t>
        </m:r>
        <m:r>
          <m:rPr>
            <m:scr m:val="double-struck"/>
            <m:sty m:val="p"/>
          </m:rPr>
          <m:t>P</m:t>
        </m:r>
        <m:d>
          <m:dPr>
            <m:begChr m:val="("/>
            <m:sepChr m:val=""/>
            <m:endChr m:val=")"/>
            <m:grow/>
          </m:dPr>
          <m:e>
            <m:r>
              <m:t>Y</m:t>
            </m:r>
            <m:r>
              <m:rPr>
                <m:sty m:val="p"/>
              </m:rPr>
              <m:t>∈</m:t>
            </m:r>
            <m:acc>
              <m:accPr>
                <m:chr m:val="̂"/>
              </m:accPr>
              <m:e>
                <m:r>
                  <m:t>C</m:t>
                </m:r>
              </m:e>
            </m:acc>
            <m:d>
              <m:dPr>
                <m:begChr m:val="("/>
                <m:sepChr m:val=""/>
                <m:endChr m:val=")"/>
                <m:grow/>
              </m:dPr>
              <m:e>
                <m:r>
                  <m:t>X</m:t>
                </m:r>
              </m:e>
            </m:d>
            <m:r>
              <m:rPr>
                <m:sty m:val="p"/>
              </m:rPr>
              <m:t>∣</m:t>
            </m:r>
            <m:r>
              <m:t>g</m:t>
            </m:r>
            <m:d>
              <m:dPr>
                <m:begChr m:val="("/>
                <m:sepChr m:val=""/>
                <m:endChr m:val=")"/>
                <m:grow/>
              </m:dPr>
              <m:e>
                <m:r>
                  <m:t>X</m:t>
                </m:r>
              </m:e>
            </m:d>
            <m:r>
              <m:rPr>
                <m:sty m:val="p"/>
              </m:rPr>
              <m:t>=</m:t>
            </m:r>
            <m:r>
              <m:t>k</m:t>
            </m:r>
          </m:e>
        </m:d>
        <m:r>
          <m:rPr>
            <m:sty m:val="p"/>
          </m:rPr>
          <m:t>≥</m:t>
        </m:r>
        <m:r>
          <m:t>1</m:t>
        </m:r>
        <m:r>
          <m:rPr>
            <m:sty m:val="p"/>
          </m:rPr>
          <m:t>−</m:t>
        </m:r>
        <m:r>
          <m:t>α</m:t>
        </m:r>
      </m:oMath>
      <w:r>
        <w:tab/>
        <w:t>(2.46)</w:t>
      </w:r>
    </w:p>
    <w:p>
      <w:pPr>
        <w:pStyle w:val="Heading3"/>
        <w:keepNext/>
      </w:pPr>
      <w:r>
        <w:t xml:space="preserve">2.12.4. Lựa chọn phương pháp của luận văn và hệ quả</w:t>
      </w:r>
    </w:p>
    <w:p>
      <w:pPr>
        <w:keepLines w:val="0"/>
        <w:spacing w:after="120"/>
        <w:ind w:firstLine="567"/>
      </w:pPr>
      <w:r>
        <w:t xml:space="preserve">Luận văn triển khai khoảng phần dư split-conformal theo nhóm (Mondrian) quanh XGBoost được chọn. Cửa sổ hiệu chỉnh là 16 ngày ngay trước tập kiểm tra cuối (15/07/2017–30/07/2017, trùng cửa sổ kiểm định lần 3); phần dư có dấu r = y − ŷ được tính từ một XGBoost cùng cấu hình, huấn luyện trên dữ liệu trước 15/07/2017. Hàm phân loại g(x) là vị trí của dự báo điểm trong các biên phân vị 0, 10%, …, 100% của dự báo điểm trên cửa sổ hiệu chỉnh; vì nhiều dự báo bằng 0 làm các biên thấp trùng nhau, lần chạy còn 9 nhóm. Mỗi dòng của tập kiểm tra cuối nhận phân vị 0,1; 0,5 và 0,9 của phần dư trong nhóm chứa dự báo điểm của nó, cộng vào dự báo điểm, chặn tại 0 theo (2.46), rồi sắp xếp để bảo đảm P10 ≤ P50 ≤ P90. Nhóm được xác định bằng dự báo điểm nên hợp lệ tại thời điểm dự báo.</w:t>
      </w:r>
    </w:p>
    <w:p>
      <w:pPr>
        <w:keepLines w:val="0"/>
        <w:spacing w:after="120"/>
        <w:ind w:firstLine="567"/>
      </w:pPr>
      <w:r>
        <w:t xml:space="preserve">Thiết kế này có ba điểm cần nêu rõ. Thứ nhất, phần dư có dấu cho phép khoảng bất đối xứng quanh dự báo điểm; mã nguồn lấy phân vị thực nghiệm trực tiếp, không dùng hiệu chỉnh hữu hạn mẫu ⌈(n + 1)(1 − α)⌉/n, khác biệt nhỏ khi mỗi nhóm có hàng nghìn phần dư. Thứ hai, độ rộng q90 − q10 tăng từ 4,22 ở nhóm nhỏ nhất đến 1.175,96 ở nhóm lớn nhất, tức gấp khoảng 279 lần. Thứ ba, bảo đảm chỉ mang tính biên trong từng nhóm theo dự báo điểm, không theo mức nhu cầu thực tế hay theo nhóm sản phẩm. Bảng 2.5 so sánh về mặt lý thuyết ba cách tạo khoảng: một bộ phân vị phần dư chung cho mọi quan sát, Mondrian theo dự báo điểm (thiết kế của nghiên cứu) và CQR (hướng mở rộng).</w:t>
      </w:r>
    </w:p>
    <w:p>
      <w:pPr>
        <w:keepNext/>
        <w:spacing w:before="120" w:after="60"/>
        <w:ind w:firstLine="0"/>
        <w:jc w:val="center"/>
      </w:pPr>
      <w:r>
        <w:t xml:space="preserve">Bảng 2.5. So sánh ba cách tạo khoảng dự báo P10–P90 quanh mô hình dự báo điểm</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685"/>
        <w:gridCol w:w="2770"/>
        <w:gridCol w:w="2415"/>
        <w:gridCol w:w="2201"/>
      </w:tblGrid>
      <w:tr>
        <w:trPr>
          <w:tblHeader/>
          <w:cantSplit/>
        </w:trPr>
        <w:tc>
          <w:tcPr>
            <w:tcW w:type="dxa" w:w="1685"/>
            <w:shd w:val="clear" w:color="auto" w:fill="D9E2F3"/>
            <w:vAlign w:val="center"/>
          </w:tcPr>
          <w:p>
            <w:pPr>
              <w:spacing w:before="20" w:after="20" w:line="260" w:lineRule="auto"/>
              <w:ind w:firstLine="0"/>
              <w:jc w:val="center"/>
            </w:pPr>
            <w:r>
              <w:rPr>
                <w:b/>
                <w:sz w:val="20"/>
                <w:szCs w:val="20"/>
              </w:rPr>
              <w:t xml:space="preserve">Tiêu chí</w:t>
            </w:r>
          </w:p>
        </w:tc>
        <w:tc>
          <w:tcPr>
            <w:tcW w:type="dxa" w:w="2770"/>
            <w:shd w:val="clear" w:color="auto" w:fill="D9E2F3"/>
            <w:vAlign w:val="center"/>
          </w:tcPr>
          <w:p>
            <w:pPr>
              <w:spacing w:before="20" w:after="20" w:line="260" w:lineRule="auto"/>
              <w:ind w:firstLine="0"/>
              <w:jc w:val="center"/>
            </w:pPr>
            <w:r>
              <w:rPr>
                <w:b/>
                <w:sz w:val="20"/>
                <w:szCs w:val="20"/>
              </w:rPr>
              <w:t xml:space="preserve">Một bộ phân vị phần dư chung</w:t>
            </w:r>
          </w:p>
        </w:tc>
        <w:tc>
          <w:tcPr>
            <w:tcW w:type="dxa" w:w="2415"/>
            <w:shd w:val="clear" w:color="auto" w:fill="D9E2F3"/>
            <w:vAlign w:val="center"/>
          </w:tcPr>
          <w:p>
            <w:pPr>
              <w:spacing w:before="20" w:after="20" w:line="260" w:lineRule="auto"/>
              <w:ind w:firstLine="0"/>
              <w:jc w:val="center"/>
            </w:pPr>
            <w:r>
              <w:rPr>
                <w:b/>
                <w:sz w:val="20"/>
                <w:szCs w:val="20"/>
              </w:rPr>
              <w:t xml:space="preserve">Mondrian theo dự báo điểm (thiết kế của nghiên cứu)</w:t>
            </w:r>
          </w:p>
        </w:tc>
        <w:tc>
          <w:tcPr>
            <w:tcW w:type="dxa" w:w="2201"/>
            <w:shd w:val="clear" w:color="auto" w:fill="D9E2F3"/>
            <w:vAlign w:val="center"/>
          </w:tcPr>
          <w:p>
            <w:pPr>
              <w:spacing w:before="20" w:after="20" w:line="260" w:lineRule="auto"/>
              <w:ind w:firstLine="0"/>
              <w:jc w:val="center"/>
            </w:pPr>
            <w:r>
              <w:rPr>
                <w:b/>
                <w:sz w:val="20"/>
                <w:szCs w:val="20"/>
              </w:rPr>
              <w:t xml:space="preserve">CQR (hướng mở rộng)</w:t>
            </w:r>
          </w:p>
        </w:tc>
      </w:tr>
      <w:tr>
        <w:trPr>
          <w:cantSplit/>
        </w:trPr>
        <w:tc>
          <w:tcPr>
            <w:tcW w:type="dxa" w:w="1685"/>
            <w:vAlign w:val="center"/>
          </w:tcPr>
          <w:p>
            <w:pPr>
              <w:spacing w:before="20" w:after="20" w:line="260" w:lineRule="auto"/>
              <w:ind w:firstLine="0"/>
              <w:jc w:val="left"/>
            </w:pPr>
            <w:r>
              <w:rPr>
                <w:sz w:val="20"/>
                <w:szCs w:val="20"/>
              </w:rPr>
              <w:t xml:space="preserve">Điểm số hiệu chỉnh</w:t>
            </w:r>
          </w:p>
        </w:tc>
        <w:tc>
          <w:tcPr>
            <w:tcW w:type="dxa" w:w="2770"/>
            <w:vAlign w:val="center"/>
          </w:tcPr>
          <w:p>
            <w:pPr>
              <w:spacing w:before="20" w:after="20" w:line="260" w:lineRule="auto"/>
              <w:ind w:firstLine="0"/>
              <w:jc w:val="left"/>
            </w:pPr>
            <w:r>
              <w:rPr>
                <w:sz w:val="20"/>
                <w:szCs w:val="20"/>
              </w:rPr>
              <w:t xml:space="preserve">Phần dư có dấu của mọi dòng trên cửa sổ hiệu chỉnh</w:t>
            </w:r>
          </w:p>
        </w:tc>
        <w:tc>
          <w:tcPr>
            <w:tcW w:type="dxa" w:w="2415"/>
            <w:vAlign w:val="center"/>
          </w:tcPr>
          <w:p>
            <w:pPr>
              <w:spacing w:before="20" w:after="20" w:line="260" w:lineRule="auto"/>
              <w:ind w:firstLine="0"/>
              <w:jc w:val="left"/>
            </w:pPr>
            <w:r>
              <w:rPr>
                <w:sz w:val="20"/>
                <w:szCs w:val="20"/>
              </w:rPr>
              <w:t xml:space="preserve">Phần dư có dấu trong từng nhóm theo dự báo điểm</w:t>
            </w:r>
          </w:p>
        </w:tc>
        <w:tc>
          <w:tcPr>
            <w:tcW w:type="dxa" w:w="2201"/>
            <w:vAlign w:val="center"/>
          </w:tcPr>
          <w:p>
            <w:pPr>
              <w:spacing w:before="20" w:after="20" w:line="260" w:lineRule="auto"/>
              <w:ind w:firstLine="0"/>
              <w:jc w:val="left"/>
            </w:pPr>
            <w:r>
              <w:rPr>
                <w:sz w:val="20"/>
                <w:szCs w:val="20"/>
              </w:rPr>
              <w:t xml:space="preserve">Khoảng cách từ y đến các phân vị ước lượng bằng hồi quy phân vị</w:t>
            </w:r>
          </w:p>
        </w:tc>
      </w:tr>
      <w:tr>
        <w:trPr>
          <w:cantSplit/>
        </w:trPr>
        <w:tc>
          <w:tcPr>
            <w:tcW w:type="dxa" w:w="1685"/>
            <w:vAlign w:val="center"/>
          </w:tcPr>
          <w:p>
            <w:pPr>
              <w:spacing w:before="20" w:after="20" w:line="260" w:lineRule="auto"/>
              <w:ind w:firstLine="0"/>
              <w:jc w:val="left"/>
            </w:pPr>
            <w:r>
              <w:rPr>
                <w:sz w:val="20"/>
                <w:szCs w:val="20"/>
              </w:rPr>
              <w:t xml:space="preserve">Độ rộng khoảng</w:t>
            </w:r>
          </w:p>
        </w:tc>
        <w:tc>
          <w:tcPr>
            <w:tcW w:type="dxa" w:w="2770"/>
            <w:vAlign w:val="center"/>
          </w:tcPr>
          <w:p>
            <w:pPr>
              <w:spacing w:before="20" w:after="20" w:line="260" w:lineRule="auto"/>
              <w:ind w:firstLine="0"/>
              <w:jc w:val="left"/>
            </w:pPr>
            <w:r>
              <w:rPr>
                <w:sz w:val="20"/>
                <w:szCs w:val="20"/>
              </w:rPr>
              <w:t xml:space="preserve">Gần như bằng nhau ở mọi quan sát, bất kể quy mô chuỗi (chỉ khác do bước chặn tại 0)</w:t>
            </w:r>
          </w:p>
        </w:tc>
        <w:tc>
          <w:tcPr>
            <w:tcW w:type="dxa" w:w="2415"/>
            <w:vAlign w:val="center"/>
          </w:tcPr>
          <w:p>
            <w:pPr>
              <w:spacing w:before="20" w:after="20" w:line="260" w:lineRule="auto"/>
              <w:ind w:firstLine="0"/>
              <w:jc w:val="left"/>
            </w:pPr>
            <w:r>
              <w:rPr>
                <w:sz w:val="20"/>
                <w:szCs w:val="20"/>
              </w:rPr>
              <w:t xml:space="preserve">Thay đổi theo nhóm, từ 4,22 đến 1.175,96</w:t>
            </w:r>
          </w:p>
        </w:tc>
        <w:tc>
          <w:tcPr>
            <w:tcW w:type="dxa" w:w="2201"/>
            <w:vAlign w:val="center"/>
          </w:tcPr>
          <w:p>
            <w:pPr>
              <w:spacing w:before="20" w:after="20" w:line="260" w:lineRule="auto"/>
              <w:ind w:firstLine="0"/>
              <w:jc w:val="left"/>
            </w:pPr>
            <w:r>
              <w:rPr>
                <w:sz w:val="20"/>
                <w:szCs w:val="20"/>
              </w:rPr>
              <w:t xml:space="preserve">Thay đổi liên tục theo x</w:t>
            </w:r>
          </w:p>
        </w:tc>
      </w:tr>
      <w:tr>
        <w:trPr>
          <w:cantSplit/>
        </w:trPr>
        <w:tc>
          <w:tcPr>
            <w:tcW w:type="dxa" w:w="1685"/>
            <w:vAlign w:val="center"/>
          </w:tcPr>
          <w:p>
            <w:pPr>
              <w:spacing w:before="20" w:after="20" w:line="260" w:lineRule="auto"/>
              <w:ind w:firstLine="0"/>
              <w:jc w:val="left"/>
            </w:pPr>
            <w:r>
              <w:rPr>
                <w:sz w:val="20"/>
                <w:szCs w:val="20"/>
              </w:rPr>
              <w:t xml:space="preserve">Bảo đảm lý thuyết (khi hoán đổi được)</w:t>
            </w:r>
          </w:p>
        </w:tc>
        <w:tc>
          <w:tcPr>
            <w:tcW w:type="dxa" w:w="2770"/>
            <w:vAlign w:val="center"/>
          </w:tcPr>
          <w:p>
            <w:pPr>
              <w:spacing w:before="20" w:after="20" w:line="260" w:lineRule="auto"/>
              <w:ind w:firstLine="0"/>
              <w:jc w:val="left"/>
            </w:pPr>
            <w:r>
              <w:rPr>
                <w:sz w:val="20"/>
                <w:szCs w:val="20"/>
              </w:rPr>
              <w:t xml:space="preserve">Bao phủ biên trên toàn tập</w:t>
            </w:r>
          </w:p>
        </w:tc>
        <w:tc>
          <w:tcPr>
            <w:tcW w:type="dxa" w:w="2415"/>
            <w:vAlign w:val="center"/>
          </w:tcPr>
          <w:p>
            <w:pPr>
              <w:spacing w:before="20" w:after="20" w:line="260" w:lineRule="auto"/>
              <w:ind w:firstLine="0"/>
              <w:jc w:val="left"/>
            </w:pPr>
            <w:r>
              <w:rPr>
                <w:sz w:val="20"/>
                <w:szCs w:val="20"/>
              </w:rPr>
              <w:t xml:space="preserve">Bao phủ biên trong từng nhóm</w:t>
            </w:r>
          </w:p>
        </w:tc>
        <w:tc>
          <w:tcPr>
            <w:tcW w:type="dxa" w:w="2201"/>
            <w:vAlign w:val="center"/>
          </w:tcPr>
          <w:p>
            <w:pPr>
              <w:spacing w:before="20" w:after="20" w:line="260" w:lineRule="auto"/>
              <w:ind w:firstLine="0"/>
              <w:jc w:val="left"/>
            </w:pPr>
            <w:r>
              <w:rPr>
                <w:sz w:val="20"/>
                <w:szCs w:val="20"/>
              </w:rPr>
              <w:t xml:space="preserve">Bao phủ biên; thích ứng tốt hơn theo điều kiện</w:t>
            </w:r>
          </w:p>
        </w:tc>
      </w:tr>
      <w:tr>
        <w:trPr>
          <w:cantSplit/>
        </w:trPr>
        <w:tc>
          <w:tcPr>
            <w:tcW w:type="dxa" w:w="1685"/>
            <w:vAlign w:val="center"/>
          </w:tcPr>
          <w:p>
            <w:pPr>
              <w:spacing w:before="20" w:after="20" w:line="260" w:lineRule="auto"/>
              <w:ind w:firstLine="0"/>
              <w:jc w:val="left"/>
            </w:pPr>
            <w:r>
              <w:rPr>
                <w:sz w:val="20"/>
                <w:szCs w:val="20"/>
              </w:rPr>
              <w:t xml:space="preserve">Kết quả trên tập kiểm tra cuối</w:t>
            </w:r>
          </w:p>
        </w:tc>
        <w:tc>
          <w:tcPr>
            <w:tcW w:type="dxa" w:w="2770"/>
            <w:vAlign w:val="center"/>
          </w:tcPr>
          <w:p>
            <w:pPr>
              <w:spacing w:before="20" w:after="20" w:line="260" w:lineRule="auto"/>
              <w:ind w:firstLine="0"/>
              <w:jc w:val="left"/>
            </w:pPr>
            <w:r>
              <w:rPr>
                <w:sz w:val="20"/>
                <w:szCs w:val="20"/>
              </w:rPr>
              <w:t xml:space="preserve">Không sử dụng trong nghiên cứu</w:t>
            </w:r>
          </w:p>
        </w:tc>
        <w:tc>
          <w:tcPr>
            <w:tcW w:type="dxa" w:w="2415"/>
            <w:vAlign w:val="center"/>
          </w:tcPr>
          <w:p>
            <w:pPr>
              <w:spacing w:before="20" w:after="20" w:line="260" w:lineRule="auto"/>
              <w:ind w:firstLine="0"/>
              <w:jc w:val="left"/>
            </w:pPr>
            <w:r>
              <w:rPr>
                <w:sz w:val="20"/>
                <w:szCs w:val="20"/>
              </w:rPr>
              <w:t xml:space="preserve">Bao phủ 75,40%; nhóm nhu cầu cao nhất 72,77%, thấp nhất 70,86%</w:t>
            </w:r>
          </w:p>
        </w:tc>
        <w:tc>
          <w:tcPr>
            <w:tcW w:type="dxa" w:w="2201"/>
            <w:vAlign w:val="center"/>
          </w:tcPr>
          <w:p>
            <w:pPr>
              <w:spacing w:before="20" w:after="20" w:line="260" w:lineRule="auto"/>
              <w:ind w:firstLine="0"/>
              <w:jc w:val="left"/>
            </w:pPr>
            <w:r>
              <w:rPr>
                <w:sz w:val="20"/>
                <w:szCs w:val="20"/>
              </w:rPr>
              <w:t xml:space="preserve">Chưa triển khai</w:t>
            </w:r>
          </w:p>
        </w:tc>
      </w:tr>
      <w:tr>
        <w:trPr>
          <w:cantSplit/>
        </w:trPr>
        <w:tc>
          <w:tcPr>
            <w:tcW w:type="dxa" w:w="1685"/>
            <w:vAlign w:val="center"/>
          </w:tcPr>
          <w:p>
            <w:pPr>
              <w:spacing w:before="20" w:after="20" w:line="260" w:lineRule="auto"/>
              <w:ind w:firstLine="0"/>
              <w:jc w:val="left"/>
            </w:pPr>
            <w:r>
              <w:rPr>
                <w:sz w:val="20"/>
                <w:szCs w:val="20"/>
              </w:rPr>
              <w:t xml:space="preserve">Hạn chế chính</w:t>
            </w:r>
          </w:p>
        </w:tc>
        <w:tc>
          <w:tcPr>
            <w:tcW w:type="dxa" w:w="2770"/>
            <w:vAlign w:val="center"/>
          </w:tcPr>
          <w:p>
            <w:pPr>
              <w:spacing w:before="20" w:after="20" w:line="260" w:lineRule="auto"/>
              <w:ind w:firstLine="0"/>
              <w:jc w:val="left"/>
            </w:pPr>
            <w:r>
              <w:rPr>
                <w:sz w:val="20"/>
                <w:szCs w:val="20"/>
              </w:rPr>
              <w:t xml:space="preserve">Quá rộng cho chuỗi nhỏ, quá hẹp cho chuỗi lớn; bao phủ biên đạt được nhờ bù trừ giữa các vùng quy mô</w:t>
            </w:r>
          </w:p>
        </w:tc>
        <w:tc>
          <w:tcPr>
            <w:tcW w:type="dxa" w:w="2415"/>
            <w:vAlign w:val="center"/>
          </w:tcPr>
          <w:p>
            <w:pPr>
              <w:spacing w:before="20" w:after="20" w:line="260" w:lineRule="auto"/>
              <w:ind w:firstLine="0"/>
              <w:jc w:val="left"/>
            </w:pPr>
            <w:r>
              <w:rPr>
                <w:sz w:val="20"/>
                <w:szCs w:val="20"/>
              </w:rPr>
              <w:t xml:space="preserve">Trong nhóm lớn nhất độ rộng vẫn là hằng số; bao phủ tổng thấp hơn danh nghĩa</w:t>
            </w:r>
          </w:p>
        </w:tc>
        <w:tc>
          <w:tcPr>
            <w:tcW w:type="dxa" w:w="2201"/>
            <w:vAlign w:val="center"/>
          </w:tcPr>
          <w:p>
            <w:pPr>
              <w:spacing w:before="20" w:after="20" w:line="260" w:lineRule="auto"/>
              <w:ind w:firstLine="0"/>
              <w:jc w:val="left"/>
            </w:pPr>
            <w:r>
              <w:rPr>
                <w:sz w:val="20"/>
                <w:szCs w:val="20"/>
              </w:rPr>
              <w:t xml:space="preserve">Cần huấn luyện thêm mô hình phân vị ở các mức τ</w:t>
            </w:r>
          </w:p>
        </w:tc>
      </w:tr>
    </w:tbl>
    <w:p>
      <w:pPr>
        <w:spacing w:before="40" w:after="160"/>
        <w:ind w:firstLine="0"/>
      </w:pPr>
      <w:r>
        <w:rPr>
          <w:i/>
          <w:sz w:val="22"/>
          <w:szCs w:val="22"/>
        </w:rPr>
        <w:t xml:space="preserve">Nguồn: tổng hợp của tác giả dựa trên Lei và cộng sự (2018), Romano và cộng sự (2019), Angelopoulos và Bates (2023), mã nguồn 05_probabilistic_forecasting.py và tệp conformal_bins.csv.</w:t>
      </w:r>
    </w:p>
    <w:p>
      <w:pPr>
        <w:keepLines w:val="0"/>
        <w:spacing w:after="120"/>
        <w:ind w:firstLine="567"/>
      </w:pPr>
      <w:r>
        <w:t xml:space="preserve">Trong kết quả thực nghiệm, bất định được phân bổ tương đối cân bằng theo quy mô: độ bao phủ theo tứ phân vị nhu cầu thực tế lần lượt 70,86%, 81,90%, 76,05% và 72,77%, và hệ số Spearman giữa quy mô nhóm sản phẩm và bao phủ chỉ 0,013. Tuy vậy, bao phủ tổng 75,40% vẫn thấp hơn danh nghĩa, với các nguyên nhân khả dĩ chưa được kiểm chứng riêng: giả định hoán đổi được hiếm khi thỏa mãn với chuỗi bán lẻ có mùa vụ, khuyến mãi và trôi dữ liệu; cửa sổ hiệu chỉnh chỉ gồm 16 ngày và trùng lần kiểm định 3; nhóm theo dự báo điểm không trùng với nhóm theo nhu cầu thực tế; và nhóm lớn nhất trải từ 1.226,78 đến 14.739,35 đơn vị dự báo nhưng chỉ có một độ rộng. Luận văn vì thế chỉ đánh giá thực nghiệm, không diễn giải kết quả như bảo đảm bao phủ hữu hạn mẫu.</w:t>
      </w:r>
    </w:p>
    <w:p>
      <w:pPr>
        <w:pStyle w:val="Heading2"/>
        <w:keepNext/>
      </w:pPr>
      <w:r>
        <w:t xml:space="preserve">2.13. Các kịch bản khuyến mãi</w:t>
      </w:r>
    </w:p>
    <w:p>
      <w:pPr>
        <w:pStyle w:val="Heading3"/>
        <w:keepNext/>
      </w:pPr>
      <w:r>
        <w:t xml:space="preserve">2.13.1. Dự báo có điều kiện và tác động nhân quả</w:t>
      </w:r>
    </w:p>
    <w:p>
      <w:pPr>
        <w:keepLines w:val="0"/>
        <w:spacing w:after="120"/>
        <w:ind w:firstLine="567"/>
      </w:pPr>
      <w:r>
        <w:t xml:space="preserve">Phân tích kịch bản thay đổi giá trị đầu vào của biến khuyến mãi và quan sát phản ứng của mô hình. Gọi f̂ là mô hình đã huấn luyện, x(i,t) là vectơ đặc trưng gồm onpromotion p(i,t) và các đặc trưng còn lại x₋ₚ(i,t), H là kỳ dự báo 16 ngày; phản ứng dự báo của chuỗi i tại mức kịch bản s được định nghĩa theo (2.47). Đây là phân tích độ nhạy có điều kiện: nó cho biết mô hình, với cấu trúc học từ dữ liệu quan sát, trả về dự báo thế nào khi chỉ riêng onpromotion thay đổi. Shmueli (2010) nhấn mạnh rằng mô hình dự báo tốt không nhất thiết mô tả đúng cơ chế nhân quả.</w:t>
      </w:r>
    </w:p>
    <w:p>
      <w:pPr>
        <w:tabs>
          <w:tab w:val="center" w:pos="4535"/>
          <w:tab w:val="right" w:pos="9071"/>
        </w:tabs>
        <w:spacing w:before="60" w:after="60"/>
        <w:ind w:firstLine="0"/>
      </w:pPr>
      <w:r>
        <w:tab/>
      </w:r>
      <m:oMath xmlns:a="http://schemas.openxmlformats.org/drawingml/2006/main" xmlns:pic="http://schemas.openxmlformats.org/drawingml/2006/picture">
        <m:sSub>
          <m:e>
            <m:r>
              <m:t>Δ</m:t>
            </m:r>
          </m:e>
          <m:sub>
            <m:r>
              <m:t>i</m:t>
            </m:r>
          </m:sub>
        </m:sSub>
        <m:d>
          <m:dPr>
            <m:begChr m:val="("/>
            <m:sepChr m:val=""/>
            <m:endChr m:val=")"/>
            <m:grow/>
          </m:dPr>
          <m:e>
            <m:r>
              <m:t>s</m:t>
            </m:r>
          </m:e>
        </m:d>
        <m:r>
          <m:rPr>
            <m:sty m:val="p"/>
          </m:rPr>
          <m:t>=</m:t>
        </m:r>
        <m:nary>
          <m:naryPr>
            <m:chr m:val="∑"/>
            <m:limLoc m:val="undOvr"/>
            <m:subHide m:val="off"/>
            <m:supHide m:val="on"/>
          </m:naryPr>
          <m:sub>
            <m:r>
              <m:t>t</m:t>
            </m:r>
            <m:r>
              <m:rPr>
                <m:sty m:val="p"/>
              </m:rPr>
              <m:t>∈</m:t>
            </m:r>
            <m:r>
              <m:t>H</m:t>
            </m:r>
          </m:sub>
          <m:sup>
            <m:r>
              <m:t>​</m:t>
            </m:r>
          </m:sup>
          <m:e>
            <m:d>
              <m:dPr>
                <m:begChr m:val="["/>
                <m:sepChr m:val=""/>
                <m:endChr m:val="]"/>
                <m:grow/>
              </m:dPr>
              <m:e>
                <m:acc>
                  <m:accPr>
                    <m:chr m:val="̂"/>
                  </m:accPr>
                  <m:e>
                    <m:r>
                      <m:t>f</m:t>
                    </m:r>
                  </m:e>
                </m:acc>
                <m:r>
                  <m:t>​</m:t>
                </m:r>
                <m:d>
                  <m:dPr>
                    <m:begChr m:val="("/>
                    <m:sepChr m:val=""/>
                    <m:endChr m:val=")"/>
                    <m:grow/>
                  </m:dPr>
                  <m:e>
                    <m:sSub>
                      <m:e>
                        <m:r>
                          <m:t>x</m:t>
                        </m:r>
                      </m:e>
                      <m:sub>
                        <m:r>
                          <m:rPr>
                            <m:sty m:val="p"/>
                          </m:rPr>
                          <m:t>−</m:t>
                        </m:r>
                        <m:r>
                          <m:t>p</m:t>
                        </m:r>
                        <m:r>
                          <m:rPr>
                            <m:sty m:val="p"/>
                          </m:rPr>
                          <m:t>,</m:t>
                        </m:r>
                        <m:r>
                          <m:t>i</m:t>
                        </m:r>
                        <m:r>
                          <m:rPr>
                            <m:sty m:val="p"/>
                          </m:rPr>
                          <m:t>,</m:t>
                        </m:r>
                        <m:r>
                          <m:t>t</m:t>
                        </m:r>
                      </m:sub>
                    </m:sSub>
                    <m:r>
                      <m:rPr>
                        <m:sty m:val="p"/>
                      </m:rPr>
                      <m:t>,</m:t>
                    </m:r>
                    <m:r>
                      <m:t> </m:t>
                    </m:r>
                    <m:r>
                      <m:t>p</m:t>
                    </m:r>
                    <m:r>
                      <m:rPr>
                        <m:sty m:val="p"/>
                      </m:rPr>
                      <m:t>=</m:t>
                    </m:r>
                    <m:r>
                      <m:t>s</m:t>
                    </m:r>
                  </m:e>
                </m:d>
                <m:r>
                  <m:rPr>
                    <m:sty m:val="p"/>
                  </m:rPr>
                  <m:t>−</m:t>
                </m:r>
                <m:acc>
                  <m:accPr>
                    <m:chr m:val="̂"/>
                  </m:accPr>
                  <m:e>
                    <m:r>
                      <m:t>f</m:t>
                    </m:r>
                  </m:e>
                </m:acc>
                <m:r>
                  <m:t>​</m:t>
                </m:r>
                <m:d>
                  <m:dPr>
                    <m:begChr m:val="("/>
                    <m:sepChr m:val=""/>
                    <m:endChr m:val=")"/>
                    <m:grow/>
                  </m:dPr>
                  <m:e>
                    <m:sSub>
                      <m:e>
                        <m:r>
                          <m:t>x</m:t>
                        </m:r>
                      </m:e>
                      <m:sub>
                        <m:r>
                          <m:rPr>
                            <m:sty m:val="p"/>
                          </m:rPr>
                          <m:t>−</m:t>
                        </m:r>
                        <m:r>
                          <m:t>p</m:t>
                        </m:r>
                        <m:r>
                          <m:rPr>
                            <m:sty m:val="p"/>
                          </m:rPr>
                          <m:t>,</m:t>
                        </m:r>
                        <m:r>
                          <m:t>i</m:t>
                        </m:r>
                        <m:r>
                          <m:rPr>
                            <m:sty m:val="p"/>
                          </m:rPr>
                          <m:t>,</m:t>
                        </m:r>
                        <m:r>
                          <m:t>t</m:t>
                        </m:r>
                      </m:sub>
                    </m:sSub>
                    <m:r>
                      <m:rPr>
                        <m:sty m:val="p"/>
                      </m:rPr>
                      <m:t>,</m:t>
                    </m:r>
                    <m:r>
                      <m:t> </m:t>
                    </m:r>
                    <m:r>
                      <m:t>p</m:t>
                    </m:r>
                    <m:r>
                      <m:rPr>
                        <m:sty m:val="p"/>
                      </m:rPr>
                      <m:t>=</m:t>
                    </m:r>
                    <m:sSubSup>
                      <m:e>
                        <m:r>
                          <m:t>p</m:t>
                        </m:r>
                      </m:e>
                      <m:sub>
                        <m:r>
                          <m:t>i</m:t>
                        </m:r>
                        <m:r>
                          <m:rPr>
                            <m:sty m:val="p"/>
                          </m:rPr>
                          <m:t>,</m:t>
                        </m:r>
                        <m:r>
                          <m:t>t</m:t>
                        </m:r>
                      </m:sub>
                      <m:sup>
                        <m:r>
                          <m:rPr>
                            <m:sty m:val="p"/>
                          </m:rPr>
                          <m:t>c</m:t>
                        </m:r>
                        <m:r>
                          <m:rPr>
                            <m:sty m:val="p"/>
                          </m:rPr>
                          <m:t>u</m:t>
                        </m:r>
                        <m:r>
                          <m:rPr>
                            <m:sty m:val="p"/>
                          </m:rPr>
                          <m:t>r</m:t>
                        </m:r>
                      </m:sup>
                    </m:sSubSup>
                  </m:e>
                </m:d>
              </m:e>
            </m:d>
          </m:e>
        </m:nary>
      </m:oMath>
      <w:r>
        <w:tab/>
        <w:t>(2.47)</w:t>
      </w:r>
    </w:p>
    <w:p>
      <w:pPr>
        <w:keepLines w:val="0"/>
        <w:spacing w:after="120"/>
        <w:ind w:firstLine="567"/>
      </w:pPr>
      <w:r>
        <w:t xml:space="preserve">Tác động nhân quả, ngược lại, được định nghĩa trong khung kết quả tiềm năng (potential outcomes) bằng hiệu giữa doanh số khi có và khi không có can thiệp trên cùng một đơn vị, như trong (2.48) (Imbens và Rubin, 2015). Vì chỉ quan sát được một trong hai kết quả, việc ước lượng đòi hỏi giả định nhận diện như không tồn tại biến gây nhiễu chưa kiểm soát (unconfoundedness) và có chồng lấn (overlap). Dữ liệu Favorita không có cơ chế nhận diện như vậy: doanh số trung bình khi có khuyến mãi (1.137,694) cao hơn nhiều khi không có (158,247), nhưng doanh nghiệp có thể đã chủ động khuyến mãi ở các mặt hàng và cửa hàng vốn có nhu cầu cao. Kết quả kịch bản vì thế không được gọi là tác động can thiệp (treatment effect).</w:t>
      </w:r>
    </w:p>
    <w:p>
      <w:pPr>
        <w:tabs>
          <w:tab w:val="center" w:pos="4535"/>
          <w:tab w:val="right" w:pos="9071"/>
        </w:tabs>
        <w:spacing w:before="60" w:after="60"/>
        <w:ind w:firstLine="0"/>
      </w:pPr>
      <w:r>
        <w:tab/>
      </w:r>
      <m:oMath xmlns:a="http://schemas.openxmlformats.org/drawingml/2006/main" xmlns:pic="http://schemas.openxmlformats.org/drawingml/2006/picture">
        <m:sSub>
          <m:e>
            <m:r>
              <m:t>τ</m:t>
            </m:r>
          </m:e>
          <m:sub>
            <m:r>
              <m:rPr>
                <m:sty m:val="p"/>
              </m:rPr>
              <m:t>A</m:t>
            </m:r>
            <m:r>
              <m:rPr>
                <m:sty m:val="p"/>
              </m:rPr>
              <m:t>T</m:t>
            </m:r>
            <m:r>
              <m:rPr>
                <m:sty m:val="p"/>
              </m:rPr>
              <m:t>E</m:t>
            </m:r>
          </m:sub>
        </m:sSub>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1</m:t>
                </m:r>
              </m:e>
            </m:d>
            <m:r>
              <m:rPr>
                <m:sty m:val="p"/>
              </m:rPr>
              <m:t>−</m:t>
            </m:r>
            <m:sSub>
              <m:e>
                <m:r>
                  <m:t>Y</m:t>
                </m:r>
              </m:e>
              <m:sub>
                <m:r>
                  <m:t>i</m:t>
                </m:r>
                <m:r>
                  <m:rPr>
                    <m:sty m:val="p"/>
                  </m:rPr>
                  <m:t>,</m:t>
                </m:r>
                <m:r>
                  <m:t>t</m:t>
                </m:r>
              </m:sub>
            </m:sSub>
            <m:d>
              <m:dPr>
                <m:begChr m:val="("/>
                <m:sepChr m:val=""/>
                <m:endChr m:val=")"/>
                <m:grow/>
              </m:dPr>
              <m:e>
                <m:r>
                  <m:t>0</m:t>
                </m:r>
              </m:e>
            </m:d>
          </m:e>
        </m:d>
      </m:oMath>
      <w:r>
        <w:tab/>
        <w:t>(2.48)</w:t>
      </w:r>
    </w:p>
    <w:p>
      <w:pPr>
        <w:pStyle w:val="Heading3"/>
        <w:keepNext/>
      </w:pPr>
      <w:r>
        <w:t xml:space="preserve">2.13.2. Thiết kế lưới kịch bản và cách mang bất định sang kịch bản</w:t>
      </w:r>
    </w:p>
    <w:p>
      <w:pPr>
        <w:keepLines w:val="0"/>
        <w:spacing w:after="120"/>
        <w:ind w:firstLine="567"/>
      </w:pPr>
      <w:r>
        <w:t xml:space="preserve">Mã nguồn tạo năm kịch bản bằng cách gán onpromotion cho mọi ngày và mọi chuỗi của tập kiểm tra cuối: No promotion = 0, Current = giữ nguyên, Low = 1, Medium = 5, High = 10, các đặc trưng khác giữ nguyên. P50 của mỗi kịch bản là dự báo điểm XGBoost ứng với mức onpromotion đó. P10 và P90 của kịch bản được tạo bằng cách trừ và cộng vào P50 các độ rộng dưới (P50 − P10) và trên (P90 − P50) theo từng dòng của lớp xác suất ở mục 2.12.4; nhờ đó bất định trong kịch bản kế thừa sự thích ứng theo quy mô của khoảng Mondrian. Giá trị được cộng qua 16 ngày theo chuỗi, và chênh lệch so với Current được lưu ở cột conditional_change_vs_current.</w:t>
      </w:r>
    </w:p>
    <w:p>
      <w:pPr>
        <w:keepLines w:val="0"/>
        <w:spacing w:after="120"/>
        <w:ind w:firstLine="567"/>
      </w:pPr>
      <w:r>
        <w:t xml:space="preserve">Cách mang độ rộng này cần được hiểu đúng phạm vi: độ rộng của mỗi dòng đến từ nhóm Mondrian của dự báo ở kịch bản Current và không được xác định lại khi kịch bản làm dự báo thay đổi mạnh, nên khoảng kịch bản là xấp xỉ mô tả, không phải khoảng hiệu chỉnh riêng. Ngoài ra, vì onpromotion là số mặt hàng trong nhóm đang được khuyến mãi chứ không phải tỷ lệ giảm giá, các mức 1, 5 và 10 là quy mô chương trình theo số mặt hàng, không mang thông tin về chiết khấu hay chi phí. Bảng 2.6 tóm tắt khác biệt về bản chất giữa phân tích kịch bản được triển khai và ước lượng tác động nhân quả.</w:t>
      </w:r>
    </w:p>
    <w:p>
      <w:pPr>
        <w:keepNext/>
        <w:spacing w:before="120" w:after="60"/>
        <w:ind w:firstLine="0"/>
        <w:jc w:val="center"/>
      </w:pPr>
      <w:r>
        <w:t xml:space="preserve">Bảng 2.6. So sánh phân tích kịch bản dự báo có điều kiện và ước lượng tác động nhân quả của khuyến mãi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47"/>
        <w:gridCol w:w="3602"/>
        <w:gridCol w:w="3622"/>
      </w:tblGrid>
      <w:tr>
        <w:trPr>
          <w:tblHeader/>
          <w:cantSplit/>
        </w:trPr>
        <w:tc>
          <w:tcPr>
            <w:tcW w:type="dxa" w:w="1847"/>
            <w:shd w:val="clear" w:color="auto" w:fill="D9E2F3"/>
            <w:vAlign w:val="center"/>
          </w:tcPr>
          <w:p>
            <w:pPr>
              <w:spacing w:before="20" w:after="20" w:line="260" w:lineRule="auto"/>
              <w:ind w:firstLine="0"/>
              <w:jc w:val="center"/>
            </w:pPr>
            <w:r>
              <w:rPr>
                <w:b/>
                <w:sz w:val="20"/>
                <w:szCs w:val="20"/>
              </w:rPr>
              <w:t xml:space="preserve">Tiêu chí</w:t>
            </w:r>
          </w:p>
        </w:tc>
        <w:tc>
          <w:tcPr>
            <w:tcW w:type="dxa" w:w="3602"/>
            <w:shd w:val="clear" w:color="auto" w:fill="D9E2F3"/>
            <w:vAlign w:val="center"/>
          </w:tcPr>
          <w:p>
            <w:pPr>
              <w:spacing w:before="20" w:after="20" w:line="260" w:lineRule="auto"/>
              <w:ind w:firstLine="0"/>
              <w:jc w:val="center"/>
            </w:pPr>
            <w:r>
              <w:rPr>
                <w:b/>
                <w:sz w:val="20"/>
                <w:szCs w:val="20"/>
              </w:rPr>
              <w:t xml:space="preserve">Dự báo có điều kiện (kịch bản)</w:t>
            </w:r>
          </w:p>
        </w:tc>
        <w:tc>
          <w:tcPr>
            <w:tcW w:type="dxa" w:w="3622"/>
            <w:shd w:val="clear" w:color="auto" w:fill="D9E2F3"/>
            <w:vAlign w:val="center"/>
          </w:tcPr>
          <w:p>
            <w:pPr>
              <w:spacing w:before="20" w:after="20" w:line="260" w:lineRule="auto"/>
              <w:ind w:firstLine="0"/>
              <w:jc w:val="center"/>
            </w:pPr>
            <w:r>
              <w:rPr>
                <w:b/>
                <w:sz w:val="20"/>
                <w:szCs w:val="20"/>
              </w:rPr>
              <w:t xml:space="preserve">Ước lượng tác động nhân quả</w:t>
            </w:r>
          </w:p>
        </w:tc>
      </w:tr>
      <w:tr>
        <w:trPr>
          <w:cantSplit/>
        </w:trPr>
        <w:tc>
          <w:tcPr>
            <w:tcW w:type="dxa" w:w="1847"/>
            <w:vAlign w:val="center"/>
          </w:tcPr>
          <w:p>
            <w:pPr>
              <w:spacing w:before="20" w:after="20" w:line="260" w:lineRule="auto"/>
              <w:ind w:firstLine="0"/>
              <w:jc w:val="left"/>
            </w:pPr>
            <w:r>
              <w:rPr>
                <w:sz w:val="20"/>
                <w:szCs w:val="20"/>
              </w:rPr>
              <w:t xml:space="preserve">Câu hỏi trả lời</w:t>
            </w:r>
          </w:p>
        </w:tc>
        <w:tc>
          <w:tcPr>
            <w:tcW w:type="dxa" w:w="3602"/>
            <w:vAlign w:val="center"/>
          </w:tcPr>
          <w:p>
            <w:pPr>
              <w:spacing w:before="20" w:after="20" w:line="260" w:lineRule="auto"/>
              <w:ind w:firstLine="0"/>
              <w:jc w:val="left"/>
            </w:pPr>
            <w:r>
              <w:rPr>
                <w:sz w:val="20"/>
                <w:szCs w:val="20"/>
              </w:rPr>
              <w:t xml:space="preserve">Mô hình dự báo bao nhiêu khi onpromotion nhận giá trị s?</w:t>
            </w:r>
          </w:p>
        </w:tc>
        <w:tc>
          <w:tcPr>
            <w:tcW w:type="dxa" w:w="3622"/>
            <w:vAlign w:val="center"/>
          </w:tcPr>
          <w:p>
            <w:pPr>
              <w:spacing w:before="20" w:after="20" w:line="260" w:lineRule="auto"/>
              <w:ind w:firstLine="0"/>
              <w:jc w:val="left"/>
            </w:pPr>
            <w:r>
              <w:rPr>
                <w:sz w:val="20"/>
                <w:szCs w:val="20"/>
              </w:rPr>
              <w:t xml:space="preserve">Doanh số thay đổi bao nhiêu do chính quyết định khuyến mãi?</w:t>
            </w:r>
          </w:p>
        </w:tc>
      </w:tr>
      <w:tr>
        <w:trPr>
          <w:cantSplit/>
        </w:trPr>
        <w:tc>
          <w:tcPr>
            <w:tcW w:type="dxa" w:w="1847"/>
            <w:vAlign w:val="center"/>
          </w:tcPr>
          <w:p>
            <w:pPr>
              <w:spacing w:before="20" w:after="20" w:line="260" w:lineRule="auto"/>
              <w:ind w:firstLine="0"/>
              <w:jc w:val="left"/>
            </w:pPr>
            <w:r>
              <w:rPr>
                <w:sz w:val="20"/>
                <w:szCs w:val="20"/>
              </w:rPr>
              <w:t xml:space="preserve">Đại lượng</w:t>
            </w:r>
          </w:p>
        </w:tc>
        <w:tc>
          <w:tcPr>
            <w:tcW w:type="dxa" w:w="3602"/>
            <w:vAlign w:val="center"/>
          </w:tcPr>
          <w:p>
            <w:pPr>
              <w:spacing w:before="20" w:after="20" w:line="260" w:lineRule="auto"/>
              <w:ind w:firstLine="0"/>
              <w:jc w:val="left"/>
            </w:pPr>
            <w:r>
              <w:rPr>
                <w:sz w:val="20"/>
                <w:szCs w:val="20"/>
              </w:rPr>
              <w:t xml:space="preserve">Chênh lệch dự báo so với kịch bản Current (conditional_change_vs_current)</w:t>
            </w:r>
          </w:p>
        </w:tc>
        <w:tc>
          <w:tcPr>
            <w:tcW w:type="dxa" w:w="3622"/>
            <w:vAlign w:val="center"/>
          </w:tcPr>
          <w:p>
            <w:pPr>
              <w:spacing w:before="20" w:after="20" w:line="260" w:lineRule="auto"/>
              <w:ind w:firstLine="0"/>
              <w:jc w:val="left"/>
            </w:pPr>
            <w:r>
              <w:rPr>
                <w:sz w:val="20"/>
                <w:szCs w:val="20"/>
              </w:rPr>
              <w:t xml:space="preserve">Hiệu giữa các kết quả tiềm năng Y(1) − Y(0)</w:t>
            </w:r>
          </w:p>
        </w:tc>
      </w:tr>
      <w:tr>
        <w:trPr>
          <w:cantSplit/>
        </w:trPr>
        <w:tc>
          <w:tcPr>
            <w:tcW w:type="dxa" w:w="1847"/>
            <w:vAlign w:val="center"/>
          </w:tcPr>
          <w:p>
            <w:pPr>
              <w:spacing w:before="20" w:after="20" w:line="260" w:lineRule="auto"/>
              <w:ind w:firstLine="0"/>
              <w:jc w:val="left"/>
            </w:pPr>
            <w:r>
              <w:rPr>
                <w:sz w:val="20"/>
                <w:szCs w:val="20"/>
              </w:rPr>
              <w:t xml:space="preserve">Giả định cần thiết</w:t>
            </w:r>
          </w:p>
        </w:tc>
        <w:tc>
          <w:tcPr>
            <w:tcW w:type="dxa" w:w="3602"/>
            <w:vAlign w:val="center"/>
          </w:tcPr>
          <w:p>
            <w:pPr>
              <w:spacing w:before="20" w:after="20" w:line="260" w:lineRule="auto"/>
              <w:ind w:firstLine="0"/>
              <w:jc w:val="left"/>
            </w:pPr>
            <w:r>
              <w:rPr>
                <w:sz w:val="20"/>
                <w:szCs w:val="20"/>
              </w:rPr>
              <w:t xml:space="preserve">Mô hình dự báo tốt trong miền dữ liệu đã quan sát; mức kịch bản không vượt xa lịch sử của chuỗi</w:t>
            </w:r>
          </w:p>
        </w:tc>
        <w:tc>
          <w:tcPr>
            <w:tcW w:type="dxa" w:w="3622"/>
            <w:vAlign w:val="center"/>
          </w:tcPr>
          <w:p>
            <w:pPr>
              <w:spacing w:before="20" w:after="20" w:line="260" w:lineRule="auto"/>
              <w:ind w:firstLine="0"/>
              <w:jc w:val="left"/>
            </w:pPr>
            <w:r>
              <w:rPr>
                <w:sz w:val="20"/>
                <w:szCs w:val="20"/>
              </w:rPr>
              <w:t xml:space="preserve">Không còn nhiễu chưa kiểm soát, có chồng lấn, không có ảnh hưởng chéo giữa các đơn vị</w:t>
            </w:r>
          </w:p>
        </w:tc>
      </w:tr>
      <w:tr>
        <w:trPr>
          <w:cantSplit/>
        </w:trPr>
        <w:tc>
          <w:tcPr>
            <w:tcW w:type="dxa" w:w="1847"/>
            <w:vAlign w:val="center"/>
          </w:tcPr>
          <w:p>
            <w:pPr>
              <w:spacing w:before="20" w:after="20" w:line="260" w:lineRule="auto"/>
              <w:ind w:firstLine="0"/>
              <w:jc w:val="left"/>
            </w:pPr>
            <w:r>
              <w:rPr>
                <w:sz w:val="20"/>
                <w:szCs w:val="20"/>
              </w:rPr>
              <w:t xml:space="preserve">Dữ liệu cần có</w:t>
            </w:r>
          </w:p>
        </w:tc>
        <w:tc>
          <w:tcPr>
            <w:tcW w:type="dxa" w:w="3602"/>
            <w:vAlign w:val="center"/>
          </w:tcPr>
          <w:p>
            <w:pPr>
              <w:spacing w:before="20" w:after="20" w:line="260" w:lineRule="auto"/>
              <w:ind w:firstLine="0"/>
              <w:jc w:val="left"/>
            </w:pPr>
            <w:r>
              <w:rPr>
                <w:sz w:val="20"/>
                <w:szCs w:val="20"/>
              </w:rPr>
              <w:t xml:space="preserve">Dữ liệu quan sát lịch sử</w:t>
            </w:r>
          </w:p>
        </w:tc>
        <w:tc>
          <w:tcPr>
            <w:tcW w:type="dxa" w:w="3622"/>
            <w:vAlign w:val="center"/>
          </w:tcPr>
          <w:p>
            <w:pPr>
              <w:spacing w:before="20" w:after="20" w:line="260" w:lineRule="auto"/>
              <w:ind w:firstLine="0"/>
              <w:jc w:val="left"/>
            </w:pPr>
            <w:r>
              <w:rPr>
                <w:sz w:val="20"/>
                <w:szCs w:val="20"/>
              </w:rPr>
              <w:t xml:space="preserve">Thử nghiệm ngẫu nhiên, bán thực nghiệm hoặc thiết kế nhận diện; dữ liệu giá, chiết khấu, chi phí</w:t>
            </w:r>
          </w:p>
        </w:tc>
      </w:tr>
      <w:tr>
        <w:trPr>
          <w:cantSplit/>
        </w:trPr>
        <w:tc>
          <w:tcPr>
            <w:tcW w:type="dxa" w:w="1847"/>
            <w:vAlign w:val="center"/>
          </w:tcPr>
          <w:p>
            <w:pPr>
              <w:spacing w:before="20" w:after="20" w:line="260" w:lineRule="auto"/>
              <w:ind w:firstLine="0"/>
              <w:jc w:val="left"/>
            </w:pPr>
            <w:r>
              <w:rPr>
                <w:sz w:val="20"/>
                <w:szCs w:val="20"/>
              </w:rPr>
              <w:t xml:space="preserve">Ứng dụng phù hợp</w:t>
            </w:r>
          </w:p>
        </w:tc>
        <w:tc>
          <w:tcPr>
            <w:tcW w:type="dxa" w:w="3602"/>
            <w:vAlign w:val="center"/>
          </w:tcPr>
          <w:p>
            <w:pPr>
              <w:spacing w:before="20" w:after="20" w:line="260" w:lineRule="auto"/>
              <w:ind w:firstLine="0"/>
              <w:jc w:val="left"/>
            </w:pPr>
            <w:r>
              <w:rPr>
                <w:sz w:val="20"/>
                <w:szCs w:val="20"/>
              </w:rPr>
              <w:t xml:space="preserve">Sàng lọc, lập kế hoạch nhu cầu, phát hiện chuỗi nhạy bất thường hoặc ngoại suy</w:t>
            </w:r>
          </w:p>
        </w:tc>
        <w:tc>
          <w:tcPr>
            <w:tcW w:type="dxa" w:w="3622"/>
            <w:vAlign w:val="center"/>
          </w:tcPr>
          <w:p>
            <w:pPr>
              <w:spacing w:before="20" w:after="20" w:line="260" w:lineRule="auto"/>
              <w:ind w:firstLine="0"/>
              <w:jc w:val="left"/>
            </w:pPr>
            <w:r>
              <w:rPr>
                <w:sz w:val="20"/>
                <w:szCs w:val="20"/>
              </w:rPr>
              <w:t xml:space="preserve">Đánh giá lợi tức, phân bổ ngân sách khuyến mãi</w:t>
            </w:r>
          </w:p>
        </w:tc>
      </w:tr>
      <w:tr>
        <w:trPr>
          <w:cantSplit/>
        </w:trPr>
        <w:tc>
          <w:tcPr>
            <w:tcW w:type="dxa" w:w="1847"/>
            <w:vAlign w:val="center"/>
          </w:tcPr>
          <w:p>
            <w:pPr>
              <w:spacing w:before="20" w:after="20" w:line="260" w:lineRule="auto"/>
              <w:ind w:firstLine="0"/>
              <w:jc w:val="left"/>
            </w:pPr>
            <w:r>
              <w:rPr>
                <w:sz w:val="20"/>
                <w:szCs w:val="20"/>
              </w:rPr>
              <w:t xml:space="preserve">Trạng thái trong luận văn</w:t>
            </w:r>
          </w:p>
        </w:tc>
        <w:tc>
          <w:tcPr>
            <w:tcW w:type="dxa" w:w="3602"/>
            <w:vAlign w:val="center"/>
          </w:tcPr>
          <w:p>
            <w:pPr>
              <w:spacing w:before="20" w:after="20" w:line="260" w:lineRule="auto"/>
              <w:ind w:firstLine="0"/>
              <w:jc w:val="left"/>
            </w:pPr>
            <w:r>
              <w:rPr>
                <w:sz w:val="20"/>
                <w:szCs w:val="20"/>
              </w:rPr>
              <w:t xml:space="preserve">Đã triển khai với năm mức: 0, hiện tại, 1, 5, 10; độ rộng khoảng theo từng dòng</w:t>
            </w:r>
          </w:p>
        </w:tc>
        <w:tc>
          <w:tcPr>
            <w:tcW w:type="dxa" w:w="3622"/>
            <w:vAlign w:val="center"/>
          </w:tcPr>
          <w:p>
            <w:pPr>
              <w:spacing w:before="20" w:after="20" w:line="260" w:lineRule="auto"/>
              <w:ind w:firstLine="0"/>
              <w:jc w:val="left"/>
            </w:pPr>
            <w:r>
              <w:rPr>
                <w:sz w:val="20"/>
                <w:szCs w:val="20"/>
              </w:rPr>
              <w:t xml:space="preserve">Không thực hiện; là hướng mở rộng</w:t>
            </w:r>
          </w:p>
        </w:tc>
      </w:tr>
    </w:tbl>
    <w:p>
      <w:pPr>
        <w:spacing w:before="40" w:after="160"/>
        <w:ind w:firstLine="0"/>
      </w:pPr>
      <w:r>
        <w:rPr>
          <w:i/>
          <w:sz w:val="22"/>
          <w:szCs w:val="22"/>
        </w:rPr>
        <w:t xml:space="preserve">Nguồn: tổng hợp của tác giả dựa trên Shmueli (2010), Imbens và Rubin (2015) và mã nguồn 06_promotion_scenarios.py.</w:t>
      </w:r>
    </w:p>
    <w:p>
      <w:pPr>
        <w:pStyle w:val="Heading3"/>
        <w:keepNext/>
      </w:pPr>
      <w:r>
        <w:t xml:space="preserve">2.13.3. Ngoại suy và giới hạn diễn giải</w:t>
      </w:r>
    </w:p>
    <w:p>
      <w:pPr>
        <w:keepLines w:val="0"/>
        <w:spacing w:after="120"/>
        <w:ind w:firstLine="567"/>
      </w:pPr>
      <w:r>
        <w:t xml:space="preserve">Cùng một mức kịch bản có thể nằm trong miền dữ liệu lịch sử của chuỗi này và ngoài miền đó ở chuỗi khác. Mô hình cây cho dự báo dạng hàm bậc thang và không ngoại suy xu hướng ra ngoài vùng đã quan sát (Hastie và cộng sự, 2009); với giá trị onpromotion chưa từng gặp trong lịch sử của chuỗi, dự báo do các điểm tách học từ chuỗi khác quyết định và có thể nhảy bậc bất thường. BABY CARE minh họa rủi ro này: tổng doanh số thực tế cả nhóm trong 16 ngày chỉ là 160, nhưng trung vị P50 theo chuỗi tăng từ 19,48 ở kịch bản Current lên 780,35 ở Low và 3.740,76 ở High; 8 trong 10 chuỗi có chênh lệch tuyệt đối lớn nhất giữa High và Current thuộc nhóm này. Trong toàn hệ thống, 783 chuỗi (tính trên các chuỗi có P50 Current lớn hơn 0) có P50 kịch bản High thay đổi hơn 100% so với Current, tập trung ở các nhóm bán ít; ngưỡng 100% vì thế được dùng ở mục 2.15 như tín hiệu cảnh báo ngoại suy.</w:t>
      </w:r>
    </w:p>
    <w:p>
      <w:pPr>
        <w:keepLines w:val="0"/>
        <w:spacing w:after="120"/>
        <w:ind w:firstLine="567"/>
      </w:pPr>
      <w:r>
        <w:t xml:space="preserve">Ở cấp hệ thống, chênh lệch P50 trung bình theo chuỗi so với Current là −5,04% ở No promotion, −1,45% ở Low, +3,20% ở Medium và +9,06% ở High; P50 kịch bản High cao hơn Current ở 1.489 chuỗi và thấp hơn ở 293 chuỗi. Low thấp hơn Current ở 830 chuỗi; phần lớn trong số này (810 chuỗi) có onpromotion trung bình hiện tại lớn hơn 1, nên với chúng mức 1 thực chất là giảm quy mô khuyến mãi. Hai chuỗi GROCERY I lớn của cửa hàng 45 và 46 còn có P50 High thấp hơn Current, phản ứng không đơn điệu không nên đọc như bằng chứng khuyến mãi làm giảm doanh số. Thông tin khuyến mãi có giá trị cho độ chính xác dự báo bán lẻ (Ma và cộng sự, 2016; Fildes và cộng sự, 2022), song giá trị dự báo không đồng nghĩa với hiệu quả kinh tế. Muốn đánh giá nhân quả cần thử nghiệm có đối chứng hoặc thiết kế bán thực nghiệm với dữ liệu giá và chi phí.</w:t>
      </w:r>
    </w:p>
    <w:p>
      <w:pPr>
        <w:pStyle w:val="Heading2"/>
        <w:keepNext/>
      </w:pPr>
      <w:r>
        <w:t xml:space="preserve">2.14. Hỗ trợ quyết định tồn kho</w:t>
      </w:r>
    </w:p>
    <w:p>
      <w:pPr>
        <w:pStyle w:val="Heading3"/>
        <w:keepNext/>
      </w:pPr>
      <w:r>
        <w:t xml:space="preserve">2.14.1. Mô hình Newsvendor và phân vị tới hạn</w:t>
      </w:r>
    </w:p>
    <w:p>
      <w:pPr>
        <w:keepLines w:val="0"/>
        <w:spacing w:after="120"/>
        <w:ind w:firstLine="567"/>
      </w:pPr>
      <w:r>
        <w:t xml:space="preserve">Mô hình Newsvendor mô tả quyết định chọn mức hàng Q trước khi nhu cầu ngẫu nhiên D được quan sát, trong một kỳ duy nhất. Gọi Cu là chi phí thiếu hàng trên mỗi đơn vị nhu cầu không được đáp ứng (underage cost) và Co là chi phí dư thừa trên mỗi đơn vị không bán được (overage cost); chi phí kỳ vọng được viết như trong (2.49). Cực tiểu hóa theo Q dẫn đến nghiệm tối ưu là phân vị của phân phối nhu cầu tại tỷ lệ tới hạn (critical fractile), như trong (2.50) (Arrow và cộng sự, 1951; Qin và cộng sự, 2011). Mô hình giả định một kỳ và chi phí tuyến tính, nên chỉ là điểm xuất phát lý thuyết cho bài toán nhiều kỳ.</w:t>
      </w:r>
    </w:p>
    <w:p>
      <w:pPr>
        <w:tabs>
          <w:tab w:val="center" w:pos="4535"/>
          <w:tab w:val="right" w:pos="9071"/>
        </w:tabs>
        <w:spacing w:before="60" w:after="60"/>
        <w:ind w:firstLine="0"/>
      </w:pPr>
      <w:r>
        <w:tab/>
      </w:r>
      <m:oMath xmlns:a="http://schemas.openxmlformats.org/drawingml/2006/main" xmlns:pic="http://schemas.openxmlformats.org/drawingml/2006/picture">
        <m:r>
          <m:t>C</m:t>
        </m:r>
        <m:d>
          <m:dPr>
            <m:begChr m:val="("/>
            <m:sepChr m:val=""/>
            <m:endChr m:val=")"/>
            <m:grow/>
          </m:dPr>
          <m:e>
            <m:r>
              <m:t>Q</m:t>
            </m:r>
          </m:e>
        </m:d>
        <m:r>
          <m:rPr>
            <m:sty m:val="p"/>
          </m:rPr>
          <m:t>=</m:t>
        </m:r>
        <m:sSub>
          <m:e>
            <m:r>
              <m:t>C</m:t>
            </m:r>
          </m:e>
          <m:sub>
            <m:r>
              <m:t>u</m:t>
            </m:r>
          </m:sub>
        </m:sSub>
        <m:r>
          <m:t> </m:t>
        </m:r>
        <m:r>
          <m:rPr>
            <m:scr m:val="double-struck"/>
            <m:sty m:val="p"/>
          </m:rPr>
          <m:t>E</m:t>
        </m:r>
        <m:d>
          <m:dPr>
            <m:begChr m:val="["/>
            <m:sepChr m:val=""/>
            <m:endChr m:val="]"/>
            <m:grow/>
          </m:dPr>
          <m:e>
            <m:sSup>
              <m:e>
                <m:d>
                  <m:dPr>
                    <m:begChr m:val="("/>
                    <m:sepChr m:val=""/>
                    <m:endChr m:val=")"/>
                    <m:grow/>
                  </m:dPr>
                  <m:e>
                    <m:r>
                      <m:t>D</m:t>
                    </m:r>
                    <m:r>
                      <m:rPr>
                        <m:sty m:val="p"/>
                      </m:rPr>
                      <m:t>−</m:t>
                    </m:r>
                    <m:r>
                      <m:t>Q</m:t>
                    </m:r>
                  </m:e>
                </m:d>
              </m:e>
              <m:sup>
                <m:r>
                  <m:rPr>
                    <m:sty m:val="p"/>
                  </m:rPr>
                  <m:t>+</m:t>
                </m:r>
              </m:sup>
            </m:sSup>
          </m:e>
        </m:d>
        <m:r>
          <m:rPr>
            <m:sty m:val="p"/>
          </m:rPr>
          <m:t>+</m:t>
        </m:r>
        <m:sSub>
          <m:e>
            <m:r>
              <m:t>C</m:t>
            </m:r>
          </m:e>
          <m:sub>
            <m:r>
              <m:t>o</m:t>
            </m:r>
          </m:sub>
        </m:sSub>
        <m:r>
          <m:t> </m:t>
        </m:r>
        <m:r>
          <m:rPr>
            <m:scr m:val="double-struck"/>
            <m:sty m:val="p"/>
          </m:rPr>
          <m:t>E</m:t>
        </m:r>
        <m:d>
          <m:dPr>
            <m:begChr m:val="["/>
            <m:sepChr m:val=""/>
            <m:endChr m:val="]"/>
            <m:grow/>
          </m:dPr>
          <m:e>
            <m:sSup>
              <m:e>
                <m:d>
                  <m:dPr>
                    <m:begChr m:val="("/>
                    <m:sepChr m:val=""/>
                    <m:endChr m:val=")"/>
                    <m:grow/>
                  </m:dPr>
                  <m:e>
                    <m:r>
                      <m:t>Q</m:t>
                    </m:r>
                    <m:r>
                      <m:rPr>
                        <m:sty m:val="p"/>
                      </m:rPr>
                      <m:t>−</m:t>
                    </m:r>
                    <m:r>
                      <m:t>D</m:t>
                    </m:r>
                  </m:e>
                </m:d>
              </m:e>
              <m:sup>
                <m:r>
                  <m:rPr>
                    <m:sty m:val="p"/>
                  </m:rPr>
                  <m:t>+</m:t>
                </m:r>
              </m:sup>
            </m:sSup>
          </m:e>
        </m:d>
      </m:oMath>
      <w:r>
        <w:tab/>
        <w:t>(2.49)</w:t>
      </w:r>
    </w:p>
    <w:p>
      <w:pPr>
        <w:tabs>
          <w:tab w:val="center" w:pos="4535"/>
          <w:tab w:val="right" w:pos="9071"/>
        </w:tabs>
        <w:spacing w:before="60" w:after="60"/>
        <w:ind w:firstLine="0"/>
      </w:pPr>
      <w:r>
        <w:tab/>
      </w:r>
      <m:oMath xmlns:a="http://schemas.openxmlformats.org/drawingml/2006/main" xmlns:pic="http://schemas.openxmlformats.org/drawingml/2006/picture">
        <m:sSup>
          <m:e>
            <m:r>
              <m:t>Q</m:t>
            </m:r>
          </m:e>
          <m:sup>
            <m:r>
              <m:rPr>
                <m:sty m:val="p"/>
              </m:rPr>
              <m:t>*</m:t>
            </m:r>
          </m:sup>
        </m:sSup>
        <m:r>
          <m:rPr>
            <m:sty m:val="p"/>
          </m:rPr>
          <m:t>=</m:t>
        </m:r>
        <m:sSubSup>
          <m:e>
            <m:r>
              <m:t>F</m:t>
            </m:r>
          </m:e>
          <m:sub>
            <m:r>
              <m:t>D</m:t>
            </m:r>
          </m:sub>
          <m:sup>
            <m:r>
              <m:rPr>
                <m:sty m:val="p"/>
              </m:rPr>
              <m:t>−</m:t>
            </m:r>
            <m:r>
              <m:t>1</m:t>
            </m:r>
          </m:sup>
        </m:sSubSup>
        <m:r>
          <m:t>​</m:t>
        </m:r>
        <m:d>
          <m:dPr>
            <m:begChr m:val="("/>
            <m:sepChr m:val=""/>
            <m:endChr m:val=")"/>
            <m:grow/>
          </m:dPr>
          <m:e>
            <m:sSup>
              <m:e>
                <m:r>
                  <m:t>q</m:t>
                </m:r>
              </m:e>
              <m:sup>
                <m:r>
                  <m:rPr>
                    <m:sty m:val="p"/>
                  </m:rPr>
                  <m:t>*</m:t>
                </m:r>
              </m:sup>
            </m:sSup>
          </m:e>
        </m:d>
        <m:r>
          <m:rPr>
            <m:sty m:val="p"/>
          </m:rPr>
          <m:t>,</m:t>
        </m:r>
        <m:r>
          <m:t>  </m:t>
        </m:r>
        <m:sSup>
          <m:e>
            <m:r>
              <m:t>q</m:t>
            </m:r>
          </m:e>
          <m:sup>
            <m:r>
              <m:rPr>
                <m:sty m:val="p"/>
              </m:rPr>
              <m:t>*</m:t>
            </m:r>
          </m:sup>
        </m:sSup>
        <m:r>
          <m:rPr>
            <m:sty m:val="p"/>
          </m:rPr>
          <m:t>=</m:t>
        </m:r>
        <m:f>
          <m:fPr>
            <m:type m:val="bar"/>
          </m:fPr>
          <m:num>
            <m:sSub>
              <m:e>
                <m:r>
                  <m:t>C</m:t>
                </m:r>
              </m:e>
              <m:sub>
                <m:r>
                  <m:t>u</m:t>
                </m:r>
              </m:sub>
            </m:sSub>
          </m:num>
          <m:den>
            <m:sSub>
              <m:e>
                <m:r>
                  <m:t>C</m:t>
                </m:r>
              </m:e>
              <m:sub>
                <m:r>
                  <m:t>u</m:t>
                </m:r>
              </m:sub>
            </m:sSub>
            <m:r>
              <m:rPr>
                <m:sty m:val="p"/>
              </m:rPr>
              <m:t>+</m:t>
            </m:r>
            <m:sSub>
              <m:e>
                <m:r>
                  <m:t>C</m:t>
                </m:r>
              </m:e>
              <m:sub>
                <m:r>
                  <m:t>o</m:t>
                </m:r>
              </m:sub>
            </m:sSub>
          </m:den>
        </m:f>
      </m:oMath>
      <w:r>
        <w:tab/>
        <w:t>(2.50)</w:t>
      </w:r>
    </w:p>
    <w:p>
      <w:pPr>
        <w:keepLines w:val="0"/>
        <w:spacing w:after="120"/>
        <w:ind w:firstLine="567"/>
      </w:pPr>
      <w:r>
        <w:t xml:space="preserve">Nếu đặt u = D − Q, hàm chi phí Newsvendor bằng (Cu + Co) nhân với mất mát phân vị ρ tại τ = q*; đây là cầu nối lý thuyết giữa đánh giá dự báo phân vị ở mục 2.12 và quyết định tồn kho. Mã nguồn đặt Cu = 3 và Co = 1, cho q* = Cu/(Cu + Co) = 0,75, tức thiệt hại do thiếu hàng được giả định gấp ba lần do dư hàng. Cặp giá trị này là giả định minh họa, không ước lượng từ dữ liệu, vì Favorita không có giá bán, biên lợi nhuận, tồn kho thực hay thời gian cung ứng; mọi đại lượng tồn kho trong luận văn vì vậy là mô phỏng theo giả định.</w:t>
      </w:r>
    </w:p>
    <w:p>
      <w:pPr>
        <w:pStyle w:val="Heading3"/>
        <w:keepNext/>
      </w:pPr>
      <w:r>
        <w:t xml:space="preserve">2.14.2. Điểm đặt hàng lại, tồn kho an toàn và cách vận dụng trong mã nguồn</w:t>
      </w:r>
    </w:p>
    <w:p>
      <w:pPr>
        <w:keepLines w:val="0"/>
        <w:spacing w:after="120"/>
        <w:ind w:firstLine="567"/>
      </w:pPr>
      <w:r>
        <w:t xml:space="preserve">Trong lý thuyết quản trị tồn kho, điểm đặt hàng lại (reorder point) được xác định từ phân phối nhu cầu trong thời gian cung ứng tại mức dịch vụ mong muốn; tồn kho an toàn (safety stock) là phần chênh giữa điểm đặt hàng lại và nhu cầu trung tâm; lượng đặt trong các chính sách mức mục tiêu như (R, S) hay (s, S) bằng mức mục tiêu trừ vị thế tồn kho (Silver và cộng sự, 2017). Stage 07 vận dụng các khái niệm này ở dạng đại diện: P10, P50, P90 được cộng qua 16 ngày theo chuỗi; điểm đặt hàng lại đại diện ROP = P90 (vì q* ≥ 0,75); tồn kho an toàn SS = P90 − P50; vị thế giả định IP = 0,8 × P50; lượng bổ sung gợi ý Rep = max(P90 − 0,8 × P50, 0), như trong (2.51).</w:t>
      </w:r>
    </w:p>
    <w:p>
      <w:pPr>
        <w:tabs>
          <w:tab w:val="center" w:pos="4535"/>
          <w:tab w:val="right" w:pos="9071"/>
        </w:tabs>
        <w:spacing w:before="60" w:after="60"/>
        <w:ind w:firstLine="0"/>
      </w:pPr>
      <w:r>
        <w:tab/>
      </w:r>
      <m:oMath xmlns:a="http://schemas.openxmlformats.org/drawingml/2006/main" xmlns:pic="http://schemas.openxmlformats.org/drawingml/2006/picture">
        <m:sSub>
          <m:e>
            <m:r>
              <m:rPr>
                <m:sty m:val="p"/>
              </m:rPr>
              <m:t>R</m:t>
            </m:r>
            <m:r>
              <m:rPr>
                <m:sty m:val="p"/>
              </m:rPr>
              <m:t>O</m:t>
            </m:r>
            <m:r>
              <m:rPr>
                <m:sty m:val="p"/>
              </m:rPr>
              <m:t>P</m:t>
            </m:r>
          </m:e>
          <m:sub>
            <m:r>
              <m:t>i</m:t>
            </m:r>
          </m:sub>
        </m:sSub>
        <m:r>
          <m:rPr>
            <m:sty m:val="p"/>
          </m:rPr>
          <m:t>=</m:t>
        </m:r>
        <m:sSub>
          <m:e>
            <m:r>
              <m:rPr>
                <m:sty m:val="p"/>
              </m:rPr>
              <m:t>P</m:t>
            </m:r>
            <m:r>
              <m:rPr>
                <m:sty m:val="p"/>
              </m:rPr>
              <m:t>90</m:t>
            </m:r>
          </m:e>
          <m:sub>
            <m:r>
              <m:t>i</m:t>
            </m:r>
          </m:sub>
        </m:sSub>
        <m:r>
          <m:rPr>
            <m:sty m:val="p"/>
          </m:rPr>
          <m:t>,</m:t>
        </m:r>
        <m:r>
          <m:t> </m:t>
        </m:r>
        <m:sSub>
          <m:e>
            <m:r>
              <m:rPr>
                <m:sty m:val="p"/>
              </m:rPr>
              <m:t>S</m:t>
            </m:r>
            <m:r>
              <m:rPr>
                <m:sty m:val="p"/>
              </m:rPr>
              <m:t>S</m:t>
            </m:r>
          </m:e>
          <m:sub>
            <m:r>
              <m:t>i</m:t>
            </m:r>
          </m:sub>
        </m:sSub>
        <m:r>
          <m:rPr>
            <m:sty m:val="p"/>
          </m:rPr>
          <m:t>=</m:t>
        </m:r>
        <m:sSub>
          <m:e>
            <m:r>
              <m:rPr>
                <m:sty m:val="p"/>
              </m:rPr>
              <m:t>P</m:t>
            </m:r>
            <m:r>
              <m:rPr>
                <m:sty m:val="p"/>
              </m:rPr>
              <m:t>90</m:t>
            </m:r>
          </m:e>
          <m:sub>
            <m:r>
              <m:t>i</m:t>
            </m:r>
          </m:sub>
        </m:sSub>
        <m:r>
          <m:rPr>
            <m:sty m:val="p"/>
          </m:rPr>
          <m:t>−</m:t>
        </m:r>
        <m:sSub>
          <m:e>
            <m:r>
              <m:rPr>
                <m:sty m:val="p"/>
              </m:rPr>
              <m:t>P</m:t>
            </m:r>
            <m:r>
              <m:rPr>
                <m:sty m:val="p"/>
              </m:rPr>
              <m:t>50</m:t>
            </m:r>
          </m:e>
          <m:sub>
            <m:r>
              <m:t>i</m:t>
            </m:r>
          </m:sub>
        </m:sSub>
        <m:r>
          <m:rPr>
            <m:sty m:val="p"/>
          </m:rPr>
          <m:t>,</m:t>
        </m:r>
        <m:r>
          <m:t> </m:t>
        </m:r>
        <m:sSub>
          <m:e>
            <m:r>
              <m:rPr>
                <m:sty m:val="p"/>
              </m:rPr>
              <m:t>I</m:t>
            </m:r>
            <m:r>
              <m:rPr>
                <m:sty m:val="p"/>
              </m:rPr>
              <m:t>P</m:t>
            </m:r>
          </m:e>
          <m:sub>
            <m:r>
              <m:t>i</m:t>
            </m:r>
          </m:sub>
        </m:sSub>
        <m:r>
          <m:rPr>
            <m:sty m:val="p"/>
          </m:rPr>
          <m:t>=</m:t>
        </m:r>
        <m:r>
          <m:t>0</m:t>
        </m:r>
        <m:r>
          <m:rPr>
            <m:sty m:val="p"/>
          </m:rPr>
          <m:t>,</m:t>
        </m:r>
        <m:r>
          <m:t>8</m:t>
        </m:r>
        <m:r>
          <m:rPr>
            <m:sty m:val="p"/>
          </m:rPr>
          <m:t>×</m:t>
        </m:r>
        <m:sSub>
          <m:e>
            <m:r>
              <m:rPr>
                <m:sty m:val="p"/>
              </m:rPr>
              <m:t>P</m:t>
            </m:r>
            <m:r>
              <m:rPr>
                <m:sty m:val="p"/>
              </m:rPr>
              <m:t>50</m:t>
            </m:r>
          </m:e>
          <m:sub>
            <m:r>
              <m:t>i</m:t>
            </m:r>
          </m:sub>
        </m:sSub>
        <m:r>
          <m:rPr>
            <m:sty m:val="p"/>
          </m:rPr>
          <m:t>,</m:t>
        </m:r>
        <m:r>
          <m:t> </m:t>
        </m:r>
        <m:sSub>
          <m:e>
            <m:r>
              <m:rPr>
                <m:sty m:val="p"/>
              </m:rPr>
              <m:t>R</m:t>
            </m:r>
            <m:r>
              <m:rPr>
                <m:sty m:val="p"/>
              </m:rPr>
              <m:t>e</m:t>
            </m:r>
            <m:r>
              <m:rPr>
                <m:sty m:val="p"/>
              </m:rPr>
              <m:t>p</m:t>
            </m:r>
          </m:e>
          <m:sub>
            <m:r>
              <m:t>i</m:t>
            </m:r>
          </m:sub>
        </m:sSub>
        <m:r>
          <m:rPr>
            <m:sty m:val="p"/>
          </m:rPr>
          <m:t>=</m:t>
        </m:r>
        <m:r>
          <m:rPr>
            <m:sty m:val="p"/>
          </m:rPr>
          <m:t>max</m:t>
        </m:r>
        <m:d>
          <m:dPr>
            <m:begChr m:val="("/>
            <m:sepChr m:val=""/>
            <m:endChr m:val=")"/>
            <m:grow/>
          </m:dPr>
          <m:e>
            <m:sSub>
              <m:e>
                <m:r>
                  <m:rPr>
                    <m:sty m:val="p"/>
                  </m:rPr>
                  <m:t>P</m:t>
                </m:r>
                <m:r>
                  <m:rPr>
                    <m:sty m:val="p"/>
                  </m:rPr>
                  <m:t>90</m:t>
                </m:r>
              </m:e>
              <m:sub>
                <m:r>
                  <m:t>i</m:t>
                </m:r>
              </m:sub>
            </m:sSub>
            <m:r>
              <m:rPr>
                <m:sty m:val="p"/>
              </m:rPr>
              <m:t>−</m:t>
            </m:r>
            <m:r>
              <m:t>0</m:t>
            </m:r>
            <m:r>
              <m:rPr>
                <m:sty m:val="p"/>
              </m:rPr>
              <m:t>,</m:t>
            </m:r>
            <m:r>
              <m:t>8</m:t>
            </m:r>
            <m:r>
              <m:rPr>
                <m:sty m:val="p"/>
              </m:rPr>
              <m:t>×</m:t>
            </m:r>
            <m:sSub>
              <m:e>
                <m:r>
                  <m:rPr>
                    <m:sty m:val="p"/>
                  </m:rPr>
                  <m:t>P</m:t>
                </m:r>
                <m:r>
                  <m:rPr>
                    <m:sty m:val="p"/>
                  </m:rPr>
                  <m:t>50</m:t>
                </m:r>
              </m:e>
              <m:sub>
                <m:r>
                  <m:t>i</m:t>
                </m:r>
              </m:sub>
            </m:sSub>
            <m:r>
              <m:rPr>
                <m:sty m:val="p"/>
              </m:rPr>
              <m:t>,</m:t>
            </m:r>
            <m:r>
              <m:t>0</m:t>
            </m:r>
          </m:e>
        </m:d>
      </m:oMath>
      <w:r>
        <w:tab/>
        <w:t>(2.51)</w:t>
      </w:r>
    </w:p>
    <w:p>
      <w:pPr>
        <w:keepLines w:val="0"/>
        <w:spacing w:after="120"/>
        <w:ind w:firstLine="567"/>
      </w:pPr>
      <w:r>
        <w:t xml:space="preserve">ROP = P90 không phải nghiệm Newsvendor chính xác: với q* = 0,75, nghiệm lý thuyết là phân vị 0,75, còn P90 là lựa chọn bảo thủ, nghiêng về giảm thiếu hàng. Phương án sát lý thuyết hơn được bổ sung ở phiếu khuyến nghị (mục 2.15) dưới dạng phương án B, nội suy tuyến tính P(q*) ≈ P50 + (P90 − P50)(q* − 0,5)/0,4, vẫn chỉ là xấp xỉ. Lượng bổ sung gợi ý tách thành tồn kho an toàn P90 − P50, phản ánh bất định dự báo, và 0,2 × P50 do giả định vị thế tồn kho; phần thứ hai chiếm 46,24% tổng lượng bổ sung 5.950.610. Vì độ rộng khoảng Mondrian thay đổi theo nhóm quy mô dự báo, tồn kho an toàn thay đổi theo chuỗi, từ 64,00 đến 12.135,64 (trung vị 347,06), nhưng phản ánh độ phân tán của phần dư trong nhóm dự báo, không phải của riêng từng chuỗi. Bảng 2.7 đối chiếu từng đại lượng với khái niệm lý thuyết và giới hạn tương ứng.</w:t>
      </w:r>
    </w:p>
    <w:p>
      <w:pPr>
        <w:keepNext/>
        <w:spacing w:before="120" w:after="60"/>
        <w:ind w:firstLine="0"/>
        <w:jc w:val="center"/>
      </w:pPr>
      <w:r>
        <w:t xml:space="preserve">Bảng 2.7. Đối chiếu các đại lượng tồn kho trong mã nguồn với khái niệm lý thuyết</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489"/>
        <w:gridCol w:w="2002"/>
        <w:gridCol w:w="2628"/>
        <w:gridCol w:w="2952"/>
      </w:tblGrid>
      <w:tr>
        <w:trPr>
          <w:tblHeader/>
          <w:cantSplit/>
        </w:trPr>
        <w:tc>
          <w:tcPr>
            <w:tcW w:type="dxa" w:w="1489"/>
            <w:shd w:val="clear" w:color="auto" w:fill="D9E2F3"/>
            <w:vAlign w:val="center"/>
          </w:tcPr>
          <w:p>
            <w:pPr>
              <w:spacing w:before="20" w:after="20" w:line="260" w:lineRule="auto"/>
              <w:ind w:firstLine="0"/>
              <w:jc w:val="center"/>
            </w:pPr>
            <w:r>
              <w:rPr>
                <w:b/>
                <w:sz w:val="20"/>
                <w:szCs w:val="20"/>
              </w:rPr>
              <w:t xml:space="preserve">Đại lượng</w:t>
            </w:r>
          </w:p>
        </w:tc>
        <w:tc>
          <w:tcPr>
            <w:tcW w:type="dxa" w:w="2002"/>
            <w:shd w:val="clear" w:color="auto" w:fill="D9E2F3"/>
            <w:vAlign w:val="center"/>
          </w:tcPr>
          <w:p>
            <w:pPr>
              <w:spacing w:before="20" w:after="20" w:line="260" w:lineRule="auto"/>
              <w:ind w:firstLine="0"/>
              <w:jc w:val="center"/>
            </w:pPr>
            <w:r>
              <w:rPr>
                <w:b/>
                <w:sz w:val="20"/>
                <w:szCs w:val="20"/>
              </w:rPr>
              <w:t xml:space="preserve">Khái niệm lý thuyết</w:t>
            </w:r>
          </w:p>
        </w:tc>
        <w:tc>
          <w:tcPr>
            <w:tcW w:type="dxa" w:w="2628"/>
            <w:shd w:val="clear" w:color="auto" w:fill="D9E2F3"/>
            <w:vAlign w:val="center"/>
          </w:tcPr>
          <w:p>
            <w:pPr>
              <w:spacing w:before="20" w:after="20" w:line="260" w:lineRule="auto"/>
              <w:ind w:firstLine="0"/>
              <w:jc w:val="center"/>
            </w:pPr>
            <w:r>
              <w:rPr>
                <w:b/>
                <w:sz w:val="20"/>
                <w:szCs w:val="20"/>
              </w:rPr>
              <w:t xml:space="preserve">Cách tính trong mã nguồn (tổng 16 ngày theo chuỗi)</w:t>
            </w:r>
          </w:p>
        </w:tc>
        <w:tc>
          <w:tcPr>
            <w:tcW w:type="dxa" w:w="2952"/>
            <w:shd w:val="clear" w:color="auto" w:fill="D9E2F3"/>
            <w:vAlign w:val="center"/>
          </w:tcPr>
          <w:p>
            <w:pPr>
              <w:spacing w:before="20" w:after="20" w:line="260" w:lineRule="auto"/>
              <w:ind w:firstLine="0"/>
              <w:jc w:val="center"/>
            </w:pPr>
            <w:r>
              <w:rPr>
                <w:b/>
                <w:sz w:val="20"/>
                <w:szCs w:val="20"/>
              </w:rPr>
              <w:t xml:space="preserve">Giới hạn cần lưu ý</w:t>
            </w:r>
          </w:p>
        </w:tc>
      </w:tr>
      <w:tr>
        <w:trPr>
          <w:cantSplit/>
        </w:trPr>
        <w:tc>
          <w:tcPr>
            <w:tcW w:type="dxa" w:w="1489"/>
            <w:vAlign w:val="center"/>
          </w:tcPr>
          <w:p>
            <w:pPr>
              <w:spacing w:before="20" w:after="20" w:line="260" w:lineRule="auto"/>
              <w:ind w:firstLine="0"/>
              <w:jc w:val="left"/>
            </w:pPr>
            <w:r>
              <w:rPr>
                <w:sz w:val="20"/>
                <w:szCs w:val="20"/>
              </w:rPr>
              <w:t xml:space="preserve">Phân vị tới hạn q*</w:t>
            </w:r>
          </w:p>
        </w:tc>
        <w:tc>
          <w:tcPr>
            <w:tcW w:type="dxa" w:w="2002"/>
            <w:vAlign w:val="center"/>
          </w:tcPr>
          <w:p>
            <w:pPr>
              <w:spacing w:before="20" w:after="20" w:line="260" w:lineRule="auto"/>
              <w:ind w:firstLine="0"/>
              <w:jc w:val="left"/>
            </w:pPr>
            <w:r>
              <w:rPr>
                <w:sz w:val="20"/>
                <w:szCs w:val="20"/>
              </w:rPr>
              <w:t xml:space="preserve">Cu/(Cu + Co)</w:t>
            </w:r>
          </w:p>
        </w:tc>
        <w:tc>
          <w:tcPr>
            <w:tcW w:type="dxa" w:w="2628"/>
            <w:vAlign w:val="center"/>
          </w:tcPr>
          <w:p>
            <w:pPr>
              <w:spacing w:before="20" w:after="20" w:line="260" w:lineRule="auto"/>
              <w:ind w:firstLine="0"/>
              <w:jc w:val="left"/>
            </w:pPr>
            <w:r>
              <w:rPr>
                <w:sz w:val="20"/>
                <w:szCs w:val="20"/>
              </w:rPr>
              <w:t xml:space="preserve">Cu = 3, Co = 1 → q* = 0,75</w:t>
            </w:r>
          </w:p>
        </w:tc>
        <w:tc>
          <w:tcPr>
            <w:tcW w:type="dxa" w:w="2952"/>
            <w:vAlign w:val="center"/>
          </w:tcPr>
          <w:p>
            <w:pPr>
              <w:spacing w:before="20" w:after="20" w:line="260" w:lineRule="auto"/>
              <w:ind w:firstLine="0"/>
              <w:jc w:val="left"/>
            </w:pPr>
            <w:r>
              <w:rPr>
                <w:sz w:val="20"/>
                <w:szCs w:val="20"/>
              </w:rPr>
              <w:t xml:space="preserve">Chi phí là giả định minh họa, không ước lượng từ dữ liệu</w:t>
            </w:r>
          </w:p>
        </w:tc>
      </w:tr>
      <w:tr>
        <w:trPr>
          <w:cantSplit/>
        </w:trPr>
        <w:tc>
          <w:tcPr>
            <w:tcW w:type="dxa" w:w="1489"/>
            <w:vAlign w:val="center"/>
          </w:tcPr>
          <w:p>
            <w:pPr>
              <w:spacing w:before="20" w:after="20" w:line="260" w:lineRule="auto"/>
              <w:ind w:firstLine="0"/>
              <w:jc w:val="left"/>
            </w:pPr>
            <w:r>
              <w:rPr>
                <w:sz w:val="20"/>
                <w:szCs w:val="20"/>
              </w:rPr>
              <w:t xml:space="preserve">Điểm đặt hàng lại đại diện</w:t>
            </w:r>
          </w:p>
        </w:tc>
        <w:tc>
          <w:tcPr>
            <w:tcW w:type="dxa" w:w="2002"/>
            <w:vAlign w:val="center"/>
          </w:tcPr>
          <w:p>
            <w:pPr>
              <w:spacing w:before="20" w:after="20" w:line="260" w:lineRule="auto"/>
              <w:ind w:firstLine="0"/>
              <w:jc w:val="left"/>
            </w:pPr>
            <w:r>
              <w:rPr>
                <w:sz w:val="20"/>
                <w:szCs w:val="20"/>
              </w:rPr>
              <w:t xml:space="preserve">Phân vị q* của nhu cầu trong thời gian cung ứng</w:t>
            </w:r>
          </w:p>
        </w:tc>
        <w:tc>
          <w:tcPr>
            <w:tcW w:type="dxa" w:w="2628"/>
            <w:vAlign w:val="center"/>
          </w:tcPr>
          <w:p>
            <w:pPr>
              <w:spacing w:before="20" w:after="20" w:line="260" w:lineRule="auto"/>
              <w:ind w:firstLine="0"/>
              <w:jc w:val="left"/>
            </w:pPr>
            <w:r>
              <w:rPr>
                <w:sz w:val="20"/>
                <w:szCs w:val="20"/>
              </w:rPr>
              <w:t xml:space="preserve">P90 (vì q* ≥ 0,75); phiếu khuyến nghị bổ sung phương án B nội suy giữa P50 và P90</w:t>
            </w:r>
          </w:p>
        </w:tc>
        <w:tc>
          <w:tcPr>
            <w:tcW w:type="dxa" w:w="2952"/>
            <w:vAlign w:val="center"/>
          </w:tcPr>
          <w:p>
            <w:pPr>
              <w:spacing w:before="20" w:after="20" w:line="260" w:lineRule="auto"/>
              <w:ind w:firstLine="0"/>
              <w:jc w:val="left"/>
            </w:pPr>
            <w:r>
              <w:rPr>
                <w:sz w:val="20"/>
                <w:szCs w:val="20"/>
              </w:rPr>
              <w:t xml:space="preserve">P90 cao hơn phân vị 0,75: lựa chọn bảo thủ; cộng phân vị theo ngày, không có thời gian cung ứng thực</w:t>
            </w:r>
          </w:p>
        </w:tc>
      </w:tr>
      <w:tr>
        <w:trPr>
          <w:cantSplit/>
        </w:trPr>
        <w:tc>
          <w:tcPr>
            <w:tcW w:type="dxa" w:w="1489"/>
            <w:vAlign w:val="center"/>
          </w:tcPr>
          <w:p>
            <w:pPr>
              <w:spacing w:before="20" w:after="20" w:line="260" w:lineRule="auto"/>
              <w:ind w:firstLine="0"/>
              <w:jc w:val="left"/>
            </w:pPr>
            <w:r>
              <w:rPr>
                <w:sz w:val="20"/>
                <w:szCs w:val="20"/>
              </w:rPr>
              <w:t xml:space="preserve">Tồn kho an toàn</w:t>
            </w:r>
          </w:p>
        </w:tc>
        <w:tc>
          <w:tcPr>
            <w:tcW w:type="dxa" w:w="2002"/>
            <w:vAlign w:val="center"/>
          </w:tcPr>
          <w:p>
            <w:pPr>
              <w:spacing w:before="20" w:after="20" w:line="260" w:lineRule="auto"/>
              <w:ind w:firstLine="0"/>
              <w:jc w:val="left"/>
            </w:pPr>
            <w:r>
              <w:rPr>
                <w:sz w:val="20"/>
                <w:szCs w:val="20"/>
              </w:rPr>
              <w:t xml:space="preserve">Điểm đặt hàng lại trừ nhu cầu trung tâm</w:t>
            </w:r>
          </w:p>
        </w:tc>
        <w:tc>
          <w:tcPr>
            <w:tcW w:type="dxa" w:w="2628"/>
            <w:vAlign w:val="center"/>
          </w:tcPr>
          <w:p>
            <w:pPr>
              <w:spacing w:before="20" w:after="20" w:line="260" w:lineRule="auto"/>
              <w:ind w:firstLine="0"/>
              <w:jc w:val="left"/>
            </w:pPr>
            <w:r>
              <w:rPr>
                <w:sz w:val="20"/>
                <w:szCs w:val="20"/>
              </w:rPr>
              <w:t xml:space="preserve">P90 − P50</w:t>
            </w:r>
          </w:p>
        </w:tc>
        <w:tc>
          <w:tcPr>
            <w:tcW w:type="dxa" w:w="2952"/>
            <w:vAlign w:val="center"/>
          </w:tcPr>
          <w:p>
            <w:pPr>
              <w:spacing w:before="20" w:after="20" w:line="260" w:lineRule="auto"/>
              <w:ind w:firstLine="0"/>
              <w:jc w:val="left"/>
            </w:pPr>
            <w:r>
              <w:rPr>
                <w:sz w:val="20"/>
                <w:szCs w:val="20"/>
              </w:rPr>
              <w:t xml:space="preserve">Thay đổi theo chuỗi (64,00 đến 12.135,64) nhưng theo nhóm dự báo, không theo biến động riêng của chuỗi</w:t>
            </w:r>
          </w:p>
        </w:tc>
      </w:tr>
      <w:tr>
        <w:trPr>
          <w:cantSplit/>
        </w:trPr>
        <w:tc>
          <w:tcPr>
            <w:tcW w:type="dxa" w:w="1489"/>
            <w:vAlign w:val="center"/>
          </w:tcPr>
          <w:p>
            <w:pPr>
              <w:spacing w:before="20" w:after="20" w:line="260" w:lineRule="auto"/>
              <w:ind w:firstLine="0"/>
              <w:jc w:val="left"/>
            </w:pPr>
            <w:r>
              <w:rPr>
                <w:sz w:val="20"/>
                <w:szCs w:val="20"/>
              </w:rPr>
              <w:t xml:space="preserve">Vị thế tồn kho</w:t>
            </w:r>
          </w:p>
        </w:tc>
        <w:tc>
          <w:tcPr>
            <w:tcW w:type="dxa" w:w="2002"/>
            <w:vAlign w:val="center"/>
          </w:tcPr>
          <w:p>
            <w:pPr>
              <w:spacing w:before="20" w:after="20" w:line="260" w:lineRule="auto"/>
              <w:ind w:firstLine="0"/>
              <w:jc w:val="left"/>
            </w:pPr>
            <w:r>
              <w:rPr>
                <w:sz w:val="20"/>
                <w:szCs w:val="20"/>
              </w:rPr>
              <w:t xml:space="preserve">Tồn kho hiện có + hàng đang về − nhu cầu chờ</w:t>
            </w:r>
          </w:p>
        </w:tc>
        <w:tc>
          <w:tcPr>
            <w:tcW w:type="dxa" w:w="2628"/>
            <w:vAlign w:val="center"/>
          </w:tcPr>
          <w:p>
            <w:pPr>
              <w:spacing w:before="20" w:after="20" w:line="260" w:lineRule="auto"/>
              <w:ind w:firstLine="0"/>
              <w:jc w:val="left"/>
            </w:pPr>
            <w:r>
              <w:rPr>
                <w:sz w:val="20"/>
                <w:szCs w:val="20"/>
              </w:rPr>
              <w:t xml:space="preserve">0,8 × P50</w:t>
            </w:r>
          </w:p>
        </w:tc>
        <w:tc>
          <w:tcPr>
            <w:tcW w:type="dxa" w:w="2952"/>
            <w:vAlign w:val="center"/>
          </w:tcPr>
          <w:p>
            <w:pPr>
              <w:spacing w:before="20" w:after="20" w:line="260" w:lineRule="auto"/>
              <w:ind w:firstLine="0"/>
              <w:jc w:val="left"/>
            </w:pPr>
            <w:r>
              <w:rPr>
                <w:sz w:val="20"/>
                <w:szCs w:val="20"/>
              </w:rPr>
              <w:t xml:space="preserve">Giả định; không có dữ liệu tồn kho thực; tạo 46,24% tổng lượng bổ sung</w:t>
            </w:r>
          </w:p>
        </w:tc>
      </w:tr>
      <w:tr>
        <w:trPr>
          <w:cantSplit/>
        </w:trPr>
        <w:tc>
          <w:tcPr>
            <w:tcW w:type="dxa" w:w="1489"/>
            <w:vAlign w:val="center"/>
          </w:tcPr>
          <w:p>
            <w:pPr>
              <w:spacing w:before="20" w:after="20" w:line="260" w:lineRule="auto"/>
              <w:ind w:firstLine="0"/>
              <w:jc w:val="left"/>
            </w:pPr>
            <w:r>
              <w:rPr>
                <w:sz w:val="20"/>
                <w:szCs w:val="20"/>
              </w:rPr>
              <w:t xml:space="preserve">Lượng bổ sung gợi ý</w:t>
            </w:r>
          </w:p>
        </w:tc>
        <w:tc>
          <w:tcPr>
            <w:tcW w:type="dxa" w:w="2002"/>
            <w:vAlign w:val="center"/>
          </w:tcPr>
          <w:p>
            <w:pPr>
              <w:spacing w:before="20" w:after="20" w:line="260" w:lineRule="auto"/>
              <w:ind w:firstLine="0"/>
              <w:jc w:val="left"/>
            </w:pPr>
            <w:r>
              <w:rPr>
                <w:sz w:val="20"/>
                <w:szCs w:val="20"/>
              </w:rPr>
              <w:t xml:space="preserve">Mức mục tiêu trừ vị thế tồn kho</w:t>
            </w:r>
          </w:p>
        </w:tc>
        <w:tc>
          <w:tcPr>
            <w:tcW w:type="dxa" w:w="2628"/>
            <w:vAlign w:val="center"/>
          </w:tcPr>
          <w:p>
            <w:pPr>
              <w:spacing w:before="20" w:after="20" w:line="260" w:lineRule="auto"/>
              <w:ind w:firstLine="0"/>
              <w:jc w:val="left"/>
            </w:pPr>
            <w:r>
              <w:rPr>
                <w:sz w:val="20"/>
                <w:szCs w:val="20"/>
              </w:rPr>
              <w:t xml:space="preserve">max(P90 − 0,8 × P50, 0)</w:t>
            </w:r>
          </w:p>
        </w:tc>
        <w:tc>
          <w:tcPr>
            <w:tcW w:type="dxa" w:w="2952"/>
            <w:vAlign w:val="center"/>
          </w:tcPr>
          <w:p>
            <w:pPr>
              <w:spacing w:before="20" w:after="20" w:line="260" w:lineRule="auto"/>
              <w:ind w:firstLine="0"/>
              <w:jc w:val="left"/>
            </w:pPr>
            <w:r>
              <w:rPr>
                <w:sz w:val="20"/>
                <w:szCs w:val="20"/>
              </w:rPr>
              <w:t xml:space="preserve">Gồm tồn kho an toàn và 0,2 × P50 do giả định vị thế</w:t>
            </w:r>
          </w:p>
        </w:tc>
      </w:tr>
      <w:tr>
        <w:trPr>
          <w:cantSplit/>
        </w:trPr>
        <w:tc>
          <w:tcPr>
            <w:tcW w:type="dxa" w:w="1489"/>
            <w:vAlign w:val="center"/>
          </w:tcPr>
          <w:p>
            <w:pPr>
              <w:spacing w:before="20" w:after="20" w:line="260" w:lineRule="auto"/>
              <w:ind w:firstLine="0"/>
              <w:jc w:val="left"/>
            </w:pPr>
            <w:r>
              <w:rPr>
                <w:sz w:val="20"/>
                <w:szCs w:val="20"/>
              </w:rPr>
              <w:t xml:space="preserve">Nhãn rủi ro</w:t>
            </w:r>
          </w:p>
        </w:tc>
        <w:tc>
          <w:tcPr>
            <w:tcW w:type="dxa" w:w="2002"/>
            <w:vAlign w:val="center"/>
          </w:tcPr>
          <w:p>
            <w:pPr>
              <w:spacing w:before="20" w:after="20" w:line="260" w:lineRule="auto"/>
              <w:ind w:firstLine="0"/>
              <w:jc w:val="left"/>
            </w:pPr>
            <w:r>
              <w:rPr>
                <w:sz w:val="20"/>
                <w:szCs w:val="20"/>
              </w:rPr>
              <w:t xml:space="preserve">Chỉ báo bất định tương đối</w:t>
            </w:r>
          </w:p>
        </w:tc>
        <w:tc>
          <w:tcPr>
            <w:tcW w:type="dxa" w:w="2628"/>
            <w:vAlign w:val="center"/>
          </w:tcPr>
          <w:p>
            <w:pPr>
              <w:spacing w:before="20" w:after="20" w:line="260" w:lineRule="auto"/>
              <w:ind w:firstLine="0"/>
              <w:jc w:val="left"/>
            </w:pPr>
            <w:r>
              <w:rPr>
                <w:sz w:val="20"/>
                <w:szCs w:val="20"/>
              </w:rPr>
              <w:t xml:space="preserve">r = (P90 − P10)/(P50 + 1); ngưỡng 0,35 và 0,75</w:t>
            </w:r>
          </w:p>
        </w:tc>
        <w:tc>
          <w:tcPr>
            <w:tcW w:type="dxa" w:w="2952"/>
            <w:vAlign w:val="center"/>
          </w:tcPr>
          <w:p>
            <w:pPr>
              <w:spacing w:before="20" w:after="20" w:line="260" w:lineRule="auto"/>
              <w:ind w:firstLine="0"/>
              <w:jc w:val="left"/>
            </w:pPr>
            <w:r>
              <w:rPr>
                <w:sz w:val="20"/>
                <w:szCs w:val="20"/>
              </w:rPr>
              <w:t xml:space="preserve">Không so sánh tồn kho thực với mục tiêu; vẫn gắn chặt với quy mô (Spearman(P50, r) = −0,970)</w:t>
            </w:r>
          </w:p>
        </w:tc>
      </w:tr>
    </w:tbl>
    <w:p>
      <w:pPr>
        <w:spacing w:before="40" w:after="160"/>
        <w:ind w:firstLine="0"/>
      </w:pPr>
      <w:r>
        <w:rPr>
          <w:i/>
          <w:sz w:val="22"/>
          <w:szCs w:val="22"/>
        </w:rPr>
        <w:t xml:space="preserve">Nguồn: tổng hợp của tác giả dựa trên Silver và cộng sự (2017), Qin và cộng sự (2011) và mã nguồn 07_inventory_decision.py; số liệu từ inventory_recommendations.csv.</w:t>
      </w:r>
    </w:p>
    <w:p>
      <w:pPr>
        <w:pStyle w:val="Heading3"/>
        <w:keepNext/>
      </w:pPr>
      <w:r>
        <w:t xml:space="preserve">2.14.3. Nhãn rủi ro như chỉ báo bất định tương đối</w:t>
      </w:r>
    </w:p>
    <w:p>
      <w:pPr>
        <w:keepLines w:val="0"/>
        <w:spacing w:after="120"/>
        <w:ind w:firstLine="567"/>
      </w:pPr>
      <w:r>
        <w:t xml:space="preserve">Để xếp thứ tự ưu tiên xem xét, Stage 07 gán cho mỗi chuỗi một nhãn rủi ro theo mức bất định tương đối r trong (2.52): LOW nếu r ≤ 0,35, MEDIUM nếu 0,35 &lt; r ≤ 0,75 và HIGH nếu r &gt; 0,75. Về bản chất, r là độ rộng khoảng chia cho quy mô dự báo trung tâm, tương tự hệ số biến thiên; hằng số 1 chỉ để tránh chia cho 0. Nhãn vì vậy đo bất định so với quy mô, không phải xác suất thiếu hàng, cũng không phải kết quả so sánh tồn kho thực với mức mục tiêu. P10 và P90 trong công thức đến từ khoảng Mondrian ở mục 2.12.4, nên tử số của r đã phản ánh sự thích ứng của độ rộng theo quy mô.</w:t>
      </w:r>
    </w:p>
    <w:p>
      <w:pPr>
        <w:tabs>
          <w:tab w:val="center" w:pos="4535"/>
          <w:tab w:val="right" w:pos="9071"/>
        </w:tabs>
        <w:spacing w:before="60" w:after="60"/>
        <w:ind w:firstLine="0"/>
      </w:pPr>
      <w:r>
        <w:tab/>
      </w:r>
      <m:oMath xmlns:a="http://schemas.openxmlformats.org/drawingml/2006/main" xmlns:pic="http://schemas.openxmlformats.org/drawingml/2006/picture">
        <m:sSub>
          <m:e>
            <m:r>
              <m:t>r</m:t>
            </m:r>
          </m:e>
          <m:sub>
            <m:r>
              <m:t>i</m:t>
            </m:r>
          </m:sub>
        </m:sSub>
        <m:r>
          <m:rPr>
            <m:sty m:val="p"/>
          </m:rPr>
          <m:t>=</m:t>
        </m:r>
        <m:f>
          <m:fPr>
            <m:type m:val="bar"/>
          </m:fPr>
          <m:num>
            <m:sSub>
              <m:e>
                <m:r>
                  <m:rPr>
                    <m:sty m:val="p"/>
                  </m:rPr>
                  <m:t>P</m:t>
                </m:r>
                <m:r>
                  <m:rPr>
                    <m:sty m:val="p"/>
                  </m:rPr>
                  <m:t>90</m:t>
                </m:r>
              </m:e>
              <m:sub>
                <m:r>
                  <m:t>i</m:t>
                </m:r>
              </m:sub>
            </m:sSub>
            <m:r>
              <m:rPr>
                <m:sty m:val="p"/>
              </m:rPr>
              <m:t>−</m:t>
            </m:r>
            <m:sSub>
              <m:e>
                <m:r>
                  <m:rPr>
                    <m:sty m:val="p"/>
                  </m:rPr>
                  <m:t>P</m:t>
                </m:r>
                <m:r>
                  <m:rPr>
                    <m:sty m:val="p"/>
                  </m:rPr>
                  <m:t>10</m:t>
                </m:r>
              </m:e>
              <m:sub>
                <m:r>
                  <m:t>i</m:t>
                </m:r>
              </m:sub>
            </m:sSub>
          </m:num>
          <m:den>
            <m:sSub>
              <m:e>
                <m:r>
                  <m:rPr>
                    <m:sty m:val="p"/>
                  </m:rPr>
                  <m:t>P</m:t>
                </m:r>
                <m:r>
                  <m:rPr>
                    <m:sty m:val="p"/>
                  </m:rPr>
                  <m:t>50</m:t>
                </m:r>
              </m:e>
              <m:sub>
                <m:r>
                  <m:t>i</m:t>
                </m:r>
              </m:sub>
            </m:sSub>
            <m:r>
              <m:rPr>
                <m:sty m:val="p"/>
              </m:rPr>
              <m:t>+</m:t>
            </m:r>
            <m:r>
              <m:t>1</m:t>
            </m:r>
          </m:den>
        </m:f>
        <m:r>
          <m:rPr>
            <m:sty m:val="p"/>
          </m:rPr>
          <m:t>,</m:t>
        </m:r>
        <m:r>
          <m:t>  </m:t>
        </m:r>
        <m:sSub>
          <m:e>
            <m:r>
              <m:rPr>
                <m:sty m:val="p"/>
              </m:rPr>
              <m:t>r</m:t>
            </m:r>
            <m:r>
              <m:rPr>
                <m:sty m:val="p"/>
              </m:rPr>
              <m:t>i</m:t>
            </m:r>
            <m:r>
              <m:rPr>
                <m:sty m:val="p"/>
              </m:rPr>
              <m:t>s</m:t>
            </m:r>
            <m:r>
              <m:rPr>
                <m:sty m:val="p"/>
              </m:rPr>
              <m:t>k</m:t>
            </m:r>
          </m:e>
          <m:sub>
            <m:r>
              <m:t>i</m:t>
            </m:r>
          </m:sub>
        </m:sSub>
        <m:r>
          <m:rPr>
            <m:sty m:val="p"/>
          </m:rPr>
          <m:t>=</m:t>
        </m:r>
        <m:d>
          <m:dPr>
            <m:begChr m:val="{"/>
            <m:sepChr m:val=""/>
            <m:endChr m:val=""/>
            <m:grow/>
          </m:dPr>
          <m:e>
            <m:m>
              <m:mPr>
                <m:baseJc m:val="center"/>
                <m:plcHide m:val="on"/>
                <m:mcs>
                  <m:mc>
                    <m:mcPr>
                      <m:count m:val="1"/>
                      <m:mcJc m:val="left"/>
                    </m:mcPr>
                  </m:mc>
                  <m:mc>
                    <m:mcPr>
                      <m:count m:val="1"/>
                      <m:mcJc m:val="left"/>
                    </m:mcPr>
                  </m:mc>
                </m:mcs>
              </m:mPr>
              <m:mr>
                <m:e>
                  <m:r>
                    <m:rPr>
                      <m:sty m:val="p"/>
                    </m:rPr>
                    <m:t>L</m:t>
                  </m:r>
                  <m:r>
                    <m:rPr>
                      <m:sty m:val="p"/>
                    </m:rPr>
                    <m:t>O</m:t>
                  </m:r>
                  <m:r>
                    <m:rPr>
                      <m:sty m:val="p"/>
                    </m:rPr>
                    <m:t>W</m:t>
                  </m:r>
                  <m:r>
                    <m:rPr>
                      <m:sty m:val="p"/>
                    </m:rPr>
                    <m:t>,</m:t>
                  </m:r>
                </m:e>
                <m:e>
                  <m:sSub>
                    <m:e>
                      <m:r>
                        <m:t>r</m:t>
                      </m:r>
                    </m:e>
                    <m:sub>
                      <m:r>
                        <m:t>i</m:t>
                      </m:r>
                    </m:sub>
                  </m:sSub>
                  <m:r>
                    <m:rPr>
                      <m:sty m:val="p"/>
                    </m:rPr>
                    <m:t>≤</m:t>
                  </m:r>
                  <m:r>
                    <m:t>0</m:t>
                  </m:r>
                  <m:r>
                    <m:rPr>
                      <m:sty m:val="p"/>
                    </m:rPr>
                    <m:t>,</m:t>
                  </m:r>
                  <m:r>
                    <m:t>35</m:t>
                  </m:r>
                </m:e>
              </m:mr>
              <m:mr>
                <m:e>
                  <m:r>
                    <m:rPr>
                      <m:sty m:val="p"/>
                    </m:rPr>
                    <m:t>M</m:t>
                  </m:r>
                  <m:r>
                    <m:rPr>
                      <m:sty m:val="p"/>
                    </m:rPr>
                    <m:t>E</m:t>
                  </m:r>
                  <m:r>
                    <m:rPr>
                      <m:sty m:val="p"/>
                    </m:rPr>
                    <m:t>D</m:t>
                  </m:r>
                  <m:r>
                    <m:rPr>
                      <m:sty m:val="p"/>
                    </m:rPr>
                    <m:t>I</m:t>
                  </m:r>
                  <m:r>
                    <m:rPr>
                      <m:sty m:val="p"/>
                    </m:rPr>
                    <m:t>U</m:t>
                  </m:r>
                  <m:r>
                    <m:rPr>
                      <m:sty m:val="p"/>
                    </m:rPr>
                    <m:t>M</m:t>
                  </m:r>
                  <m:r>
                    <m:rPr>
                      <m:sty m:val="p"/>
                    </m:rPr>
                    <m:t>,</m:t>
                  </m:r>
                </m:e>
                <m:e>
                  <m:r>
                    <m:t>0</m:t>
                  </m:r>
                  <m:r>
                    <m:rPr>
                      <m:sty m:val="p"/>
                    </m:rPr>
                    <m:t>,</m:t>
                  </m:r>
                  <m:r>
                    <m:t>35</m:t>
                  </m:r>
                  <m:r>
                    <m:rPr>
                      <m:sty m:val="p"/>
                    </m:rPr>
                    <m:t>&lt;</m:t>
                  </m:r>
                  <m:sSub>
                    <m:e>
                      <m:r>
                        <m:t>r</m:t>
                      </m:r>
                    </m:e>
                    <m:sub>
                      <m:r>
                        <m:t>i</m:t>
                      </m:r>
                    </m:sub>
                  </m:sSub>
                  <m:r>
                    <m:rPr>
                      <m:sty m:val="p"/>
                    </m:rPr>
                    <m:t>≤</m:t>
                  </m:r>
                  <m:r>
                    <m:t>0</m:t>
                  </m:r>
                  <m:r>
                    <m:rPr>
                      <m:sty m:val="p"/>
                    </m:rPr>
                    <m:t>,</m:t>
                  </m:r>
                  <m:r>
                    <m:t>75</m:t>
                  </m:r>
                </m:e>
              </m:mr>
              <m:mr>
                <m:e>
                  <m:r>
                    <m:rPr>
                      <m:sty m:val="p"/>
                    </m:rPr>
                    <m:t>H</m:t>
                  </m:r>
                  <m:r>
                    <m:rPr>
                      <m:sty m:val="p"/>
                    </m:rPr>
                    <m:t>I</m:t>
                  </m:r>
                  <m:r>
                    <m:rPr>
                      <m:sty m:val="p"/>
                    </m:rPr>
                    <m:t>G</m:t>
                  </m:r>
                  <m:r>
                    <m:rPr>
                      <m:sty m:val="p"/>
                    </m:rPr>
                    <m:t>H</m:t>
                  </m:r>
                  <m:r>
                    <m:rPr>
                      <m:sty m:val="p"/>
                    </m:rPr>
                    <m:t>,</m:t>
                  </m:r>
                </m:e>
                <m:e>
                  <m:sSub>
                    <m:e>
                      <m:r>
                        <m:t>r</m:t>
                      </m:r>
                    </m:e>
                    <m:sub>
                      <m:r>
                        <m:t>i</m:t>
                      </m:r>
                    </m:sub>
                  </m:sSub>
                  <m:r>
                    <m:rPr>
                      <m:sty m:val="p"/>
                    </m:rPr>
                    <m:t>&gt;</m:t>
                  </m:r>
                  <m:r>
                    <m:t>0</m:t>
                  </m:r>
                  <m:r>
                    <m:rPr>
                      <m:sty m:val="p"/>
                    </m:rPr>
                    <m:t>,</m:t>
                  </m:r>
                  <m:r>
                    <m:t>75</m:t>
                  </m:r>
                </m:e>
              </m:mr>
            </m:m>
          </m:e>
        </m:d>
      </m:oMath>
      <w:r>
        <w:tab/>
        <w:t>(2.52)</w:t>
      </w:r>
    </w:p>
    <w:p>
      <w:pPr>
        <w:keepLines w:val="0"/>
        <w:spacing w:after="120"/>
        <w:ind w:firstLine="567"/>
      </w:pPr>
      <w:r>
        <w:t xml:space="preserve">Vì độ rộng khoảng tăng theo quy mô, tử số của r tăng cùng P50 nhưng chậm hơn P50, nên r vẫn giảm mạnh theo quy mô: hệ số tương quan hạng Spearman giữa P50 và r là −0,970, trung vị r bằng 1,201. Có 1.064 chuỗi (59,71%) nhận nhãn HIGH, 634 chuỗi MEDIUM và 84 chuỗi LOW; nhóm LOW chủ yếu là GROCERY I, BEVERAGES, PRODUCE và CLEANING. Đáng chú ý, bao phủ trung bình theo chuỗi của nhóm LOW chỉ 58,18%, thấp hơn nhiều so với 76,32% của nhóm HIGH: nhãn “bất định thấp” rơi vào đúng các chuỗi mà khoảng dự báo tương đối hẹp nhất so với biến động thực. Nhãn r với ngưỡng cố định vì thế vẫn là chỉ báo bất định tương đối gắn với quy mô, không phải thước đo rủi ro vận hành; giới hạn này được phiếu khuyến nghị bù trừ một phần bằng mã lý do LARGE_SERIES (mục 2.15).</w:t>
      </w:r>
    </w:p>
    <w:p>
      <w:pPr>
        <w:pStyle w:val="Heading3"/>
        <w:keepNext/>
      </w:pPr>
      <w:r>
        <w:t xml:space="preserve">2.14.4. Tổng hợp theo kỳ và nhu cầu trong thời gian cung ứng</w:t>
      </w:r>
    </w:p>
    <w:p>
      <w:pPr>
        <w:keepLines w:val="0"/>
        <w:spacing w:after="120"/>
        <w:ind w:firstLine="567"/>
      </w:pPr>
      <w:r>
        <w:t xml:space="preserve">Các đại lượng trên là kịch bản minh bạch, nhưng chưa phải chính sách dựa trên nhu cầu trong thời gian cung ứng, vì phân vị theo ngày được cộng dồn. Nếu D(L) là tổng nhu cầu trong L ngày, phân vị của D(L) nói chung khác tổng các phân vị theo ngày, như trong (2.53). Đẳng thức xảy ra khi nhu cầu các ngày đồng biến hoàn toàn (comonotonic); đó là điều kiện đủ, không phải điều kiện cần. Chẳng hạn, với nhu cầu chuẩn và tương quan chưa hoàn hảo, độ lệch chuẩn của tổng nhỏ hơn tổng các độ lệch chuẩn, nên tổng các P90 theo ngày lớn hơn P90 của tổng; với phân phối lệch, chiều sai lệch không theo một quy tắc chung.</w:t>
      </w:r>
    </w:p>
    <w:p>
      <w:pPr>
        <w:tabs>
          <w:tab w:val="center" w:pos="4535"/>
          <w:tab w:val="right" w:pos="9071"/>
        </w:tabs>
        <w:spacing w:before="60" w:after="60"/>
        <w:ind w:firstLine="0"/>
      </w:pPr>
      <w:r>
        <w:tab/>
      </w:r>
      <m:oMath xmlns:a="http://schemas.openxmlformats.org/drawingml/2006/main" xmlns:pic="http://schemas.openxmlformats.org/drawingml/2006/picture">
        <m:sSubSup>
          <m:e>
            <m:r>
              <m:t>F</m:t>
            </m:r>
          </m:e>
          <m:sub>
            <m:sSub>
              <m:e>
                <m:r>
                  <m:t>D</m:t>
                </m:r>
              </m:e>
              <m:sub>
                <m:r>
                  <m:t>L</m:t>
                </m:r>
              </m:sub>
            </m:sSub>
          </m:sub>
          <m:sup>
            <m:r>
              <m:rPr>
                <m:sty m:val="p"/>
              </m:rPr>
              <m:t>−</m:t>
            </m:r>
            <m:r>
              <m:t>1</m:t>
            </m:r>
          </m:sup>
        </m:sSubSup>
        <m:d>
          <m:dPr>
            <m:begChr m:val="("/>
            <m:sepChr m:val=""/>
            <m:endChr m:val=")"/>
            <m:grow/>
          </m:dPr>
          <m:e>
            <m:r>
              <m:t>τ</m:t>
            </m:r>
          </m:e>
        </m:d>
        <m:r>
          <m:rPr>
            <m:sty m:val="p"/>
          </m:rPr>
          <m:t>≠</m:t>
        </m:r>
        <m:nary>
          <m:naryPr>
            <m:chr m:val="∑"/>
            <m:limLoc m:val="undOvr"/>
            <m:subHide m:val="off"/>
            <m:supHide m:val="off"/>
          </m:naryPr>
          <m:sub>
            <m:r>
              <m:t>t</m:t>
            </m:r>
            <m:r>
              <m:rPr>
                <m:sty m:val="p"/>
              </m:rPr>
              <m:t>=</m:t>
            </m:r>
            <m:r>
              <m:t>1</m:t>
            </m:r>
          </m:sub>
          <m:sup>
            <m:r>
              <m:t>L</m:t>
            </m:r>
          </m:sup>
          <m:e>
            <m:sSubSup>
              <m:e>
                <m:r>
                  <m:t>F</m:t>
                </m:r>
              </m:e>
              <m:sub>
                <m:sSub>
                  <m:e>
                    <m:r>
                      <m:t>D</m:t>
                    </m:r>
                  </m:e>
                  <m:sub>
                    <m:r>
                      <m:t>t</m:t>
                    </m:r>
                  </m:sub>
                </m:sSub>
              </m:sub>
              <m:sup>
                <m:r>
                  <m:rPr>
                    <m:sty m:val="p"/>
                  </m:rPr>
                  <m:t>−</m:t>
                </m:r>
                <m:r>
                  <m:t>1</m:t>
                </m:r>
              </m:sup>
            </m:sSubSup>
          </m:e>
        </m:nary>
        <m:d>
          <m:dPr>
            <m:begChr m:val="("/>
            <m:sepChr m:val=""/>
            <m:endChr m:val=")"/>
            <m:grow/>
          </m:dPr>
          <m:e>
            <m:r>
              <m:t>τ</m:t>
            </m:r>
          </m:e>
        </m:d>
        <m:r>
          <m:t> </m:t>
        </m:r>
        <m:r>
          <m:rPr>
            <m:nor/>
          </m:rPr>
          <m:t>(nói chung)</m:t>
        </m:r>
        <m:r>
          <m:rPr>
            <m:sty m:val="p"/>
          </m:rPr>
          <m:t>,</m:t>
        </m:r>
        <m:r>
          <m:t>  </m:t>
        </m:r>
        <m:sSub>
          <m:e>
            <m:r>
              <m:t>D</m:t>
            </m:r>
          </m:e>
          <m:sub>
            <m:r>
              <m:t>L</m:t>
            </m:r>
          </m:sub>
        </m:sSub>
        <m:r>
          <m:rPr>
            <m:sty m:val="p"/>
          </m:rPr>
          <m:t>=</m:t>
        </m:r>
        <m:nary>
          <m:naryPr>
            <m:chr m:val="∑"/>
            <m:limLoc m:val="undOvr"/>
            <m:subHide m:val="off"/>
            <m:supHide m:val="off"/>
          </m:naryPr>
          <m:sub>
            <m:r>
              <m:t>t</m:t>
            </m:r>
            <m:r>
              <m:rPr>
                <m:sty m:val="p"/>
              </m:rPr>
              <m:t>=</m:t>
            </m:r>
            <m:r>
              <m:t>1</m:t>
            </m:r>
          </m:sub>
          <m:sup>
            <m:r>
              <m:t>L</m:t>
            </m:r>
          </m:sup>
          <m:e>
            <m:sSub>
              <m:e>
                <m:r>
                  <m:t>D</m:t>
                </m:r>
              </m:e>
              <m:sub>
                <m:r>
                  <m:t>t</m:t>
                </m:r>
              </m:sub>
            </m:sSub>
          </m:e>
        </m:nary>
      </m:oMath>
      <w:r>
        <w:tab/>
        <w:t>(2.53)</w:t>
      </w:r>
    </w:p>
    <w:p>
      <w:pPr>
        <w:keepLines w:val="0"/>
        <w:spacing w:after="120"/>
        <w:ind w:firstLine="567"/>
      </w:pPr>
      <w:r>
        <w:t xml:space="preserve">Vấn đề càng rõ ở nhu cầu gián đoạn. Croston (1972) đề xuất tách nhu cầu gián đoạn thành kích thước nhu cầu và khoảng cách giữa các lần phát sinh; Syntetos, Boylan và Croston (2005) phân loại mẫu hình cầu thành trơn, thất thường, gián đoạn và cục (lumpy) theo khoảng cách trung bình giữa các lần phát sinh (ADI) và bình phương hệ số biến thiên (CV²). Với chuỗi gián đoạn, phép cộng phân vị càng kém chính xác; trong lần chạy chính thức, P10 theo ngày bị chặn tại 0 ở 16,51% số dòng và 28 chuỗi có tổng P10 của 16 ngày bằng 0. Fildes, Ma và Kolassa (2022) nhấn mạnh mối liên kết giữa dự báo bán lẻ và quyết định tồn kho; trong luận văn, lớp này chỉ dùng để xếp thứ tự ưu tiên và minh họa cách bất định trở thành tín hiệu quyết định.</w:t>
      </w:r>
    </w:p>
    <w:p>
      <w:pPr>
        <w:pStyle w:val="Heading2"/>
        <w:keepNext/>
      </w:pPr>
      <w:r>
        <w:t xml:space="preserve">2.15. RAG, Generative AI và HITL</w:t>
      </w:r>
    </w:p>
    <w:p>
      <w:pPr>
        <w:pStyle w:val="Heading3"/>
        <w:keepNext/>
      </w:pPr>
      <w:r>
        <w:t xml:space="preserve">2.15.1. Generative AI và rủi ro ảo giác trong hỗ trợ quyết định</w:t>
      </w:r>
    </w:p>
    <w:p>
      <w:pPr>
        <w:keepLines w:val="0"/>
        <w:spacing w:after="120"/>
        <w:ind w:firstLine="567"/>
      </w:pPr>
      <w:r>
        <w:t xml:space="preserve">Generative AI, đặc biệt là các mô hình ngôn ngữ lớn (large language model – LLM), có thể chuyển thông tin có cấu trúc thành văn bản giải thích tự nhiên cho người ra quyết định không chuyên. Tuy nhiên, các mô hình này không tự kiểm tra dữ kiện, nên có thể tạo nội dung trôi chảy nhưng sai hoặc không có căn cứ, hiện tượng ảo giác (hallucination) (Ji và cộng sự, 2023). Nguyên tắc thiết kế của luận văn vì thế là tách vai trò: bằng chứng định lượng và khuyến nghị do các bước dự báo, tồn kho và một bộ máy quy tắc tất định tạo ra; lớp ngôn ngữ, nếu được bật, chỉ được viết lại phần diễn giải và không có quyền thay đổi hành động, phương án hay số lượng.</w:t>
      </w:r>
    </w:p>
    <w:p>
      <w:pPr>
        <w:keepLines w:val="0"/>
        <w:spacing w:after="120"/>
        <w:ind w:firstLine="567"/>
      </w:pPr>
      <w:r>
        <w:t xml:space="preserve">Kiến trúc chính thức gồm bốn lớp nối tiếp. Thứ nhất, bộ máy quy tắc có căn cứ tạo phiếu khuyến nghị cho mọi chuỗi từ đầu ra của Stage 05, 06 và 07; thứ hai, bộ truy xuất RAG chọn quy định từ kho chính sách mẫu; thứ ba, LLM tùy chọn viết lại diễn giải và phải qua kiểm tra bám bằng chứng số (grounding check); thứ tư, con người phê duyệt, có nhật ký kiểm toán. Phần có thể kiểm chứng tất định được đặt trước, phần sinh ngôn ngữ khó kiểm soát đặt sau và bị ràng buộc bởi phần trước, còn quyết định cuối cùng luôn nằm ngoài hệ thống. Các mục 2.15.2–2.15.4 phân biệt rõ phần đã triển khai, phần mới kiểm thử bằng mô phỏng và phần còn là đề xuất.</w:t>
      </w:r>
    </w:p>
    <w:p>
      <w:pPr>
        <w:pStyle w:val="Heading3"/>
        <w:keepNext/>
      </w:pPr>
      <w:r>
        <w:t xml:space="preserve">2.15.2. Sinh tăng cường truy xuất (RAG) và bộ truy xuất BM25</w:t>
      </w:r>
    </w:p>
    <w:p>
      <w:pPr>
        <w:keepLines w:val="0"/>
        <w:spacing w:after="120"/>
        <w:ind w:firstLine="567"/>
      </w:pPr>
      <w:r>
        <w:t xml:space="preserve">Sinh tăng cường truy xuất (Retrieval-Augmented Generation – RAG) kết hợp một bộ truy xuất với một bộ sinh: với truy vấn x, bộ truy xuất chọn các tài liệu z liên quan từ kho tri thức, và bộ sinh tạo câu trả lời y dựa trên cả x và z (Lewis và cộng sự, 2020). Ở dạng RAG-Sequence, xác suất câu trả lời được lấy biên theo k tài liệu truy xuất hàng đầu như trong (2.54), với p(η) là bộ truy xuất và p(θ) là bộ sinh. Lewis và cộng sự dùng bộ truy xuất dày đặc dựa trên véc-tơ nhúng (embedding); Gao và cộng sự (2023) tổng quan các biến thể về sau, gồm cả truy xuất thưa dựa trên từ khóa, và lưu ý rằng chất lượng truy xuất quyết định đáng kể chất lượng câu trả lời.</w:t>
      </w:r>
    </w:p>
    <w:p>
      <w:pPr>
        <w:tabs>
          <w:tab w:val="center" w:pos="4535"/>
          <w:tab w:val="right" w:pos="9071"/>
        </w:tabs>
        <w:spacing w:before="60" w:after="60"/>
        <w:ind w:firstLine="0"/>
      </w:pPr>
      <w:r>
        <w:tab/>
      </w:r>
      <m:oMath xmlns:a="http://schemas.openxmlformats.org/drawingml/2006/main" xmlns:pic="http://schemas.openxmlformats.org/drawingml/2006/picture">
        <m:r>
          <m:t>p</m:t>
        </m:r>
        <m:d>
          <m:dPr>
            <m:begChr m:val="("/>
            <m:sepChr m:val=""/>
            <m:endChr m:val=")"/>
            <m:grow/>
          </m:dPr>
          <m:e>
            <m:r>
              <m:t>y</m:t>
            </m:r>
            <m:r>
              <m:rPr>
                <m:sty m:val="p"/>
              </m:rPr>
              <m:t>∣</m:t>
            </m:r>
            <m:r>
              <m:t>x</m:t>
            </m:r>
          </m:e>
        </m:d>
        <m:r>
          <m:rPr>
            <m:sty m:val="p"/>
          </m:rPr>
          <m:t>≈</m:t>
        </m:r>
        <m:nary>
          <m:naryPr>
            <m:chr m:val="∑"/>
            <m:limLoc m:val="undOvr"/>
            <m:subHide m:val="off"/>
            <m:supHide m:val="on"/>
          </m:naryPr>
          <m:sub>
            <m:r>
              <m:t>z</m:t>
            </m:r>
            <m:r>
              <m:rPr>
                <m:sty m:val="p"/>
              </m:rPr>
              <m:t>∈</m:t>
            </m:r>
            <m:r>
              <m:rPr>
                <m:sty m:val="p"/>
              </m:rPr>
              <m:t>t</m:t>
            </m:r>
            <m:r>
              <m:rPr>
                <m:sty m:val="p"/>
              </m:rPr>
              <m:t>o</m:t>
            </m:r>
            <m:r>
              <m:rPr>
                <m:sty m:val="p"/>
              </m:rPr>
              <m:t>p</m:t>
            </m:r>
            <m:r>
              <m:rPr>
                <m:nor/>
              </m:rPr>
              <m:t>-</m:t>
            </m:r>
            <m:r>
              <m:t>k</m:t>
            </m:r>
            <m:d>
              <m:dPr>
                <m:begChr m:val="("/>
                <m:sepChr m:val=""/>
                <m:endChr m:val=")"/>
                <m:grow/>
              </m:dPr>
              <m:e>
                <m:sSub>
                  <m:e>
                    <m:r>
                      <m:t>p</m:t>
                    </m:r>
                  </m:e>
                  <m:sub>
                    <m:r>
                      <m:t>η</m:t>
                    </m:r>
                  </m:sub>
                </m:sSub>
                <m:d>
                  <m:dPr>
                    <m:begChr m:val="("/>
                    <m:sepChr m:val=""/>
                    <m:endChr m:val=")"/>
                    <m:grow/>
                  </m:dPr>
                  <m:e>
                    <m:r>
                      <m:rPr>
                        <m:sty m:val="p"/>
                      </m:rPr>
                      <m:t>⋅</m:t>
                    </m:r>
                    <m:r>
                      <m:rPr>
                        <m:sty m:val="p"/>
                      </m:rPr>
                      <m:t>∣</m:t>
                    </m:r>
                    <m:r>
                      <m:t>x</m:t>
                    </m:r>
                  </m:e>
                </m:d>
              </m:e>
            </m:d>
          </m:sub>
          <m:sup>
            <m:r>
              <m:t>​</m:t>
            </m:r>
          </m:sup>
          <m:e>
            <m:sSub>
              <m:e>
                <m:r>
                  <m:t>p</m:t>
                </m:r>
              </m:e>
              <m:sub>
                <m:r>
                  <m:t>η</m:t>
                </m:r>
              </m:sub>
            </m:sSub>
          </m:e>
        </m:nary>
        <m:d>
          <m:dPr>
            <m:begChr m:val="("/>
            <m:sepChr m:val=""/>
            <m:endChr m:val=")"/>
            <m:grow/>
          </m:dPr>
          <m:e>
            <m:r>
              <m:t>z</m:t>
            </m:r>
            <m:r>
              <m:rPr>
                <m:sty m:val="p"/>
              </m:rPr>
              <m:t>∣</m:t>
            </m:r>
            <m:r>
              <m:t>x</m:t>
            </m:r>
          </m:e>
        </m:d>
        <m:nary>
          <m:naryPr>
            <m:chr m:val="∏"/>
            <m:limLoc m:val="undOvr"/>
            <m:subHide m:val="off"/>
            <m:supHide m:val="off"/>
          </m:naryPr>
          <m:sub>
            <m:r>
              <m:t>j</m:t>
            </m:r>
            <m:r>
              <m:rPr>
                <m:sty m:val="p"/>
              </m:rPr>
              <m:t>=</m:t>
            </m:r>
            <m:r>
              <m:t>1</m:t>
            </m:r>
          </m:sub>
          <m:sup>
            <m:d>
              <m:dPr>
                <m:begChr m:val="|"/>
                <m:sepChr m:val=""/>
                <m:endChr m:val="|"/>
                <m:grow/>
              </m:dPr>
              <m:e>
                <m:r>
                  <m:t>y</m:t>
                </m:r>
              </m:e>
            </m:d>
          </m:sup>
          <m:e>
            <m:sSub>
              <m:e>
                <m:r>
                  <m:t>p</m:t>
                </m:r>
              </m:e>
              <m:sub>
                <m:r>
                  <m:t>θ</m:t>
                </m:r>
              </m:sub>
            </m:sSub>
          </m:e>
        </m:nary>
        <m:r>
          <m:t>​</m:t>
        </m:r>
        <m:d>
          <m:dPr>
            <m:begChr m:val="("/>
            <m:sepChr m:val=""/>
            <m:endChr m:val=")"/>
            <m:grow/>
          </m:dPr>
          <m:e>
            <m:sSub>
              <m:e>
                <m:r>
                  <m:t>y</m:t>
                </m:r>
              </m:e>
              <m:sub>
                <m:r>
                  <m:t>j</m:t>
                </m:r>
              </m:sub>
            </m:sSub>
            <m:r>
              <m:rPr>
                <m:sty m:val="p"/>
              </m:rPr>
              <m:t>∣</m:t>
            </m:r>
            <m:r>
              <m:t>x</m:t>
            </m:r>
            <m:r>
              <m:rPr>
                <m:sty m:val="p"/>
              </m:rPr>
              <m:t>,</m:t>
            </m:r>
            <m:r>
              <m:t>z</m:t>
            </m:r>
            <m:r>
              <m:rPr>
                <m:sty m:val="p"/>
              </m:rPr>
              <m:t>,</m:t>
            </m:r>
            <m:sSub>
              <m:e>
                <m:r>
                  <m:t>y</m:t>
                </m:r>
              </m:e>
              <m:sub>
                <m:r>
                  <m:t>1</m:t>
                </m:r>
                <m:r>
                  <m:rPr>
                    <m:sty m:val="p"/>
                  </m:rPr>
                  <m:t>:</m:t>
                </m:r>
                <m:r>
                  <m:t>j</m:t>
                </m:r>
                <m:r>
                  <m:rPr>
                    <m:sty m:val="p"/>
                  </m:rPr>
                  <m:t>−</m:t>
                </m:r>
                <m:r>
                  <m:t>1</m:t>
                </m:r>
              </m:sub>
            </m:sSub>
          </m:e>
        </m:d>
      </m:oMath>
      <w:r>
        <w:tab/>
        <w:t>(2.54)</w:t>
      </w:r>
    </w:p>
    <w:p>
      <w:pPr>
        <w:keepLines w:val="0"/>
        <w:spacing w:after="120"/>
        <w:ind w:firstLine="567"/>
      </w:pPr>
      <w:r>
        <w:t xml:space="preserve">Triển khai trong luận văn là một bộ truy xuất thưa, không dùng véc-tơ nhúng hay cơ sở dữ liệu véc-tơ. Kho tri thức gồm hai tệp chính sách mẫu, promotion_policy_sample.md và decision_playbook_sample.md, do tác giả soạn để minh họa, không phải chính sách của Favorita; mỗi dòng dạng “POL-…: nội dung [tags: …]” là một đoạn, tổng cộng 12 quy định. Văn bản được chuyển về chữ thường và bỏ dấu tiếng Việt trước khi tách từ; điểm liên quan là điểm BM25 của các từ truy vấn cộng một khoản thưởng cho mỗi tag trùng với tập tag của phiếu, theo (2.55), với k₁ = 1,2, b = 0,75 và khoản thưởng β = 1,5 trong mã nguồn rag.py. Truy vấn và tập tag được sinh cho từng phiếu từ các mã lý do của nó (mục 2.15.3).</w:t>
      </w:r>
    </w:p>
    <w:p>
      <w:pPr>
        <w:tabs>
          <w:tab w:val="center" w:pos="4535"/>
          <w:tab w:val="right" w:pos="9071"/>
        </w:tabs>
        <w:spacing w:before="60" w:after="60"/>
        <w:ind w:firstLine="0"/>
      </w:pPr>
      <w:r>
        <w:tab/>
      </w:r>
      <m:oMath xmlns:a="http://schemas.openxmlformats.org/drawingml/2006/main" xmlns:pic="http://schemas.openxmlformats.org/drawingml/2006/picture">
        <m:r>
          <m:rPr>
            <m:sty m:val="p"/>
          </m:rPr>
          <m:t>s</m:t>
        </m:r>
        <m:r>
          <m:rPr>
            <m:sty m:val="p"/>
          </m:rPr>
          <m:t>c</m:t>
        </m:r>
        <m:r>
          <m:rPr>
            <m:sty m:val="p"/>
          </m:rPr>
          <m:t>o</m:t>
        </m:r>
        <m:r>
          <m:rPr>
            <m:sty m:val="p"/>
          </m:rPr>
          <m:t>r</m:t>
        </m:r>
        <m:r>
          <m:rPr>
            <m:sty m:val="p"/>
          </m:rPr>
          <m:t>e</m:t>
        </m:r>
        <m:d>
          <m:dPr>
            <m:begChr m:val="("/>
            <m:sepChr m:val=""/>
            <m:endChr m:val=")"/>
            <m:grow/>
          </m:dPr>
          <m:e>
            <m:r>
              <m:t>d</m:t>
            </m:r>
            <m:r>
              <m:rPr>
                <m:sty m:val="p"/>
              </m:rPr>
              <m:t>,</m:t>
            </m:r>
            <m:r>
              <m:t>q</m:t>
            </m:r>
          </m:e>
        </m:d>
        <m:r>
          <m:rPr>
            <m:sty m:val="p"/>
          </m:rPr>
          <m:t>=</m:t>
        </m:r>
        <m:nary>
          <m:naryPr>
            <m:chr m:val="∑"/>
            <m:limLoc m:val="undOvr"/>
            <m:subHide m:val="off"/>
            <m:supHide m:val="on"/>
          </m:naryPr>
          <m:sub>
            <m:r>
              <m:t>w</m:t>
            </m:r>
            <m:r>
              <m:rPr>
                <m:sty m:val="p"/>
              </m:rPr>
              <m:t>∈</m:t>
            </m:r>
            <m:r>
              <m:t>q</m:t>
            </m:r>
          </m:sub>
          <m:sup>
            <m:r>
              <m:t>​</m:t>
            </m:r>
          </m:sup>
          <m:e>
            <m:r>
              <m:rPr>
                <m:sty m:val="p"/>
              </m:rPr>
              <m:t>I</m:t>
            </m:r>
            <m:r>
              <m:rPr>
                <m:sty m:val="p"/>
              </m:rPr>
              <m:t>D</m:t>
            </m:r>
            <m:r>
              <m:rPr>
                <m:sty m:val="p"/>
              </m:rPr>
              <m:t>F</m:t>
            </m:r>
          </m:e>
        </m:nary>
        <m:d>
          <m:dPr>
            <m:begChr m:val="("/>
            <m:sepChr m:val=""/>
            <m:endChr m:val=")"/>
            <m:grow/>
          </m:dPr>
          <m:e>
            <m:r>
              <m:t>w</m:t>
            </m:r>
          </m:e>
        </m:d>
        <m:r>
          <m:t> </m:t>
        </m:r>
        <m:f>
          <m:fPr>
            <m:type m:val="bar"/>
          </m:fPr>
          <m:num>
            <m:r>
              <m:t>f</m:t>
            </m:r>
            <m:d>
              <m:dPr>
                <m:begChr m:val="("/>
                <m:sepChr m:val=""/>
                <m:endChr m:val=")"/>
                <m:grow/>
              </m:dPr>
              <m:e>
                <m:r>
                  <m:t>w</m:t>
                </m:r>
                <m:r>
                  <m:rPr>
                    <m:sty m:val="p"/>
                  </m:rPr>
                  <m:t>,</m:t>
                </m:r>
                <m:r>
                  <m:t>d</m:t>
                </m:r>
              </m:e>
            </m:d>
            <m:r>
              <m:t> </m:t>
            </m:r>
            <m:d>
              <m:dPr>
                <m:begChr m:val="("/>
                <m:sepChr m:val=""/>
                <m:endChr m:val=")"/>
                <m:grow/>
              </m:dPr>
              <m:e>
                <m:sSub>
                  <m:e>
                    <m:r>
                      <m:t>k</m:t>
                    </m:r>
                  </m:e>
                  <m:sub>
                    <m:r>
                      <m:t>1</m:t>
                    </m:r>
                  </m:sub>
                </m:sSub>
                <m:r>
                  <m:rPr>
                    <m:sty m:val="p"/>
                  </m:rPr>
                  <m:t>+</m:t>
                </m:r>
                <m:r>
                  <m:t>1</m:t>
                </m:r>
              </m:e>
            </m:d>
          </m:num>
          <m:den>
            <m:r>
              <m:t>f</m:t>
            </m:r>
            <m:d>
              <m:dPr>
                <m:begChr m:val="("/>
                <m:sepChr m:val=""/>
                <m:endChr m:val=")"/>
                <m:grow/>
              </m:dPr>
              <m:e>
                <m:r>
                  <m:t>w</m:t>
                </m:r>
                <m:r>
                  <m:rPr>
                    <m:sty m:val="p"/>
                  </m:rPr>
                  <m:t>,</m:t>
                </m:r>
                <m:r>
                  <m:t>d</m:t>
                </m:r>
              </m:e>
            </m:d>
            <m:r>
              <m:rPr>
                <m:sty m:val="p"/>
              </m:rPr>
              <m:t>+</m:t>
            </m:r>
            <m:sSub>
              <m:e>
                <m:r>
                  <m:t>k</m:t>
                </m:r>
              </m:e>
              <m:sub>
                <m:r>
                  <m:t>1</m:t>
                </m:r>
              </m:sub>
            </m:sSub>
            <m:d>
              <m:dPr>
                <m:begChr m:val="("/>
                <m:sepChr m:val=""/>
                <m:endChr m:val=")"/>
                <m:grow/>
              </m:dPr>
              <m:e>
                <m:r>
                  <m:t>1</m:t>
                </m:r>
                <m:r>
                  <m:rPr>
                    <m:sty m:val="p"/>
                  </m:rPr>
                  <m:t>−</m:t>
                </m:r>
                <m:r>
                  <m:t>b</m:t>
                </m:r>
                <m:r>
                  <m:rPr>
                    <m:sty m:val="p"/>
                  </m:rPr>
                  <m:t>+</m:t>
                </m:r>
                <m:r>
                  <m:t>b</m:t>
                </m:r>
                <m:r>
                  <m:t> </m:t>
                </m:r>
                <m:f>
                  <m:fPr>
                    <m:type m:val="bar"/>
                  </m:fPr>
                  <m:num>
                    <m:d>
                      <m:dPr>
                        <m:begChr m:val="|"/>
                        <m:sepChr m:val=""/>
                        <m:endChr m:val="|"/>
                        <m:grow/>
                      </m:dPr>
                      <m:e>
                        <m:r>
                          <m:t>d</m:t>
                        </m:r>
                      </m:e>
                    </m:d>
                  </m:num>
                  <m:den>
                    <m:bar>
                      <m:barPr>
                        <m:pos m:val="top"/>
                      </m:barPr>
                      <m:e>
                        <m:d>
                          <m:dPr>
                            <m:begChr m:val="|"/>
                            <m:sepChr m:val=""/>
                            <m:endChr m:val="|"/>
                            <m:grow/>
                          </m:dPr>
                          <m:e>
                            <m:r>
                              <m:t>d</m:t>
                            </m:r>
                          </m:e>
                        </m:d>
                      </m:e>
                    </m:bar>
                  </m:den>
                </m:f>
              </m:e>
            </m:d>
          </m:den>
        </m:f>
        <m:r>
          <m:rPr>
            <m:sty m:val="p"/>
          </m:rPr>
          <m:t>+</m:t>
        </m:r>
        <m:r>
          <m:t>β</m:t>
        </m:r>
        <m:r>
          <m:t> </m:t>
        </m:r>
        <m:d>
          <m:dPr>
            <m:begChr m:val="|"/>
            <m:sepChr m:val=""/>
            <m:endChr m:val="|"/>
            <m:grow/>
          </m:dPr>
          <m:e>
            <m:sSub>
              <m:e>
                <m:r>
                  <m:t>T</m:t>
                </m:r>
              </m:e>
              <m:sub>
                <m:r>
                  <m:t>q</m:t>
                </m:r>
              </m:sub>
            </m:sSub>
            <m:r>
              <m:rPr>
                <m:sty m:val="p"/>
              </m:rPr>
              <m:t>∩</m:t>
            </m:r>
            <m:sSub>
              <m:e>
                <m:r>
                  <m:t>T</m:t>
                </m:r>
              </m:e>
              <m:sub>
                <m:r>
                  <m:t>d</m:t>
                </m:r>
              </m:sub>
            </m:sSub>
          </m:e>
        </m:d>
      </m:oMath>
      <w:r>
        <w:tab/>
        <w:t>(2.55)</w:t>
      </w:r>
    </w:p>
    <w:p>
      <w:pPr>
        <w:keepLines w:val="0"/>
        <w:spacing w:after="120"/>
        <w:ind w:firstLine="567"/>
      </w:pPr>
      <w:r>
        <w:t xml:space="preserve">Để căn cứ chính sách không phụ thuộc hoàn toàn vào xếp hạng truy xuất, những quy định mà bộ máy quy tắc đã thực sự áp dụng, chẳng hạn POL-INV-002 về mức mục tiêu P90 hay POL-PROMO-004 về ngoại suy, được trích dẫn bắt buộc; bộ truy xuất chỉ bổ sung một quy định có điểm cao nhất ngoài nhóm đó, nhờ vậy quy định then chốt không bị bỏ sót vì không khớp từ khóa. Giới hạn cần nêu là kho chỉ có 12 quy định mẫu, nên bộ truy xuất mới được kiểm tra về tính đúng cơ chế, chưa được đánh giá trên kho chính sách thật; trong lần chạy chính thức, nguồn truy xuất chỉ xuất hiện trong phiếu theo quy tắc vì LLM không được gọi.</w:t>
      </w:r>
    </w:p>
    <w:p>
      <w:pPr>
        <w:pStyle w:val="Heading3"/>
        <w:keepNext/>
      </w:pPr>
      <w:r>
        <w:t xml:space="preserve">2.15.3. Bộ máy quy tắc có căn cứ, phiếu khuyến nghị và kiểm tra bám bằng chứng</w:t>
      </w:r>
    </w:p>
    <w:p>
      <w:pPr>
        <w:keepLines w:val="0"/>
        <w:spacing w:after="120"/>
        <w:ind w:firstLine="567"/>
      </w:pPr>
      <w:r>
        <w:t xml:space="preserve">Lớp lõi là một bộ máy quy tắc tất định (deterministic decision engine) tạo phiếu khuyến nghị cho tất cả 1.782 chuỗi. Mỗi phiếu nhận các mã lý do có điểm minh bạch: LARGE_SERIES (+3) khi P50 trung bình theo ngày không thấp hơn phân vị 75% của P50 theo ngày; RISK_HIGH (+2), RISK_MEDIUM (+1) hoặc RISK_LOW (0) theo nhãn r; và PROMO_EXTRAPOLATION (+1) khi có kịch bản làm P50 thay đổi hơn 100% so với hiện tại. Hàng đợi được xếp theo tổng điểm, hòa điểm theo P50 giảm dần, nên chuỗi lớn, nơi khoảng dự báo có thể quá hẹp, được đưa lên trước dù nhãn r thấp. Hàng đợi dùng điểm số học thay vì sắp xếp trực tiếp nhãn dạng chuỗi ký tự, vì thứ tự chữ cái của HIGH, LOW và MEDIUM không phản ánh thứ tự mức rủi ro và sẽ đẩy một nhãn trung gian lên đầu hàng đợi. Trong lần chạy chính thức, tổ hợp mã lý do phổ biến nhất là RISK_HIGH|PROMO_EXTRAPOLATION với 806 phiếu, và phiếu đứng đầu hàng đợi là DEC-S10-BEVERAGES với 5 điểm.</w:t>
      </w:r>
    </w:p>
    <w:p>
      <w:pPr>
        <w:keepLines w:val="0"/>
        <w:spacing w:after="120"/>
        <w:ind w:firstLine="567"/>
      </w:pPr>
      <w:r>
        <w:t xml:space="preserve">Nội dung phiếu được chuẩn hóa: tóm tắt điều hành; ba phương án số lượng A theo P50, B theo q* nội suy giữa P50 và P90, C theo P90; hành động đề xuất (chuỗi HIGH không phải chuỗi lớn nhận BỔ SUNG THẬN TRỌNG theo phương án B, chuỗi lớn nhận BỔ SUNG THEO P90 · RÀ SOÁT KHOẢNG DỰ BÁO, còn lại BỔ SUNG THEO P90); khuyến nghị khuyến mãi CÂN NHẮC THỬ NGHIỆM chỉ khi có kịch bản trong miền |Δ| ≤ 100% làm P50 tăng hơn 2%, ngược lại KHÔNG ĐỀ XUẤT TĂNG; mức tin cậy bắt đầu từ 3 và trừ 1 cho mỗi mã RISK_HIGH hoặc LARGE_SERIES; cùng cơ sở, giả định và danh mục kiểm tra. Kết quả gồm 1.063 phiếu BỔ SUNG THẬN TRỌNG, 444 phiếu yêu cầu rà soát khoảng dự báo và 275 phiếu BỔ SUNG THEO P90; 683 phiếu CÂN NHẮC THỬ NGHIỆM và 809 phiếu mang cảnh báo ngoại suy (nhiều hơn 783 chuỗi ở mục 2.13.3 vì 26 chuỗi có P50 Current bằng 0, nơi mọi thay đổi dương đều được coi là ngoại suy).</w:t>
      </w:r>
    </w:p>
    <w:p>
      <w:pPr>
        <w:keepLines w:val="0"/>
        <w:spacing w:after="120"/>
        <w:ind w:firstLine="567"/>
      </w:pPr>
      <w:r>
        <w:t xml:space="preserve">LLM là thành phần tùy chọn: khi có khóa OPENAI_API_KEY, tối đa 30 phiếu ưu tiên được gửi tới mô hình (mặc định gpt-5-mini) để viết lại tóm tắt, cơ sở và ghi chú khuyến mãi. Vì lời nhắc không đủ để ngăn ảo giác, văn bản trả về phải qua kiểm tra bám bằng chứng số: mọi số lớn hơn 31 phải khớp một số trong gói bằng chứng hoặc bản quy tắc, kể cả dạng phần trăm, với sai lệch không quá 0,5% hoặc 0,5 đơn vị; nếu không, bản LLM bị loại và phiếu giữ bản quy tắc (RULE_BASED_AFTER_GUARDRAIL), còn lỗi gọi mô hình dẫn tới RULE_BASED_AFTER_ERROR. Kiểm tra chỉ bảo đảm bám bằng chứng ở mức con số, không phát hiện lập luận sai dùng số đúng. Lần chạy chính thức không có khóa API nên cả 1.782 phiếu ở chế độ RULE_BASED; luồng LLM và bước kiểm tra mới được kiểm thử bằng mô phỏng, nên luận văn không đánh giá chất lượng văn bản LLM hay tỷ lệ ảo giác thực tế.</w:t>
      </w:r>
    </w:p>
    <w:p>
      <w:pPr>
        <w:pStyle w:val="Heading3"/>
        <w:keepNext/>
      </w:pPr>
      <w:r>
        <w:t xml:space="preserve">2.15.4. Cơ chế con người trong vòng lặp (HITL) và khả năng truy vết</w:t>
      </w:r>
    </w:p>
    <w:p>
      <w:pPr>
        <w:keepLines w:val="0"/>
        <w:spacing w:after="120"/>
        <w:ind w:firstLine="567"/>
      </w:pPr>
      <w:r>
        <w:t xml:space="preserve">Con người trong vòng lặp (Human-in-the-Loop – HITL) là cách tổ chức hệ thống học máy trong đó con người tham gia vào các điểm then chốt như gán nhãn, hiệu chỉnh hoặc phê duyệt đầu ra (Wu và cộng sự, 2022). HITL tách khuyến nghị khỏi hành động: mọi phiếu trong lần chạy chính thức đều ở trạng thái PENDING_HUMAN_REVIEW. Amershi và cộng sự (2019) đề xuất các nguyên tắc tương tác người – AI như làm rõ hệ thống có thể làm gì, làm tốt đến mức nào, và hỗ trợ người dùng sửa hoặc bác bỏ khi hệ thống sai; ở đây, chúng được cụ thể hóa bằng mức tin cậy, khoảng P10–P90, ba phương án số lượng, nguồn chính sách, chế độ tạo diễn giải và thao tác điều chỉnh hay từ chối dễ như phê duyệt.</w:t>
      </w:r>
    </w:p>
    <w:p>
      <w:pPr>
        <w:keepLines w:val="0"/>
        <w:spacing w:after="120"/>
        <w:ind w:firstLine="567"/>
      </w:pPr>
      <w:r>
        <w:t xml:space="preserve">Luận văn triển khai HITL trong dashboard Streamlit gồm 11 trang. Trang 07 có hàng đợi ưu tiên, thẻ phiếu, ba phương án và các tab bằng chứng, kịch bản, chính sách, giả định. Biểu mẫu phê duyệt bắt buộc nhập người phê duyệt và lý do, cho phép bốn quyết định APPROVED, ADJUSTED, REJECTED, REVIEW_REQUESTED cùng số lượng cuối cùng, và ghi vào hitl_audit_log.csv 14 cột, từ timestamp, case_id, recommended_qty đến final_qty, reviewer, note và assistant_mode. Việc ghi mô hình, chế độ diễn giải và lý do tương đồng với tinh thần thẻ mô hình (model cards) (Mitchell và cộng sự, 2019). Trong lần chạy chính thức chưa có quyết định phê duyệt thật nào; tệp nhật ký chỉ được tạo khi người dùng ghi quyết định đầu tiên trên dashboard, nên phần này là bằng chứng về tính khả thi kỹ thuật; phân quyền và phê duyệt nhiều cấp vẫn là đề xuất. Bảng 2.8 tóm tắt trạng thái từng thành phần.</w:t>
      </w:r>
    </w:p>
    <w:p>
      <w:pPr>
        <w:keepNext/>
        <w:spacing w:before="120" w:after="60"/>
        <w:ind w:firstLine="0"/>
        <w:jc w:val="center"/>
      </w:pPr>
      <w:r>
        <w:t xml:space="preserve">Bảng 2.8. Khái niệm lý thuyết và trạng thái triển khai của lớp hỗ trợ quyết định, RAG, Generative AI và HITL trong lần chạy chính thức</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286"/>
        <w:gridCol w:w="2033"/>
        <w:gridCol w:w="2875"/>
        <w:gridCol w:w="2877"/>
      </w:tblGrid>
      <w:tr>
        <w:trPr>
          <w:tblHeader/>
          <w:cantSplit/>
        </w:trPr>
        <w:tc>
          <w:tcPr>
            <w:tcW w:type="dxa" w:w="1286"/>
            <w:shd w:val="clear" w:color="auto" w:fill="D9E2F3"/>
            <w:vAlign w:val="center"/>
          </w:tcPr>
          <w:p>
            <w:pPr>
              <w:spacing w:before="20" w:after="20" w:line="260" w:lineRule="auto"/>
              <w:ind w:firstLine="0"/>
              <w:jc w:val="center"/>
            </w:pPr>
            <w:r>
              <w:rPr>
                <w:b/>
                <w:sz w:val="20"/>
                <w:szCs w:val="20"/>
              </w:rPr>
              <w:t xml:space="preserve">Thành phần</w:t>
            </w:r>
          </w:p>
        </w:tc>
        <w:tc>
          <w:tcPr>
            <w:tcW w:type="dxa" w:w="2033"/>
            <w:shd w:val="clear" w:color="auto" w:fill="D9E2F3"/>
            <w:vAlign w:val="center"/>
          </w:tcPr>
          <w:p>
            <w:pPr>
              <w:spacing w:before="20" w:after="20" w:line="260" w:lineRule="auto"/>
              <w:ind w:firstLine="0"/>
              <w:jc w:val="center"/>
            </w:pPr>
            <w:r>
              <w:rPr>
                <w:b/>
                <w:sz w:val="20"/>
                <w:szCs w:val="20"/>
              </w:rPr>
              <w:t xml:space="preserve">Khái niệm lý thuyết</w:t>
            </w:r>
          </w:p>
        </w:tc>
        <w:tc>
          <w:tcPr>
            <w:tcW w:type="dxa" w:w="2875"/>
            <w:shd w:val="clear" w:color="auto" w:fill="D9E2F3"/>
            <w:vAlign w:val="center"/>
          </w:tcPr>
          <w:p>
            <w:pPr>
              <w:spacing w:before="20" w:after="20" w:line="260" w:lineRule="auto"/>
              <w:ind w:firstLine="0"/>
              <w:jc w:val="center"/>
            </w:pPr>
            <w:r>
              <w:rPr>
                <w:b/>
                <w:sz w:val="20"/>
                <w:szCs w:val="20"/>
              </w:rPr>
              <w:t xml:space="preserve">Triển khai trong mã nguồn</w:t>
            </w:r>
          </w:p>
        </w:tc>
        <w:tc>
          <w:tcPr>
            <w:tcW w:type="dxa" w:w="2877"/>
            <w:shd w:val="clear" w:color="auto" w:fill="D9E2F3"/>
            <w:vAlign w:val="center"/>
          </w:tcPr>
          <w:p>
            <w:pPr>
              <w:spacing w:before="20" w:after="20" w:line="260" w:lineRule="auto"/>
              <w:ind w:firstLine="0"/>
              <w:jc w:val="center"/>
            </w:pPr>
            <w:r>
              <w:rPr>
                <w:b/>
                <w:sz w:val="20"/>
                <w:szCs w:val="20"/>
              </w:rPr>
              <w:t xml:space="preserve">Trạng thái trong lần chạy</w:t>
            </w:r>
          </w:p>
        </w:tc>
      </w:tr>
      <w:tr>
        <w:trPr>
          <w:cantSplit/>
        </w:trPr>
        <w:tc>
          <w:tcPr>
            <w:tcW w:type="dxa" w:w="1286"/>
            <w:vAlign w:val="center"/>
          </w:tcPr>
          <w:p>
            <w:pPr>
              <w:spacing w:before="20" w:after="20" w:line="260" w:lineRule="auto"/>
              <w:ind w:firstLine="0"/>
              <w:jc w:val="left"/>
            </w:pPr>
            <w:r>
              <w:rPr>
                <w:sz w:val="20"/>
                <w:szCs w:val="20"/>
              </w:rPr>
              <w:t xml:space="preserve">Bộ máy quy tắc có căn cứ</w:t>
            </w:r>
          </w:p>
        </w:tc>
        <w:tc>
          <w:tcPr>
            <w:tcW w:type="dxa" w:w="2033"/>
            <w:vAlign w:val="center"/>
          </w:tcPr>
          <w:p>
            <w:pPr>
              <w:spacing w:before="20" w:after="20" w:line="260" w:lineRule="auto"/>
              <w:ind w:firstLine="0"/>
              <w:jc w:val="left"/>
            </w:pPr>
            <w:r>
              <w:rPr>
                <w:sz w:val="20"/>
                <w:szCs w:val="20"/>
              </w:rPr>
              <w:t xml:space="preserve">Khuyến nghị tất định, truy vết được tới bằng chứng</w:t>
            </w:r>
          </w:p>
        </w:tc>
        <w:tc>
          <w:tcPr>
            <w:tcW w:type="dxa" w:w="2875"/>
            <w:vAlign w:val="center"/>
          </w:tcPr>
          <w:p>
            <w:pPr>
              <w:spacing w:before="20" w:after="20" w:line="260" w:lineRule="auto"/>
              <w:ind w:firstLine="0"/>
              <w:jc w:val="left"/>
            </w:pPr>
            <w:r>
              <w:rPr>
                <w:sz w:val="20"/>
                <w:szCs w:val="20"/>
              </w:rPr>
              <w:t xml:space="preserve">Mã lý do có điểm; hàng đợi ưu tiên; phiếu chuẩn hóa với ba phương án A/B/C</w:t>
            </w:r>
          </w:p>
        </w:tc>
        <w:tc>
          <w:tcPr>
            <w:tcW w:type="dxa" w:w="2877"/>
            <w:vAlign w:val="center"/>
          </w:tcPr>
          <w:p>
            <w:pPr>
              <w:spacing w:before="20" w:after="20" w:line="260" w:lineRule="auto"/>
              <w:ind w:firstLine="0"/>
              <w:jc w:val="left"/>
            </w:pPr>
            <w:r>
              <w:rPr>
                <w:sz w:val="20"/>
                <w:szCs w:val="20"/>
              </w:rPr>
              <w:t xml:space="preserve">Đã chạy cho 1.782 chuỗi; 30 phiếu Markdown đầu hàng đợi được xuất</w:t>
            </w:r>
          </w:p>
        </w:tc>
      </w:tr>
      <w:tr>
        <w:trPr>
          <w:cantSplit/>
        </w:trPr>
        <w:tc>
          <w:tcPr>
            <w:tcW w:type="dxa" w:w="1286"/>
            <w:vAlign w:val="center"/>
          </w:tcPr>
          <w:p>
            <w:pPr>
              <w:spacing w:before="20" w:after="20" w:line="260" w:lineRule="auto"/>
              <w:ind w:firstLine="0"/>
              <w:jc w:val="left"/>
            </w:pPr>
            <w:r>
              <w:rPr>
                <w:sz w:val="20"/>
                <w:szCs w:val="20"/>
              </w:rPr>
              <w:t xml:space="preserve">Bộ truy xuất</w:t>
            </w:r>
          </w:p>
        </w:tc>
        <w:tc>
          <w:tcPr>
            <w:tcW w:type="dxa" w:w="2033"/>
            <w:vAlign w:val="center"/>
          </w:tcPr>
          <w:p>
            <w:pPr>
              <w:spacing w:before="20" w:after="20" w:line="260" w:lineRule="auto"/>
              <w:ind w:firstLine="0"/>
              <w:jc w:val="left"/>
            </w:pPr>
            <w:r>
              <w:rPr>
                <w:sz w:val="20"/>
                <w:szCs w:val="20"/>
              </w:rPr>
              <w:t xml:space="preserve">Truy xuất tài liệu liên quan cho bộ sinh</w:t>
            </w:r>
          </w:p>
        </w:tc>
        <w:tc>
          <w:tcPr>
            <w:tcW w:type="dxa" w:w="2875"/>
            <w:vAlign w:val="center"/>
          </w:tcPr>
          <w:p>
            <w:pPr>
              <w:spacing w:before="20" w:after="20" w:line="260" w:lineRule="auto"/>
              <w:ind w:firstLine="0"/>
              <w:jc w:val="left"/>
            </w:pPr>
            <w:r>
              <w:rPr>
                <w:sz w:val="20"/>
                <w:szCs w:val="20"/>
              </w:rPr>
              <w:t xml:space="preserve">BM25 trên token bỏ dấu cộng thưởng tag; truy vấn sinh theo mã lý do; quy định đã áp dụng được trích dẫn bắt buộc, cộng 1 kết quả bổ sung</w:t>
            </w:r>
          </w:p>
        </w:tc>
        <w:tc>
          <w:tcPr>
            <w:tcW w:type="dxa" w:w="2877"/>
            <w:vAlign w:val="center"/>
          </w:tcPr>
          <w:p>
            <w:pPr>
              <w:spacing w:before="20" w:after="20" w:line="260" w:lineRule="auto"/>
              <w:ind w:firstLine="0"/>
              <w:jc w:val="left"/>
            </w:pPr>
            <w:r>
              <w:rPr>
                <w:sz w:val="20"/>
                <w:szCs w:val="20"/>
              </w:rPr>
              <w:t xml:space="preserve">Chạy trên 2 tệp chính sách mẫu, 12 quy định giả định</w:t>
            </w:r>
          </w:p>
        </w:tc>
      </w:tr>
      <w:tr>
        <w:trPr>
          <w:cantSplit/>
        </w:trPr>
        <w:tc>
          <w:tcPr>
            <w:tcW w:type="dxa" w:w="1286"/>
            <w:vAlign w:val="center"/>
          </w:tcPr>
          <w:p>
            <w:pPr>
              <w:spacing w:before="20" w:after="20" w:line="260" w:lineRule="auto"/>
              <w:ind w:firstLine="0"/>
              <w:jc w:val="left"/>
            </w:pPr>
            <w:r>
              <w:rPr>
                <w:sz w:val="20"/>
                <w:szCs w:val="20"/>
              </w:rPr>
              <w:t xml:space="preserve">Bộ sinh (LLM)</w:t>
            </w:r>
          </w:p>
        </w:tc>
        <w:tc>
          <w:tcPr>
            <w:tcW w:type="dxa" w:w="2033"/>
            <w:vAlign w:val="center"/>
          </w:tcPr>
          <w:p>
            <w:pPr>
              <w:spacing w:before="20" w:after="20" w:line="260" w:lineRule="auto"/>
              <w:ind w:firstLine="0"/>
              <w:jc w:val="left"/>
            </w:pPr>
            <w:r>
              <w:rPr>
                <w:sz w:val="20"/>
                <w:szCs w:val="20"/>
              </w:rPr>
              <w:t xml:space="preserve">Mô hình ngôn ngữ sinh văn bản dựa trên truy vấn và tài liệu</w:t>
            </w:r>
          </w:p>
        </w:tc>
        <w:tc>
          <w:tcPr>
            <w:tcW w:type="dxa" w:w="2875"/>
            <w:vAlign w:val="center"/>
          </w:tcPr>
          <w:p>
            <w:pPr>
              <w:spacing w:before="20" w:after="20" w:line="260" w:lineRule="auto"/>
              <w:ind w:firstLine="0"/>
              <w:jc w:val="left"/>
            </w:pPr>
            <w:r>
              <w:rPr>
                <w:sz w:val="20"/>
                <w:szCs w:val="20"/>
              </w:rPr>
              <w:t xml:space="preserve">Tùy chọn khi có khóa; mặc định gpt-5-mini; tối đa 30 phiếu; chỉ viết lại diễn giải</w:t>
            </w:r>
          </w:p>
        </w:tc>
        <w:tc>
          <w:tcPr>
            <w:tcW w:type="dxa" w:w="2877"/>
            <w:vAlign w:val="center"/>
          </w:tcPr>
          <w:p>
            <w:pPr>
              <w:spacing w:before="20" w:after="20" w:line="260" w:lineRule="auto"/>
              <w:ind w:firstLine="0"/>
              <w:jc w:val="left"/>
            </w:pPr>
            <w:r>
              <w:rPr>
                <w:sz w:val="20"/>
                <w:szCs w:val="20"/>
              </w:rPr>
              <w:t xml:space="preserve">Chưa gọi API thật (không có khóa); kiểm thử bằng mô phỏng</w:t>
            </w:r>
          </w:p>
        </w:tc>
      </w:tr>
      <w:tr>
        <w:trPr>
          <w:cantSplit/>
        </w:trPr>
        <w:tc>
          <w:tcPr>
            <w:tcW w:type="dxa" w:w="1286"/>
            <w:vAlign w:val="center"/>
          </w:tcPr>
          <w:p>
            <w:pPr>
              <w:spacing w:before="20" w:after="20" w:line="260" w:lineRule="auto"/>
              <w:ind w:firstLine="0"/>
              <w:jc w:val="left"/>
            </w:pPr>
            <w:r>
              <w:rPr>
                <w:sz w:val="20"/>
                <w:szCs w:val="20"/>
              </w:rPr>
              <w:t xml:space="preserve">Kiểm tra bám bằng chứng</w:t>
            </w:r>
          </w:p>
        </w:tc>
        <w:tc>
          <w:tcPr>
            <w:tcW w:type="dxa" w:w="2033"/>
            <w:vAlign w:val="center"/>
          </w:tcPr>
          <w:p>
            <w:pPr>
              <w:spacing w:before="20" w:after="20" w:line="260" w:lineRule="auto"/>
              <w:ind w:firstLine="0"/>
              <w:jc w:val="left"/>
            </w:pPr>
            <w:r>
              <w:rPr>
                <w:sz w:val="20"/>
                <w:szCs w:val="20"/>
              </w:rPr>
              <w:t xml:space="preserve">Phát hiện nội dung không có căn cứ</w:t>
            </w:r>
          </w:p>
        </w:tc>
        <w:tc>
          <w:tcPr>
            <w:tcW w:type="dxa" w:w="2875"/>
            <w:vAlign w:val="center"/>
          </w:tcPr>
          <w:p>
            <w:pPr>
              <w:spacing w:before="20" w:after="20" w:line="260" w:lineRule="auto"/>
              <w:ind w:firstLine="0"/>
              <w:jc w:val="left"/>
            </w:pPr>
            <w:r>
              <w:rPr>
                <w:sz w:val="20"/>
                <w:szCs w:val="20"/>
              </w:rPr>
              <w:t xml:space="preserve">Mọi số lớn hơn 31 phải khớp bằng chứng trong sai lệch 0,5% hoặc 0,5 đơn vị; không khớp thì loại bản LLM</w:t>
            </w:r>
          </w:p>
        </w:tc>
        <w:tc>
          <w:tcPr>
            <w:tcW w:type="dxa" w:w="2877"/>
            <w:vAlign w:val="center"/>
          </w:tcPr>
          <w:p>
            <w:pPr>
              <w:spacing w:before="20" w:after="20" w:line="260" w:lineRule="auto"/>
              <w:ind w:firstLine="0"/>
              <w:jc w:val="left"/>
            </w:pPr>
            <w:r>
              <w:rPr>
                <w:sz w:val="20"/>
                <w:szCs w:val="20"/>
              </w:rPr>
              <w:t xml:space="preserve">Kiểm thử bằng mô phỏng; 0 bản LLM bị loại trong lần chạy vì không có bản LLM</w:t>
            </w:r>
          </w:p>
        </w:tc>
      </w:tr>
      <w:tr>
        <w:trPr>
          <w:cantSplit/>
        </w:trPr>
        <w:tc>
          <w:tcPr>
            <w:tcW w:type="dxa" w:w="1286"/>
            <w:vAlign w:val="center"/>
          </w:tcPr>
          <w:p>
            <w:pPr>
              <w:spacing w:before="20" w:after="20" w:line="260" w:lineRule="auto"/>
              <w:ind w:firstLine="0"/>
              <w:jc w:val="left"/>
            </w:pPr>
            <w:r>
              <w:rPr>
                <w:sz w:val="20"/>
                <w:szCs w:val="20"/>
              </w:rPr>
              <w:t xml:space="preserve">HITL và nhật ký</w:t>
            </w:r>
          </w:p>
        </w:tc>
        <w:tc>
          <w:tcPr>
            <w:tcW w:type="dxa" w:w="2033"/>
            <w:vAlign w:val="center"/>
          </w:tcPr>
          <w:p>
            <w:pPr>
              <w:spacing w:before="20" w:after="20" w:line="260" w:lineRule="auto"/>
              <w:ind w:firstLine="0"/>
              <w:jc w:val="left"/>
            </w:pPr>
            <w:r>
              <w:rPr>
                <w:sz w:val="20"/>
                <w:szCs w:val="20"/>
              </w:rPr>
              <w:t xml:space="preserve">Con người phê duyệt, điều chỉnh, bác bỏ; truy vết quyết định</w:t>
            </w:r>
          </w:p>
        </w:tc>
        <w:tc>
          <w:tcPr>
            <w:tcW w:type="dxa" w:w="2875"/>
            <w:vAlign w:val="center"/>
          </w:tcPr>
          <w:p>
            <w:pPr>
              <w:spacing w:before="20" w:after="20" w:line="260" w:lineRule="auto"/>
              <w:ind w:firstLine="0"/>
              <w:jc w:val="left"/>
            </w:pPr>
            <w:r>
              <w:rPr>
                <w:sz w:val="20"/>
                <w:szCs w:val="20"/>
              </w:rPr>
              <w:t xml:space="preserve">Biểu mẫu bắt buộc người phê duyệt và lý do; 4 quyết định; hitl_audit_log.csv 14 cột</w:t>
            </w:r>
          </w:p>
        </w:tc>
        <w:tc>
          <w:tcPr>
            <w:tcW w:type="dxa" w:w="2877"/>
            <w:vAlign w:val="center"/>
          </w:tcPr>
          <w:p>
            <w:pPr>
              <w:spacing w:before="20" w:after="20" w:line="260" w:lineRule="auto"/>
              <w:ind w:firstLine="0"/>
              <w:jc w:val="left"/>
            </w:pPr>
            <w:r>
              <w:rPr>
                <w:sz w:val="20"/>
                <w:szCs w:val="20"/>
              </w:rPr>
              <w:t xml:space="preserve">Đã triển khai; chưa có quyết định phê duyệt thật (tệp nhật ký được tạo khi ghi quyết định đầu tiên); phân quyền nhiều cấp là đề xuất</w:t>
            </w:r>
          </w:p>
        </w:tc>
      </w:tr>
    </w:tbl>
    <w:p>
      <w:pPr>
        <w:spacing w:before="40" w:after="160"/>
        <w:ind w:firstLine="0"/>
      </w:pPr>
      <w:r>
        <w:rPr>
          <w:i/>
          <w:sz w:val="22"/>
          <w:szCs w:val="22"/>
        </w:rPr>
        <w:t xml:space="preserve">Nguồn: tổng hợp của tác giả từ mã nguồn src/genai/decision.py, rag.py, assistant.py, 08_genai_decision_support.py, app.py và các tệp decision_queue.csv và genai_run_status.csv.</w:t>
      </w:r>
    </w:p>
    <w:p>
      <w:pPr>
        <w:pStyle w:val="Heading2"/>
        <w:keepNext/>
      </w:pPr>
      <w:r>
        <w:t xml:space="preserve">2.16. Tổng quan các nghiên cứu liên quan</w:t>
      </w:r>
    </w:p>
    <w:p>
      <w:pPr>
        <w:keepLines w:val="0"/>
        <w:spacing w:after="120"/>
        <w:ind w:firstLine="567"/>
      </w:pPr>
      <w:r>
        <w:t xml:space="preserve">Các mục từ 2.1 đến 2.15 đã trình bày nền tảng lý thuyết của từng thành phần trong quy trình dự báo. Mục này đặt các thành phần đó vào bối cảnh tài liệu học thuật nhằm làm rõ những dòng nghiên cứu nào đã định hình cách tiếp cận của luận văn, và mỗi dòng còn để lại vấn đề gì khi áp dụng vào bài toán bán lẻ đa điểm như Corporación Favorita. Tổng quan đi theo trình tự: dự báo hợp lệ theo thời gian, lượng hóa bất định, tín hiệu quyết định, diễn giải có kiểm soát của con người và khả năng tái lập.</w:t>
      </w:r>
    </w:p>
    <w:p>
      <w:pPr>
        <w:pStyle w:val="Heading3"/>
        <w:keepNext/>
      </w:pPr>
      <w:r>
        <w:t xml:space="preserve">2.16.1. Dự báo bán lẻ, các cuộc thi M5 và mô hình toàn cục</w:t>
      </w:r>
    </w:p>
    <w:p>
      <w:pPr>
        <w:keepLines w:val="0"/>
        <w:spacing w:after="120"/>
        <w:ind w:firstLine="567"/>
      </w:pPr>
      <w:r>
        <w:t xml:space="preserve">Tổng quan của Fildes, Ma và Kolassa (2022) xem xét dự báo bán lẻ ở nhiều cấp, từ cửa hàng đến mặt hàng, với các thách thức điển hình là khuyến mãi, cầu gián đoạn và yêu cầu gắn dự báo với quyết định tồn kho. Về cầu gián đoạn, Croston (1972) tách riêng quá trình xuất hiện và quy mô nhu cầu, còn Syntetos, Boylan và Croston (2005) phân loại mẫu hình cầu (smooth, erratic, intermittent, lumpy) theo ADI và CV². Các cuộc thi M5 đánh dấu một bước chuyển của dòng nghiên cứu này: Makridakis, Spiliotis và Assimakopoulos (2022a) tổng kết rằng trên dữ liệu bán lẻ phân cấp của Walmart, các phương pháp dựa trên LightGBM, cây tăng cường và mô hình toàn cục chiếm ưu thế, với lợi ích từ biến ngoại sinh và học chéo nhiều chuỗi; cuộc thi M5 về bất định (Makridakis và cộng sự, 2022b) đánh giá dự báo phân vị bằng hàm mất mát phân vị có trọng số. Dữ liệu Store Sales về Corporación Favorita (Kaggle, n.d.) có cấu trúc tương tự ở cấp cửa hàng × nhóm sản phẩm, tuy không có biến giá.</w:t>
      </w:r>
    </w:p>
    <w:p>
      <w:pPr>
        <w:keepLines w:val="0"/>
        <w:spacing w:after="120"/>
        <w:ind w:firstLine="567"/>
      </w:pPr>
      <w:r>
        <w:t xml:space="preserve">Lập luận lý thuyết cho mô hình toàn cục được phát triển song song. Januschowski và cộng sự (2020) coi tính cục bộ – toàn cục là một tiêu chí phân loại phương pháp dự báo, độc lập với việc mô hình thuộc họ thống kê hay học máy, còn Montero-Manso và Hyndman (2021) chỉ ra rằng mô hình toàn cục có thể xấp xỉ mô hình cục bộ và hưởng lợi từ việc học chéo chuỗi. Random Forest (Breiman, 2001) và tăng cường độ dốc (Friedman, 2001) được hệ thống hóa trong khuôn khổ đánh đổi độ chệch – phương sai (Hastie và cộng sự, 2009), trong khi XGBoost (Chen và Guestrin, 2016) và LightGBM (Ke và cộng sự, 2017) đưa boosting thành lựa chọn thực tiễn cho dữ liệu lớn; Januschowski và cộng sự (2022) phân tích lý do các mô hình cây tăng cường hiệu quả trong dự báo. DeepAR (Salinas và cộng sự, 2020) là hướng mô hình sâu toàn cục mang tính xác suất chưa được triển khai. Dòng tài liệu này là căn cứ để luận văn huấn luyện một mô hình chung cho 1.782 chuỗi, nhận diện chuỗi qua store_code, family_code và các thuộc tính cửa hàng tĩnh.</w:t>
      </w:r>
    </w:p>
    <w:p>
      <w:pPr>
        <w:pStyle w:val="Heading3"/>
        <w:keepNext/>
      </w:pPr>
      <w:r>
        <w:t xml:space="preserve">2.16.2. Đánh giá dự báo theo thời gian, rò rỉ dữ liệu và khả năng tái lập</w:t>
      </w:r>
    </w:p>
    <w:p>
      <w:pPr>
        <w:keepLines w:val="0"/>
        <w:spacing w:after="120"/>
        <w:ind w:firstLine="567"/>
      </w:pPr>
      <w:r>
        <w:t xml:space="preserve">Dòng nghiên cứu về đánh giá dự báo nhấn mạnh rằng chất lượng mô hình chỉ có ý nghĩa khi được đo trong điều kiện mô phỏng đúng thời điểm triển khai. Tashman (2000) tổng quan các phép kiểm tra ngoài mẫu và phân tích thiết kế gốc cuốn chiếu (rolling origin), trong đó mô hình được đánh giá lặp lại tại nhiều thời điểm gốc. Bergmeir và Benítez (2012) xem xét những điều kiện mà kiểm định chéo, kể cả dạng khối, có thể được dùng cho chuỗi thời gian, qua đó lưu ý rằng cách chia dữ liệu phải được cân nhắc theo cấu trúc phụ thuộc của chuỗi. Hyndman và Athanasopoulos (2021) trình bày kiểm định chéo chuỗi thời gian như thực hành chuẩn, còn Petropoulos và cộng sự (2022) đặt các thực hành này trong bức tranh chung của dự báo.</w:t>
      </w:r>
    </w:p>
    <w:p>
      <w:pPr>
        <w:keepLines w:val="0"/>
        <w:spacing w:after="120"/>
        <w:ind w:firstLine="567"/>
      </w:pPr>
      <w:r>
        <w:t xml:space="preserve">Gắn liền với thiết kế đánh giá là vấn đề rò rỉ dữ liệu. Kaufman và cộng sự (2012) hình thức hóa rò rỉ như việc sử dụng thông tin không hợp lệ tại thời điểm dự báo và thảo luận cách phát hiện, phòng tránh. Hewamalage, Ackermann và Bergmeir (2023) chỉ ra các sai lầm phổ biến khi đánh giá dự báo, gồm rò rỉ thông tin tương lai, chọn thước đo không phù hợp và đánh giá không tuân thủ trật tự thời gian. Hyndman và Koehler (2006) phân tích hạn chế của MAPE và sMAPE khi giá trị thực tế gần bằng không và đề xuất MASE. Những công trình này lý giải các quyết định thiết kế của luận văn: thống kê trượt tính trên chuỗi dịch lùi 16 ngày; độ trễ tính theo ngày lịch trên lịch ngày hoàn chỉnh, với bốn ngày 25/12 được bổ sung kèm cờ closed và không tham gia huấn luyện hay đánh giá; dữ liệu bổ sung chỉ ở dạng tĩnh, lịch biết trước hoặc trễ tối thiểu 16 ngày lịch; lag_7 và lag_14 bị loại khỏi đầu vào học máy; tập kiểm tra cuối tách biệt khỏi bước lựa chọn.</w:t>
      </w:r>
    </w:p>
    <w:p>
      <w:pPr>
        <w:keepLines w:val="0"/>
        <w:spacing w:after="120"/>
        <w:ind w:firstLine="567"/>
      </w:pPr>
      <w:r>
        <w:t xml:space="preserve">Cũng theo tinh thần đó, Seasonal Naive trong thiết kế chính thức được cố định tại gốc dự báo: ngày thứ h của cửa sổ dùng doanh số cùng thứ trong tuần cuối cùng trước gốc (lag_7 với h = 1–7, lag_14 với h = 8–14, lag_21 với h = 15–16), nên không dùng doanh số trong cửa sổ đánh giá. Lý do của lựa chọn này là với H = 16, nếu dùng lag_7 cho mọi ngày thì các ngày 8–16 sẽ lấy doanh số nằm trong chính kỳ dự báo, là thông tin chưa có tại gốc dự báo, và mô hình cơ sở khi đó không khả thi trong vận hành. Thiết kế đánh giá cũng chỉ đáng tin khi các ràng buộc phương pháp được kiểm tra tự động và toàn bộ quy trình có thể chạy lại từ dữ liệu gốc. Sculley và cộng sự (2015) cảnh báo về nợ kỹ thuật ẩn tích tụ qua các phụ thuộc dữ liệu và bước xử lý đan xen, những lỗi khó phát hiện nếu chỉ đọc kết quả cuối. Luận văn vì vậy tổ chức quy trình thành 14 stage chạy tuần tự từ train.csv, kèm smoke test kiểm tra các ràng buộc phương pháp như việc tập kiểm tra cuối không được dùng để chọn mô hình, kiểm thử đơn vị, và một thí nghiệm độ nhạy thay đổi đúng một lựa chọn thiết kế mỗi lần (mục 3.14 và 4.15).</w:t>
      </w:r>
    </w:p>
    <w:p>
      <w:pPr>
        <w:pStyle w:val="Heading3"/>
        <w:keepNext/>
      </w:pPr>
      <w:r>
        <w:t xml:space="preserve">2.16.3. Dự báo xác suất, hàm mất mát phân vị và dự báo conformal</w:t>
      </w:r>
    </w:p>
    <w:p>
      <w:pPr>
        <w:keepLines w:val="0"/>
        <w:spacing w:after="120"/>
        <w:ind w:firstLine="567"/>
      </w:pPr>
      <w:r>
        <w:t xml:space="preserve">Dòng nghiên cứu thứ ba chuyển trọng tâm từ giá trị kỳ vọng sang phân phối dự báo. Koenker và Bassett (1978) giới thiệu hồi quy phân vị với hàm mất mát kiểm tra, về sau thường được gọi là pinball loss, và Koenker (2005) hệ thống hóa lý thuyết này. Gneiting và Raftery (2007) phát triển lý thuyết quy tắc chấm điểm thích hợp (proper scoring rules), trong đó pinball loss là thích hợp đối với phân vị; Gneiting, Balabdaoui và Raftery (2007) nêu nguyên tắc tối đa hóa độ sắc nét (sharpness) với ràng buộc hiệu chỉnh (calibration). Trong bán lẻ, Kolassa (2016) bàn về việc đánh giá phân phối dự báo dạng đếm, vốn phù hợp với doanh số rời rạc có nhiều giá trị nhỏ.</w:t>
      </w:r>
    </w:p>
    <w:p>
      <w:pPr>
        <w:keepLines w:val="0"/>
        <w:spacing w:after="120"/>
        <w:ind w:firstLine="567"/>
      </w:pPr>
      <w:r>
        <w:t xml:space="preserve">Song song với mô hình hóa trực tiếp các phân vị, dự báo conformal cung cấp cách xây dựng khoảng dự báo không phụ thuộc giả định phân phối. Vovk, Gammerman và Shafer (2005) đặt nền tảng cho hướng này, bao gồm ý tưởng hiệu chỉnh riêng trong từng nhóm quan sát (dạng Mondrian); Lei và cộng sự (2018) phát triển split conformal cho hồi quy với bảo đảm độ bao phủ biên dưới giả định hoán đổi được (exchangeability); Romano, Patterson và Candès (2019) kết hợp conformal với hồi quy phân vị để tạo khoảng thích ứng theo điều kiện (xem thêm Angelopoulos và Bates, 2023). Luận văn vận dụng tinh thần split conformal theo nhóm: phần dư của XGBoost, được huấn luyện cùng cấu hình trên dữ liệu trước cửa sổ hiệu chỉnh 16 ngày (15/07–30/07/2017), được chia thành tối đa 10 nhóm theo phân vị của dự báo điểm; trong mỗi nhóm lấy các phân vị 0,1; 0,5 và 0,9 của phần dư, rồi cộng vào dự báo điểm của các quan sát kiểm tra rơi vào cùng nhóm.</w:t>
      </w:r>
    </w:p>
    <w:p>
      <w:pPr>
        <w:keepLines w:val="0"/>
        <w:spacing w:after="120"/>
        <w:ind w:firstLine="567"/>
      </w:pPr>
      <w:r>
        <w:t xml:space="preserve">Nhờ đó độ rộng khoảng thay đổi theo quy mô dự báo, gần với tinh thần thích ứng mà Romano và cộng sự đề xuất, thay vì một độ rộng chung cho mọi chuỗi. Tuy vậy, đây không phải conformal chuẩn: quy trình dùng trực tiếp phân vị thực nghiệm của phần dư, không hiệu chỉnh hữu hạn mẫu; mức thích ứng dừng ở nhóm quy mô chứ không theo từng chuỗi; và lần chạy chỉ còn 9 nhóm hiệu lực vì các biên phân vị trùng nhau ở vùng dự báo bằng không. Với chuỗi thời gian, giả định hoán đổi được cũng không thỏa mãn chặt chẽ. Độ bao phủ vì vậy là đại lượng thực nghiệm cần kiểm tra ở cả cấp tổng thể lẫn phân rã, không phải một bảo đảm lý thuyết.</w:t>
      </w:r>
    </w:p>
    <w:p>
      <w:pPr>
        <w:pStyle w:val="Heading3"/>
        <w:keepNext/>
      </w:pPr>
      <w:r>
        <w:t xml:space="preserve">2.16.4. Từ dự báo đến quyết định: khuyến mãi và tồn kho</w:t>
      </w:r>
    </w:p>
    <w:p>
      <w:pPr>
        <w:keepLines w:val="0"/>
        <w:spacing w:after="120"/>
        <w:ind w:firstLine="567"/>
      </w:pPr>
      <w:r>
        <w:t xml:space="preserve">Về khuyến mãi, Ma, Fildes và Huang (2016) cho thấy thông tin khuyến mãi trong và giữa các nhóm hàng có thể được khai thác như biến dự báo trong môi trường dữ liệu nhiều chiều ở cấp SKU. Tuy nhiên, cải thiện độ chính xác không đồng nghĩa với ước lượng đúng tác động. Shmueli (2010) phân biệt mục tiêu giải thích và mục tiêu dự báo, còn Imbens và Rubin (2015) trình bày khung kết quả tiềm năng với các điều kiện nhận diện cần thiết cho suy luận nhân quả. Dữ liệu Favorita không có thiết kế thực nghiệm hay cơ chế phân bổ khuyến mãi được ghi nhận, và onpromotion chỉ là số mặt hàng được khuyến mãi trong nhóm chứ không phải mức giảm giá. Luận văn vì vậy chỉ gọi chênh lệch giữa các kịch bản là phản ứng dự báo có điều kiện. Điều này càng cần thiết khi kịch bản gán onpromotion ở mức mà nhóm hàng hầu như chưa từng có, buộc mô hình ngoại suy ngoài miền dữ liệu; trong thiết kế chính thức, chuỗi có kịch bản làm P50 thay đổi quá 100% so với hiện tại được gắn cờ ngoại suy thay vì dùng làm căn cứ đề xuất.</w:t>
      </w:r>
    </w:p>
    <w:p>
      <w:pPr>
        <w:keepLines w:val="0"/>
        <w:spacing w:after="120"/>
        <w:ind w:firstLine="567"/>
      </w:pPr>
      <w:r>
        <w:t xml:space="preserve">Ở phía quyết định, Arrow, Harris và Marschak (1951) là một trong những công trình nền móng của lý thuyết chính sách tồn kho dưới bất định. Qin và cộng sự (2011) tổng quan bài toán newsvendor với nghiệm là phân vị của phân phối nhu cầu tại tỷ lệ tới hạn q* = Cu/(Cu + Co), còn Silver, Pyke và Thomas (2017) trình bày điểm đặt hàng lại, tồn kho an toàn, mức dịch vụ và các chính sách (s, S), (R, S), xác định trên nhu cầu trong thời gian cung ứng và vị thế tồn kho thực tế. Dự báo phân vị là giao diện tự nhiên giữa lý thuyết tồn kho, vốn giả định phân phối nhu cầu đã biết, và dự báo, vốn thường dừng ở độ chính xác. Luận văn vận dụng giao diện này với Cu = 3, Co = 1, tức q* = 0,75, điểm đặt hàng lại là tổng P90 của 16 ngày và vị thế tồn kho giả định 0,8 × P50; phiếu khuyến nghị bổ sung một phương án xấp xỉ phân vị q* bằng nội suy tuyến tính giữa P50 và P90. Dữ liệu không có tồn kho thực, thời gian cung ứng, giá bán hay biên lợi nhuận, nên đây không phải một chính sách đặt hàng thực sự.</w:t>
      </w:r>
    </w:p>
    <w:p>
      <w:pPr>
        <w:pStyle w:val="Heading3"/>
        <w:keepNext/>
      </w:pPr>
      <w:r>
        <w:t xml:space="preserve">2.16.5. Generative AI, RAG, ảo giác và con người trong vòng lặp</w:t>
      </w:r>
    </w:p>
    <w:p>
      <w:pPr>
        <w:keepLines w:val="0"/>
        <w:spacing w:after="120"/>
        <w:ind w:firstLine="567"/>
      </w:pPr>
      <w:r>
        <w:t xml:space="preserve">Dòng nghiên cứu gần đây nhất liên quan đến việc dùng mô hình ngôn ngữ lớn để diễn giải kết quả phân tích. Lewis và cộng sự (2020) đề xuất sinh tăng cường truy xuất (retrieval-augmented generation, RAG), kết hợp bộ truy xuất tài liệu với mô hình sinh để câu trả lời dựa trên nguồn tri thức bên ngoài; Gao và cộng sự (2023) tổng quan sự phát triển của RAG cho mô hình ngôn ngữ lớn, trong đó bộ truy xuất có thể dựa trên đối sánh từ vựng hoặc biểu diễn vectơ. Động lực quan trọng của RAG là hạn chế ảo giác (hallucination), tức nội dung trôi chảy nhưng không trung thực với nguồn, hiện tượng được Ji và cộng sự (2023) khảo sát có hệ thống. Lớp truy xuất của luận văn thuộc loại đối sánh từ vựng: BM25 kết hợp điểm thưởng theo thẻ (tag) trên hai tệp chính sách mẫu trong knowledge_base, không dùng embedding; truy vấn sinh theo mã lý do của từng phiếu, và quy định mà quy tắc đã áp dụng luôn được trích dẫn.</w:t>
      </w:r>
    </w:p>
    <w:p>
      <w:pPr>
        <w:keepLines w:val="0"/>
        <w:spacing w:after="120"/>
        <w:ind w:firstLine="567"/>
      </w:pPr>
      <w:r>
        <w:t xml:space="preserve">Thiết kế chính thức còn thêm một bước kiểm tra bám bằng chứng: mô hình ngôn ngữ, nếu được bật, chỉ viết lại phần tóm tắt, cơ sở và ghi chú khuyến mãi, và mọi con số lớn hơn 31 trong văn bản sinh ra phải khớp một số trong gói bằng chứng, nếu không bản sinh bị loại. Từ góc độ tương tác người – máy, Amershi và cộng sự (2019) đề xuất các hướng dẫn thiết kế nhấn mạnh việc làm rõ khả năng và giới hạn của hệ thống, đồng thời hỗ trợ người dùng sửa hoặc bác bỏ kết quả; Wu và cộng sự (2022) tổng quan các cơ chế con người trong vòng lặp (human-in-the-loop, HITL) cho học máy. Theo định hướng đó, quyết định cuối cùng thuộc về người phê duyệt, với tên người phê duyệt, quyết định, số lượng cuối cùng và lý do được ghi vào hitl_audit_log.csv.</w:t>
      </w:r>
    </w:p>
    <w:p>
      <w:pPr>
        <w:keepLines w:val="0"/>
        <w:spacing w:after="120"/>
        <w:ind w:firstLine="567"/>
      </w:pPr>
      <w:r>
        <w:t xml:space="preserve">Cần phân biệt phần đã triển khai với phần đã được kiểm chứng. Lần chạy chính thức không có khóa API, nên cả 1.782 phiếu được tạo ở chế độ theo quy tắc (RULE_BASED) và chưa có lần gọi mô hình ngôn ngữ thật nào; luồng gọi mô hình và bước kiểm tra bám bằng chứng mới được kiểm thử bằng mô phỏng. Nhật ký HITL cũng chưa có quyết định phê duyệt thật nào trong lần chạy; tệp nhật ký chỉ được tạo khi người dùng ghi quyết định đầu tiên trên dashboard. Dòng tài liệu này vì vậy được tiếp nhận ở cấp nguyên tắc kiến trúc và luồng kiểm soát, chưa phải ở cấp đánh giá chất lượng diễn giải của một mô hình ngôn ngữ đang vận hành.</w:t>
      </w:r>
    </w:p>
    <w:p>
      <w:pPr>
        <w:pStyle w:val="Heading3"/>
        <w:keepNext/>
      </w:pPr>
      <w:r>
        <w:t xml:space="preserve">2.16.6. Tổng hợp các dòng nghiên cứu</w:t>
      </w:r>
    </w:p>
    <w:p>
      <w:pPr>
        <w:keepLines w:val="0"/>
        <w:spacing w:after="120"/>
        <w:ind w:firstLine="567"/>
      </w:pPr>
      <w:r>
        <w:t xml:space="preserve">Bảng 2.9 tóm lược các dòng nghiên cứu, đóng góp chính và cách luận văn tiếp nhận. Mỗi dòng có hệ khái niệm riêng: dự báo quan tâm đến độ chính xác và tính hợp lệ của đánh giá, dự báo xác suất quan tâm đến hiệu chỉnh và độ sắc nét, suy luận nhân quả quan tâm đến điều kiện nhận diện, tồn kho quan tâm đến chi phí và mức dịch vụ, Generative AI quan tâm đến tính trung thực và vai trò của con người, còn tài liệu về hệ thống học máy quan tâm đến các phụ thuộc ẩn trong chuỗi xử lý. Cột cuối mô tả cách tiếp nhận theo thiết kế của lần chạy chính thức.</w:t>
      </w:r>
    </w:p>
    <w:p>
      <w:pPr>
        <w:keepNext/>
        <w:spacing w:before="120" w:after="60"/>
        <w:ind w:firstLine="0"/>
        <w:jc w:val="center"/>
      </w:pPr>
      <w:r>
        <w:t xml:space="preserve">Bảng 2.9. Tổng hợp các dòng nghiên cứu liên quan, đóng góp chính và cách luận văn tiếp nhận</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670"/>
        <w:gridCol w:w="2466"/>
        <w:gridCol w:w="2466"/>
        <w:gridCol w:w="2469"/>
      </w:tblGrid>
      <w:tr>
        <w:trPr>
          <w:tblHeader/>
          <w:cantSplit/>
        </w:trPr>
        <w:tc>
          <w:tcPr>
            <w:tcW w:type="dxa" w:w="1670"/>
            <w:shd w:val="clear" w:color="auto" w:fill="D9E2F3"/>
            <w:vAlign w:val="center"/>
          </w:tcPr>
          <w:p>
            <w:pPr>
              <w:spacing w:before="20" w:after="20" w:line="260" w:lineRule="auto"/>
              <w:ind w:firstLine="0"/>
              <w:jc w:val="center"/>
            </w:pPr>
            <w:r>
              <w:rPr>
                <w:b/>
                <w:sz w:val="20"/>
                <w:szCs w:val="20"/>
              </w:rPr>
              <w:t xml:space="preserve">Dòng nghiên cứu</w:t>
            </w:r>
          </w:p>
        </w:tc>
        <w:tc>
          <w:tcPr>
            <w:tcW w:type="dxa" w:w="2466"/>
            <w:shd w:val="clear" w:color="auto" w:fill="D9E2F3"/>
            <w:vAlign w:val="center"/>
          </w:tcPr>
          <w:p>
            <w:pPr>
              <w:spacing w:before="20" w:after="20" w:line="260" w:lineRule="auto"/>
              <w:ind w:firstLine="0"/>
              <w:jc w:val="center"/>
            </w:pPr>
            <w:r>
              <w:rPr>
                <w:b/>
                <w:sz w:val="20"/>
                <w:szCs w:val="20"/>
              </w:rPr>
              <w:t xml:space="preserve">Tài liệu tiêu biểu</w:t>
            </w:r>
          </w:p>
        </w:tc>
        <w:tc>
          <w:tcPr>
            <w:tcW w:type="dxa" w:w="2466"/>
            <w:shd w:val="clear" w:color="auto" w:fill="D9E2F3"/>
            <w:vAlign w:val="center"/>
          </w:tcPr>
          <w:p>
            <w:pPr>
              <w:spacing w:before="20" w:after="20" w:line="260" w:lineRule="auto"/>
              <w:ind w:firstLine="0"/>
              <w:jc w:val="center"/>
            </w:pPr>
            <w:r>
              <w:rPr>
                <w:b/>
                <w:sz w:val="20"/>
                <w:szCs w:val="20"/>
              </w:rPr>
              <w:t xml:space="preserve">Đóng góp chính</w:t>
            </w:r>
          </w:p>
        </w:tc>
        <w:tc>
          <w:tcPr>
            <w:tcW w:type="dxa" w:w="2469"/>
            <w:shd w:val="clear" w:color="auto" w:fill="D9E2F3"/>
            <w:vAlign w:val="center"/>
          </w:tcPr>
          <w:p>
            <w:pPr>
              <w:spacing w:before="20" w:after="20" w:line="260" w:lineRule="auto"/>
              <w:ind w:firstLine="0"/>
              <w:jc w:val="center"/>
            </w:pPr>
            <w:r>
              <w:rPr>
                <w:b/>
                <w:sz w:val="20"/>
                <w:szCs w:val="20"/>
              </w:rPr>
              <w:t xml:space="preserve">Liên hệ với luận văn</w:t>
            </w:r>
          </w:p>
        </w:tc>
      </w:tr>
      <w:tr>
        <w:trPr>
          <w:cantSplit/>
        </w:trPr>
        <w:tc>
          <w:tcPr>
            <w:tcW w:type="dxa" w:w="1670"/>
            <w:vAlign w:val="center"/>
          </w:tcPr>
          <w:p>
            <w:pPr>
              <w:spacing w:before="20" w:after="20" w:line="260" w:lineRule="auto"/>
              <w:ind w:firstLine="0"/>
              <w:jc w:val="left"/>
            </w:pPr>
            <w:r>
              <w:rPr>
                <w:sz w:val="20"/>
                <w:szCs w:val="20"/>
              </w:rPr>
              <w:t xml:space="preserve">Dự báo bán lẻ và M5</w:t>
            </w:r>
          </w:p>
        </w:tc>
        <w:tc>
          <w:tcPr>
            <w:tcW w:type="dxa" w:w="2466"/>
            <w:vAlign w:val="center"/>
          </w:tcPr>
          <w:p>
            <w:pPr>
              <w:spacing w:before="20" w:after="20" w:line="260" w:lineRule="auto"/>
              <w:ind w:firstLine="0"/>
              <w:jc w:val="left"/>
            </w:pPr>
            <w:r>
              <w:rPr>
                <w:sz w:val="20"/>
                <w:szCs w:val="20"/>
              </w:rPr>
              <w:t xml:space="preserve">Fildes và cộng sự (2022); Makridakis và cộng sự (2022a, 2022b); Croston (1972); Syntetos và cộng sự (2005)</w:t>
            </w:r>
          </w:p>
        </w:tc>
        <w:tc>
          <w:tcPr>
            <w:tcW w:type="dxa" w:w="2466"/>
            <w:vAlign w:val="center"/>
          </w:tcPr>
          <w:p>
            <w:pPr>
              <w:spacing w:before="20" w:after="20" w:line="260" w:lineRule="auto"/>
              <w:ind w:firstLine="0"/>
              <w:jc w:val="left"/>
            </w:pPr>
            <w:r>
              <w:rPr>
                <w:sz w:val="20"/>
                <w:szCs w:val="20"/>
              </w:rPr>
              <w:t xml:space="preserve">Đặc thù đa cấp, cầu gián đoạn, khuyến mãi; ưu thế của mô hình toàn cục và cây tăng cường; yêu cầu dự báo phân vị</w:t>
            </w:r>
          </w:p>
        </w:tc>
        <w:tc>
          <w:tcPr>
            <w:tcW w:type="dxa" w:w="2469"/>
            <w:vAlign w:val="center"/>
          </w:tcPr>
          <w:p>
            <w:pPr>
              <w:spacing w:before="20" w:after="20" w:line="260" w:lineRule="auto"/>
              <w:ind w:firstLine="0"/>
              <w:jc w:val="left"/>
            </w:pPr>
            <w:r>
              <w:rPr>
                <w:sz w:val="20"/>
                <w:szCs w:val="20"/>
              </w:rPr>
              <w:t xml:space="preserve">Bài toán cấp cửa hàng × nhóm sản phẩm (1.782 chuỗi); nhóm mô hình gồm ba mô hình cây</w:t>
            </w:r>
          </w:p>
        </w:tc>
      </w:tr>
      <w:tr>
        <w:trPr>
          <w:cantSplit/>
        </w:trPr>
        <w:tc>
          <w:tcPr>
            <w:tcW w:type="dxa" w:w="1670"/>
            <w:vAlign w:val="center"/>
          </w:tcPr>
          <w:p>
            <w:pPr>
              <w:spacing w:before="20" w:after="20" w:line="260" w:lineRule="auto"/>
              <w:ind w:firstLine="0"/>
              <w:jc w:val="left"/>
            </w:pPr>
            <w:r>
              <w:rPr>
                <w:sz w:val="20"/>
                <w:szCs w:val="20"/>
              </w:rPr>
              <w:t xml:space="preserve">Mô hình toàn cục và cây tăng cường</w:t>
            </w:r>
          </w:p>
        </w:tc>
        <w:tc>
          <w:tcPr>
            <w:tcW w:type="dxa" w:w="2466"/>
            <w:vAlign w:val="center"/>
          </w:tcPr>
          <w:p>
            <w:pPr>
              <w:spacing w:before="20" w:after="20" w:line="260" w:lineRule="auto"/>
              <w:ind w:firstLine="0"/>
              <w:jc w:val="left"/>
            </w:pPr>
            <w:r>
              <w:rPr>
                <w:sz w:val="20"/>
                <w:szCs w:val="20"/>
              </w:rPr>
              <w:t xml:space="preserve">Montero-Manso và Hyndman (2021); Januschowski và cộng sự (2020, 2022); Breiman (2001); Friedman (2001); Chen và Guestrin (2016); Ke và cộng sự (2017)</w:t>
            </w:r>
          </w:p>
        </w:tc>
        <w:tc>
          <w:tcPr>
            <w:tcW w:type="dxa" w:w="2466"/>
            <w:vAlign w:val="center"/>
          </w:tcPr>
          <w:p>
            <w:pPr>
              <w:spacing w:before="20" w:after="20" w:line="260" w:lineRule="auto"/>
              <w:ind w:firstLine="0"/>
              <w:jc w:val="left"/>
            </w:pPr>
            <w:r>
              <w:rPr>
                <w:sz w:val="20"/>
                <w:szCs w:val="20"/>
              </w:rPr>
              <w:t xml:space="preserve">Học chéo nhiều chuỗi; bagging và boosting cho dữ liệu bảng lớn</w:t>
            </w:r>
          </w:p>
        </w:tc>
        <w:tc>
          <w:tcPr>
            <w:tcW w:type="dxa" w:w="2469"/>
            <w:vAlign w:val="center"/>
          </w:tcPr>
          <w:p>
            <w:pPr>
              <w:spacing w:before="20" w:after="20" w:line="260" w:lineRule="auto"/>
              <w:ind w:firstLine="0"/>
              <w:jc w:val="left"/>
            </w:pPr>
            <w:r>
              <w:rPr>
                <w:sz w:val="20"/>
                <w:szCs w:val="20"/>
              </w:rPr>
              <w:t xml:space="preserve">Một mô hình chung với store_code, family_code và thuộc tính cửa hàng; so sánh Random Forest, XGBoost, LightGBM với Seasonal Naive và Ridge</w:t>
            </w:r>
          </w:p>
        </w:tc>
      </w:tr>
      <w:tr>
        <w:trPr>
          <w:cantSplit/>
        </w:trPr>
        <w:tc>
          <w:tcPr>
            <w:tcW w:type="dxa" w:w="1670"/>
            <w:vAlign w:val="center"/>
          </w:tcPr>
          <w:p>
            <w:pPr>
              <w:spacing w:before="20" w:after="20" w:line="260" w:lineRule="auto"/>
              <w:ind w:firstLine="0"/>
              <w:jc w:val="left"/>
            </w:pPr>
            <w:r>
              <w:rPr>
                <w:sz w:val="20"/>
                <w:szCs w:val="20"/>
              </w:rPr>
              <w:t xml:space="preserve">Đánh giá theo thời gian và rò rỉ</w:t>
            </w:r>
          </w:p>
        </w:tc>
        <w:tc>
          <w:tcPr>
            <w:tcW w:type="dxa" w:w="2466"/>
            <w:vAlign w:val="center"/>
          </w:tcPr>
          <w:p>
            <w:pPr>
              <w:spacing w:before="20" w:after="20" w:line="260" w:lineRule="auto"/>
              <w:ind w:firstLine="0"/>
              <w:jc w:val="left"/>
            </w:pPr>
            <w:r>
              <w:rPr>
                <w:sz w:val="20"/>
                <w:szCs w:val="20"/>
              </w:rPr>
              <w:t xml:space="preserve">Tashman (2000); Bergmeir và Benítez (2012); Hewamalage và cộng sự (2023); Kaufman và cộng sự (2012); Hyndman và Koehler (2006)</w:t>
            </w:r>
          </w:p>
        </w:tc>
        <w:tc>
          <w:tcPr>
            <w:tcW w:type="dxa" w:w="2466"/>
            <w:vAlign w:val="center"/>
          </w:tcPr>
          <w:p>
            <w:pPr>
              <w:spacing w:before="20" w:after="20" w:line="260" w:lineRule="auto"/>
              <w:ind w:firstLine="0"/>
              <w:jc w:val="left"/>
            </w:pPr>
            <w:r>
              <w:rPr>
                <w:sz w:val="20"/>
                <w:szCs w:val="20"/>
              </w:rPr>
              <w:t xml:space="preserve">Đánh giá ngoài mẫu với gốc cuốn chiếu; hình thức hóa rò rỉ; hạn chế của thước đo phần trăm</w:t>
            </w:r>
          </w:p>
        </w:tc>
        <w:tc>
          <w:tcPr>
            <w:tcW w:type="dxa" w:w="2469"/>
            <w:vAlign w:val="center"/>
          </w:tcPr>
          <w:p>
            <w:pPr>
              <w:spacing w:before="20" w:after="20" w:line="260" w:lineRule="auto"/>
              <w:ind w:firstLine="0"/>
              <w:jc w:val="left"/>
            </w:pPr>
            <w:r>
              <w:rPr>
                <w:sz w:val="20"/>
                <w:szCs w:val="20"/>
              </w:rPr>
              <w:t xml:space="preserve">Ba lần kiểm định cửa sổ mở rộng, chọn theo WAPE trung bình; tập kiểm tra cuối 16 ngày tách biệt; độ trễ theo ngày lịch, đặc trưng bổ sung trễ ≥ 16 ngày lịch; Seasonal Naive cố định gốc dự báo</w:t>
            </w:r>
          </w:p>
        </w:tc>
      </w:tr>
      <w:tr>
        <w:trPr>
          <w:cantSplit/>
        </w:trPr>
        <w:tc>
          <w:tcPr>
            <w:tcW w:type="dxa" w:w="1670"/>
            <w:vAlign w:val="center"/>
          </w:tcPr>
          <w:p>
            <w:pPr>
              <w:spacing w:before="20" w:after="20" w:line="260" w:lineRule="auto"/>
              <w:ind w:firstLine="0"/>
              <w:jc w:val="left"/>
            </w:pPr>
            <w:r>
              <w:rPr>
                <w:sz w:val="20"/>
                <w:szCs w:val="20"/>
              </w:rPr>
              <w:t xml:space="preserve">Dự báo xác suất và conformal</w:t>
            </w:r>
          </w:p>
        </w:tc>
        <w:tc>
          <w:tcPr>
            <w:tcW w:type="dxa" w:w="2466"/>
            <w:vAlign w:val="center"/>
          </w:tcPr>
          <w:p>
            <w:pPr>
              <w:spacing w:before="20" w:after="20" w:line="260" w:lineRule="auto"/>
              <w:ind w:firstLine="0"/>
              <w:jc w:val="left"/>
            </w:pPr>
            <w:r>
              <w:rPr>
                <w:sz w:val="20"/>
                <w:szCs w:val="20"/>
              </w:rPr>
              <w:t xml:space="preserve">Koenker và Bassett (1978); Gneiting và Raftery (2007); Gneiting và cộng sự (2007); Vovk và cộng sự (2005); Lei và cộng sự (2018); Romano và cộng sự (2019)</w:t>
            </w:r>
          </w:p>
        </w:tc>
        <w:tc>
          <w:tcPr>
            <w:tcW w:type="dxa" w:w="2466"/>
            <w:vAlign w:val="center"/>
          </w:tcPr>
          <w:p>
            <w:pPr>
              <w:spacing w:before="20" w:after="20" w:line="260" w:lineRule="auto"/>
              <w:ind w:firstLine="0"/>
              <w:jc w:val="left"/>
            </w:pPr>
            <w:r>
              <w:rPr>
                <w:sz w:val="20"/>
                <w:szCs w:val="20"/>
              </w:rPr>
              <w:t xml:space="preserve">Hàm mất mát pinball; quy tắc chấm điểm thích hợp; hiệu chỉnh – độ sắc nét; khoảng không phụ thuộc phân phối, thích ứng theo điều kiện</w:t>
            </w:r>
          </w:p>
        </w:tc>
        <w:tc>
          <w:tcPr>
            <w:tcW w:type="dxa" w:w="2469"/>
            <w:vAlign w:val="center"/>
          </w:tcPr>
          <w:p>
            <w:pPr>
              <w:spacing w:before="20" w:after="20" w:line="260" w:lineRule="auto"/>
              <w:ind w:firstLine="0"/>
              <w:jc w:val="left"/>
            </w:pPr>
            <w:r>
              <w:rPr>
                <w:sz w:val="20"/>
                <w:szCs w:val="20"/>
              </w:rPr>
              <w:t xml:space="preserve">P10/P50/P90 từ phân vị phần dư theo nhóm quy mô dự báo điểm (Mondrian) trên cửa sổ hiệu chỉnh 16 ngày; đánh giá pinball, độ bao phủ, độ rộng ở cấp tổng thể và phân rã</w:t>
            </w:r>
          </w:p>
        </w:tc>
      </w:tr>
      <w:tr>
        <w:trPr>
          <w:cantSplit/>
        </w:trPr>
        <w:tc>
          <w:tcPr>
            <w:tcW w:type="dxa" w:w="1670"/>
            <w:vAlign w:val="center"/>
          </w:tcPr>
          <w:p>
            <w:pPr>
              <w:spacing w:before="20" w:after="20" w:line="260" w:lineRule="auto"/>
              <w:ind w:firstLine="0"/>
              <w:jc w:val="left"/>
            </w:pPr>
            <w:r>
              <w:rPr>
                <w:sz w:val="20"/>
                <w:szCs w:val="20"/>
              </w:rPr>
              <w:t xml:space="preserve">Khuyến mãi: dự báo và nhân quả</w:t>
            </w:r>
          </w:p>
        </w:tc>
        <w:tc>
          <w:tcPr>
            <w:tcW w:type="dxa" w:w="2466"/>
            <w:vAlign w:val="center"/>
          </w:tcPr>
          <w:p>
            <w:pPr>
              <w:spacing w:before="20" w:after="20" w:line="260" w:lineRule="auto"/>
              <w:ind w:firstLine="0"/>
              <w:jc w:val="left"/>
            </w:pPr>
            <w:r>
              <w:rPr>
                <w:sz w:val="20"/>
                <w:szCs w:val="20"/>
              </w:rPr>
              <w:t xml:space="preserve">Ma và cộng sự (2016); Shmueli (2010); Imbens và Rubin (2015)</w:t>
            </w:r>
          </w:p>
        </w:tc>
        <w:tc>
          <w:tcPr>
            <w:tcW w:type="dxa" w:w="2466"/>
            <w:vAlign w:val="center"/>
          </w:tcPr>
          <w:p>
            <w:pPr>
              <w:spacing w:before="20" w:after="20" w:line="260" w:lineRule="auto"/>
              <w:ind w:firstLine="0"/>
              <w:jc w:val="left"/>
            </w:pPr>
            <w:r>
              <w:rPr>
                <w:sz w:val="20"/>
                <w:szCs w:val="20"/>
              </w:rPr>
              <w:t xml:space="preserve">Khai thác thông tin khuyến mãi để dự báo; phân biệt dự báo và giải thích; điều kiện nhận diện nhân quả</w:t>
            </w:r>
          </w:p>
        </w:tc>
        <w:tc>
          <w:tcPr>
            <w:tcW w:type="dxa" w:w="2469"/>
            <w:vAlign w:val="center"/>
          </w:tcPr>
          <w:p>
            <w:pPr>
              <w:spacing w:before="20" w:after="20" w:line="260" w:lineRule="auto"/>
              <w:ind w:firstLine="0"/>
              <w:jc w:val="left"/>
            </w:pPr>
            <w:r>
              <w:rPr>
                <w:sz w:val="20"/>
                <w:szCs w:val="20"/>
              </w:rPr>
              <w:t xml:space="preserve">Năm kịch bản onpromotion chỉ là phản ứng dự báo có điều kiện; gắn cờ ngoại suy khi P50 thay đổi &gt; 100%</w:t>
            </w:r>
          </w:p>
        </w:tc>
      </w:tr>
      <w:tr>
        <w:trPr>
          <w:cantSplit/>
        </w:trPr>
        <w:tc>
          <w:tcPr>
            <w:tcW w:type="dxa" w:w="1670"/>
            <w:vAlign w:val="center"/>
          </w:tcPr>
          <w:p>
            <w:pPr>
              <w:spacing w:before="20" w:after="20" w:line="260" w:lineRule="auto"/>
              <w:ind w:firstLine="0"/>
              <w:jc w:val="left"/>
            </w:pPr>
            <w:r>
              <w:rPr>
                <w:sz w:val="20"/>
                <w:szCs w:val="20"/>
              </w:rPr>
              <w:t xml:space="preserve">Liên kết dự báo – tồn kho</w:t>
            </w:r>
          </w:p>
        </w:tc>
        <w:tc>
          <w:tcPr>
            <w:tcW w:type="dxa" w:w="2466"/>
            <w:vAlign w:val="center"/>
          </w:tcPr>
          <w:p>
            <w:pPr>
              <w:spacing w:before="20" w:after="20" w:line="260" w:lineRule="auto"/>
              <w:ind w:firstLine="0"/>
              <w:jc w:val="left"/>
            </w:pPr>
            <w:r>
              <w:rPr>
                <w:sz w:val="20"/>
                <w:szCs w:val="20"/>
              </w:rPr>
              <w:t xml:space="preserve">Arrow và cộng sự (1951); Qin và cộng sự (2011); Silver và cộng sự (2017)</w:t>
            </w:r>
          </w:p>
        </w:tc>
        <w:tc>
          <w:tcPr>
            <w:tcW w:type="dxa" w:w="2466"/>
            <w:vAlign w:val="center"/>
          </w:tcPr>
          <w:p>
            <w:pPr>
              <w:spacing w:before="20" w:after="20" w:line="260" w:lineRule="auto"/>
              <w:ind w:firstLine="0"/>
              <w:jc w:val="left"/>
            </w:pPr>
            <w:r>
              <w:rPr>
                <w:sz w:val="20"/>
                <w:szCs w:val="20"/>
              </w:rPr>
              <w:t xml:space="preserve">Phân vị tới hạn newsvendor; tồn kho an toàn, điểm đặt hàng lại, mức dịch vụ</w:t>
            </w:r>
          </w:p>
        </w:tc>
        <w:tc>
          <w:tcPr>
            <w:tcW w:type="dxa" w:w="2469"/>
            <w:vAlign w:val="center"/>
          </w:tcPr>
          <w:p>
            <w:pPr>
              <w:spacing w:before="20" w:after="20" w:line="260" w:lineRule="auto"/>
              <w:ind w:firstLine="0"/>
              <w:jc w:val="left"/>
            </w:pPr>
            <w:r>
              <w:rPr>
                <w:sz w:val="20"/>
                <w:szCs w:val="20"/>
              </w:rPr>
              <w:t xml:space="preserve">Cu = 3, Co = 1, q* = 0,75; ROP = P90; vị thế giả định 0,8 × P50; ba phương án số lượng (P50, xấp xỉ q*, P90); nhãn theo mức bất định tương đối là tín hiệu sàng lọc</w:t>
            </w:r>
          </w:p>
        </w:tc>
      </w:tr>
      <w:tr>
        <w:trPr>
          <w:cantSplit/>
        </w:trPr>
        <w:tc>
          <w:tcPr>
            <w:tcW w:type="dxa" w:w="1670"/>
            <w:vAlign w:val="center"/>
          </w:tcPr>
          <w:p>
            <w:pPr>
              <w:spacing w:before="20" w:after="20" w:line="260" w:lineRule="auto"/>
              <w:ind w:firstLine="0"/>
              <w:jc w:val="left"/>
            </w:pPr>
            <w:r>
              <w:rPr>
                <w:sz w:val="20"/>
                <w:szCs w:val="20"/>
              </w:rPr>
              <w:t xml:space="preserve">Generative AI, RAG và HITL</w:t>
            </w:r>
          </w:p>
        </w:tc>
        <w:tc>
          <w:tcPr>
            <w:tcW w:type="dxa" w:w="2466"/>
            <w:vAlign w:val="center"/>
          </w:tcPr>
          <w:p>
            <w:pPr>
              <w:spacing w:before="20" w:after="20" w:line="260" w:lineRule="auto"/>
              <w:ind w:firstLine="0"/>
              <w:jc w:val="left"/>
            </w:pPr>
            <w:r>
              <w:rPr>
                <w:sz w:val="20"/>
                <w:szCs w:val="20"/>
              </w:rPr>
              <w:t xml:space="preserve">Lewis và cộng sự (2020); Gao và cộng sự (2023); Ji và cộng sự (2023); Amershi và cộng sự (2019); Wu và cộng sự (2022)</w:t>
            </w:r>
          </w:p>
        </w:tc>
        <w:tc>
          <w:tcPr>
            <w:tcW w:type="dxa" w:w="2466"/>
            <w:vAlign w:val="center"/>
          </w:tcPr>
          <w:p>
            <w:pPr>
              <w:spacing w:before="20" w:after="20" w:line="260" w:lineRule="auto"/>
              <w:ind w:firstLine="0"/>
              <w:jc w:val="left"/>
            </w:pPr>
            <w:r>
              <w:rPr>
                <w:sz w:val="20"/>
                <w:szCs w:val="20"/>
              </w:rPr>
              <w:t xml:space="preserve">Truy xuất trước khi sinh; nhận diện ảo giác; thiết kế tương tác và kiểm duyệt của con người</w:t>
            </w:r>
          </w:p>
        </w:tc>
        <w:tc>
          <w:tcPr>
            <w:tcW w:type="dxa" w:w="2469"/>
            <w:vAlign w:val="center"/>
          </w:tcPr>
          <w:p>
            <w:pPr>
              <w:spacing w:before="20" w:after="20" w:line="260" w:lineRule="auto"/>
              <w:ind w:firstLine="0"/>
              <w:jc w:val="left"/>
            </w:pPr>
            <w:r>
              <w:rPr>
                <w:sz w:val="20"/>
                <w:szCs w:val="20"/>
              </w:rPr>
              <w:t xml:space="preserve">Phiếu khuyến nghị cho mọi chuỗi; truy xuất BM25 + thẻ trên chính sách mẫu; kiểm tra bám bằng chứng cho mô hình ngôn ngữ (chỉ kiểm thử mô phỏng); nhật ký HITL 14 cột</w:t>
            </w:r>
          </w:p>
        </w:tc>
      </w:tr>
      <w:tr>
        <w:trPr>
          <w:cantSplit/>
        </w:trPr>
        <w:tc>
          <w:tcPr>
            <w:tcW w:type="dxa" w:w="1670"/>
            <w:vAlign w:val="center"/>
          </w:tcPr>
          <w:p>
            <w:pPr>
              <w:spacing w:before="20" w:after="20" w:line="260" w:lineRule="auto"/>
              <w:ind w:firstLine="0"/>
              <w:jc w:val="left"/>
            </w:pPr>
            <w:r>
              <w:rPr>
                <w:sz w:val="20"/>
                <w:szCs w:val="20"/>
              </w:rPr>
              <w:t xml:space="preserve">Tái lập, kiểm thử và nợ kỹ thuật trong hệ thống học máy</w:t>
            </w:r>
          </w:p>
        </w:tc>
        <w:tc>
          <w:tcPr>
            <w:tcW w:type="dxa" w:w="2466"/>
            <w:vAlign w:val="center"/>
          </w:tcPr>
          <w:p>
            <w:pPr>
              <w:spacing w:before="20" w:after="20" w:line="260" w:lineRule="auto"/>
              <w:ind w:firstLine="0"/>
              <w:jc w:val="left"/>
            </w:pPr>
            <w:r>
              <w:rPr>
                <w:sz w:val="20"/>
                <w:szCs w:val="20"/>
              </w:rPr>
              <w:t xml:space="preserve">Sculley và cộng sự (2015); Hewamalage và cộng sự (2023); Kaufman và cộng sự (2012)</w:t>
            </w:r>
          </w:p>
        </w:tc>
        <w:tc>
          <w:tcPr>
            <w:tcW w:type="dxa" w:w="2466"/>
            <w:vAlign w:val="center"/>
          </w:tcPr>
          <w:p>
            <w:pPr>
              <w:spacing w:before="20" w:after="20" w:line="260" w:lineRule="auto"/>
              <w:ind w:firstLine="0"/>
              <w:jc w:val="left"/>
            </w:pPr>
            <w:r>
              <w:rPr>
                <w:sz w:val="20"/>
                <w:szCs w:val="20"/>
              </w:rPr>
              <w:t xml:space="preserve">Phụ thuộc dữ liệu ẩn, lỗi đan xen giữa các bước xử lý; sai lầm đánh giá khó phát hiện từ kết quả cuối</w:t>
            </w:r>
          </w:p>
        </w:tc>
        <w:tc>
          <w:tcPr>
            <w:tcW w:type="dxa" w:w="2469"/>
            <w:vAlign w:val="center"/>
          </w:tcPr>
          <w:p>
            <w:pPr>
              <w:spacing w:before="20" w:after="20" w:line="260" w:lineRule="auto"/>
              <w:ind w:firstLine="0"/>
              <w:jc w:val="left"/>
            </w:pPr>
            <w:r>
              <w:rPr>
                <w:sz w:val="20"/>
                <w:szCs w:val="20"/>
              </w:rPr>
              <w:t xml:space="preserve">Quy trình 14 stage chạy lại từ train.csv (START_WINDOWS.bat); smoke test ràng buộc phương pháp, kiểm thử đơn vị, kiểm thử dashboard và luồng mô hình ngôn ngữ bằng mô phỏng; thí nghiệm độ nhạy thay đổi từng lựa chọn thiết kế một</w:t>
            </w:r>
          </w:p>
        </w:tc>
      </w:tr>
    </w:tbl>
    <w:p>
      <w:pPr>
        <w:spacing w:before="40" w:after="160"/>
        <w:ind w:firstLine="0"/>
      </w:pPr>
      <w:r>
        <w:rPr>
          <w:i/>
          <w:sz w:val="22"/>
          <w:szCs w:val="22"/>
        </w:rPr>
        <w:t xml:space="preserve">Nguồn: tổng hợp của tác giả.</w:t>
      </w:r>
    </w:p>
    <w:p>
      <w:pPr>
        <w:keepLines w:val="0"/>
        <w:spacing w:after="120"/>
        <w:ind w:firstLine="567"/>
      </w:pPr>
      <w:r>
        <w:t xml:space="preserve">Mức độ tiếp nhận của luận văn đối với từng dòng nghiên cứu không đồng đều. Với dự báo điểm và đánh giá theo thời gian, thiết kế chính thức triển khai khá đầy đủ các nguyên tắc đã xác lập, kể cả với đường cơ sở. Với dự báo xác suất, phương án phân vị phần dư theo nhóm quy mô đơn giản, dễ tái lập, thích ứng theo quy mô hơn một bộ phân vị phần dư chung cho mọi chuỗi nhưng kém linh hoạt hơn hồi quy phân vị trực tiếp hay conformal thích ứng theo từng chuỗi; độ bao phủ tổng thể của lần chạy (75,40%) vẫn thấp hơn mức danh nghĩa 80%. Với khuyến mãi, tồn kho và Generative AI, luận văn chủ yếu tiếp nhận nguyên tắc giới hạn diễn giải và thiết kế kiến trúc, bởi dữ liệu chưa đủ điều kiện cho suy luận nhân quả, tối ưu tồn kho thực tế hay đánh giá một mô hình ngôn ngữ trực tuyến; riêng dòng tài liệu về tái lập được tiếp nhận trực tiếp thành một lớp kiểm thử, thí nghiệm độ nhạy và tái lập. Sự phân mảnh giữa các dòng nghiên cứu, cùng khoảng cách giữa đề xuất của tài liệu và những gì một quy trình ứng dụng thực sự làm được, là căn cứ cho lập luận về khoảng trống ở mục 2.17.</w:t>
      </w:r>
    </w:p>
    <w:p>
      <w:pPr>
        <w:pStyle w:val="Heading2"/>
        <w:keepNext/>
      </w:pPr>
      <w:r>
        <w:t xml:space="preserve">2.17. Khoảng trống nghiên cứu và khung phân tích của luận văn</w:t>
      </w:r>
    </w:p>
    <w:p>
      <w:pPr>
        <w:pStyle w:val="Heading3"/>
        <w:keepNext/>
      </w:pPr>
      <w:r>
        <w:t xml:space="preserve">2.17.1. Khoảng trống nghiên cứu</w:t>
      </w:r>
    </w:p>
    <w:p>
      <w:pPr>
        <w:keepLines w:val="0"/>
        <w:spacing w:after="120"/>
        <w:ind w:firstLine="567"/>
      </w:pPr>
      <w:r>
        <w:t xml:space="preserve">Từ tổng quan ở mục 2.16, có thể nhận diện năm khoảng trống ở mức lập luận mà luận văn hướng tới đóng góp một phần. Khoảng trống thứ nhất là sự tách rời giữa đánh giá độ chính xác và đánh giá khả năng hỗ trợ quyết định. Phần lớn tài liệu dự báo, kể cả các tổng kết cuộc thi, tập trung vào việc xếp hạng phương pháp theo thước đo sai số, trong khi tài liệu tồn kho thường bắt đầu từ một phân phối nhu cầu đã được cho trước. Những nghiên cứu đi trọn chuỗi từ dữ liệu thô đến tín hiệu quyết định trên cùng một bộ dữ liệu bán lẻ công khai, với mọi đầu ra trung gian được lưu lại để kiểm tra, vẫn còn tương đối ít được trình bày minh bạch.</w:t>
      </w:r>
    </w:p>
    <w:p>
      <w:pPr>
        <w:keepLines w:val="0"/>
        <w:spacing w:after="120"/>
        <w:ind w:firstLine="567"/>
      </w:pPr>
      <w:r>
        <w:t xml:space="preserve">Khoảng trống thứ hai liên quan đến kỷ luật diễn giải. Tài liệu về nhân quả và về thiết kế đánh giá đều cảnh báo nguy cơ suy luận vượt quá bằng chứng, nhưng trong ứng dụng, chênh lệch dự báo giữa các mức khuyến mãi vẫn dễ bị đọc như tác động của khuyến mãi, và nhãn rủi ro tồn kho mô phỏng dễ bị đọc như tình trạng thiếu hàng thực tế. Khoảng trống thứ ba nằm ở cách đánh giá khoảng dự báo. Tài liệu về dự báo xác suất nhấn mạnh hiệu chỉnh và độ sắc nét, song trong ứng dụng, độ bao phủ thường chỉ được báo cáo ở cấp tổng thể; một con số tổng gần mức danh nghĩa có thể che giấu tình trạng bao phủ rất thấp ở các chuỗi quy mô lớn và gần tuyệt đối ở các chuỗi nhỏ. Lý do là nếu dùng một bộ phân vị phần dư chung cho mọi chuỗi thì độ rộng khoảng gần như bằng nhau bất kể quy mô, quá rộng cho chuỗi nhỏ và quá hẹp cho chuỗi lớn, trong khi chuỗi lớn lại quyết định phần lớn tổng nhu cầu: trên tập kiểm tra cuối, nhóm nhu cầu cao nhất chiếm 92,70% tổng thực tế. Ngay cả với khoảng theo nhóm quy mô, kết quả thực nghiệm vẫn cho thấy bao phủ khác nhau đáng kể giữa các nhóm con: 75,40% ở cấp tổng thể nhưng 70,86% ở nhóm nhu cầu thấp nhất, 72,77% ở nhóm cao nhất, và chỉ 67,36% ở GROCERY I, 60,53% ở BEVERAGES, hai nhóm sản phẩm lớn nhất. Vì hiện tượng chỉ lộ ra khi phân rã, luận văn đưa bước chẩn đoán phân rã vào khung phân tích.</w:t>
      </w:r>
    </w:p>
    <w:p>
      <w:pPr>
        <w:keepLines w:val="0"/>
        <w:spacing w:after="120"/>
        <w:ind w:firstLine="567"/>
      </w:pPr>
      <w:r>
        <w:t xml:space="preserve">Khoảng trống thứ tư xuất phát từ sự phát triển nhanh của Generative AI. Các nguyên tắc về RAG, ảo giác và HITL đã được thảo luận rộng rãi, song cách gắn một lớp diễn giải bằng ngôn ngữ tự nhiên vào sau một quy trình dự báo định lượng sao cho lớp này không trở thành nguồn tạo số liệu mới vẫn cần được cụ thể hóa ở cấp kiến trúc: đầu vào là gì, được viết lại phần nào, con số được so khớp với bằng chứng ra sao, và dấu vết phê duyệt được lưu ở đâu. Khoảng trống thứ năm là khả năng tái lập cùng với kiểm thử. Nghiên cứu ứng dụng thường chỉ công bố kết quả cuối, ít khi kèm một quy trình có thể chạy lại trọn vẹn từ dữ liệu gốc, các kiểm thử tự động cho những ràng buộc phương pháp, hay phân tích mức nhạy của kết quả trước từng lựa chọn thiết kế; khi đó người đọc khó phân biệt kết luận phản ánh phương pháp với kết luận phụ thuộc vào chi tiết triển khai như cỡ mẫu huấn luyện hay một tham số lấy mẫu. Luận văn không khẳng định các khoảng trống này chưa từng được giải quyết, mà xem chúng là những vấn đề chưa được tích hợp đầy đủ trong một quy trình thống nhất.</w:t>
      </w:r>
    </w:p>
    <w:p>
      <w:pPr>
        <w:pStyle w:val="Heading3"/>
        <w:keepNext/>
      </w:pPr>
      <w:r>
        <w:t xml:space="preserve">2.17.2. Khung phân tích của luận văn</w:t>
      </w:r>
    </w:p>
    <w:p>
      <w:pPr>
        <w:keepLines w:val="0"/>
        <w:spacing w:after="120"/>
        <w:ind w:firstLine="567"/>
      </w:pPr>
      <w:r>
        <w:t xml:space="preserve">Để đáp ứng các khoảng trống trên, luận văn xây dựng một khung phân tích gồm năm thành phần nối tiếp: dữ liệu, dự báo điểm, bất định, kịch bản và rủi ro, diễn giải có HITL. Bên cạnh đó là hai lớp cắt ngang. Lớp chẩn đoán sai số phân rã kết quả mà không tác động ngược lại; lớp kiểm thử và tái lập bảo đảm toàn bộ quy trình chạy lại được từ dữ liệu gốc, các ràng buộc phương pháp được kiểm tra tự động, và mức nhạy của kết quả trước các lựa chọn thiết kế chính được đo bằng thí nghiệm thay đổi từng yếu tố một. Mỗi thành phần chỉ sử dụng đầu ra đã được tạo ra và kiểm tra ở thành phần đứng trước, không quay ngược để điều chỉnh theo kết quả của thành phần sau. Nhờ đó, lựa chọn mô hình không chịu ảnh hưởng của tập kiểm tra cuối, và lớp diễn giải chỉ tiếp nhận con số do bộ máy định lượng tạo ra. Bảng 2.10 ánh xạ từng thành phần của khung sang khái niệm lý thuyết ở Chương 2, phương pháp triển khai ở Chương 3 và câu hỏi nghiên cứu tương ứng.</w:t>
      </w:r>
    </w:p>
    <w:p>
      <w:pPr>
        <w:keepNext/>
        <w:spacing w:before="120" w:after="60"/>
        <w:ind w:firstLine="0"/>
        <w:jc w:val="center"/>
      </w:pPr>
      <w:r>
        <w:t xml:space="preserve">Bảng 2.10. Khung phân tích của luận văn: thành phần, khái niệm lý thuyết, phương pháp triển khai và câu hỏi nghiên cứu</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57"/>
        <w:gridCol w:w="2825"/>
        <w:gridCol w:w="2849"/>
        <w:gridCol w:w="1540"/>
      </w:tblGrid>
      <w:tr>
        <w:trPr>
          <w:tblHeader/>
          <w:cantSplit/>
        </w:trPr>
        <w:tc>
          <w:tcPr>
            <w:tcW w:type="dxa" w:w="1857"/>
            <w:shd w:val="clear" w:color="auto" w:fill="D9E2F3"/>
            <w:vAlign w:val="center"/>
          </w:tcPr>
          <w:p>
            <w:pPr>
              <w:spacing w:before="20" w:after="20" w:line="260" w:lineRule="auto"/>
              <w:ind w:firstLine="0"/>
              <w:jc w:val="center"/>
            </w:pPr>
            <w:r>
              <w:rPr>
                <w:b/>
                <w:sz w:val="20"/>
                <w:szCs w:val="20"/>
              </w:rPr>
              <w:t xml:space="preserve">Thành phần khung</w:t>
            </w:r>
          </w:p>
        </w:tc>
        <w:tc>
          <w:tcPr>
            <w:tcW w:type="dxa" w:w="2825"/>
            <w:shd w:val="clear" w:color="auto" w:fill="D9E2F3"/>
            <w:vAlign w:val="center"/>
          </w:tcPr>
          <w:p>
            <w:pPr>
              <w:spacing w:before="20" w:after="20" w:line="260" w:lineRule="auto"/>
              <w:ind w:firstLine="0"/>
              <w:jc w:val="center"/>
            </w:pPr>
            <w:r>
              <w:rPr>
                <w:b/>
                <w:sz w:val="20"/>
                <w:szCs w:val="20"/>
              </w:rPr>
              <w:t xml:space="preserve">Khái niệm lý thuyết (Chương 2)</w:t>
            </w:r>
          </w:p>
        </w:tc>
        <w:tc>
          <w:tcPr>
            <w:tcW w:type="dxa" w:w="2849"/>
            <w:shd w:val="clear" w:color="auto" w:fill="D9E2F3"/>
            <w:vAlign w:val="center"/>
          </w:tcPr>
          <w:p>
            <w:pPr>
              <w:spacing w:before="20" w:after="20" w:line="260" w:lineRule="auto"/>
              <w:ind w:firstLine="0"/>
              <w:jc w:val="center"/>
            </w:pPr>
            <w:r>
              <w:rPr>
                <w:b/>
                <w:sz w:val="20"/>
                <w:szCs w:val="20"/>
              </w:rPr>
              <w:t xml:space="preserve">Phương pháp triển khai (Chương 3)</w:t>
            </w:r>
          </w:p>
        </w:tc>
        <w:tc>
          <w:tcPr>
            <w:tcW w:type="dxa" w:w="1540"/>
            <w:shd w:val="clear" w:color="auto" w:fill="D9E2F3"/>
            <w:vAlign w:val="center"/>
          </w:tcPr>
          <w:p>
            <w:pPr>
              <w:spacing w:before="20" w:after="20" w:line="260" w:lineRule="auto"/>
              <w:ind w:firstLine="0"/>
              <w:jc w:val="center"/>
            </w:pPr>
            <w:r>
              <w:rPr>
                <w:b/>
                <w:sz w:val="20"/>
                <w:szCs w:val="20"/>
              </w:rPr>
              <w:t xml:space="preserve">Câu hỏi nghiên cứu</w:t>
            </w:r>
          </w:p>
        </w:tc>
      </w:tr>
      <w:tr>
        <w:trPr>
          <w:cantSplit/>
        </w:trPr>
        <w:tc>
          <w:tcPr>
            <w:tcW w:type="dxa" w:w="1857"/>
            <w:vAlign w:val="center"/>
          </w:tcPr>
          <w:p>
            <w:pPr>
              <w:spacing w:before="20" w:after="20" w:line="260" w:lineRule="auto"/>
              <w:ind w:firstLine="0"/>
              <w:jc w:val="left"/>
            </w:pPr>
            <w:r>
              <w:rPr>
                <w:sz w:val="20"/>
                <w:szCs w:val="20"/>
              </w:rPr>
              <w:t xml:space="preserve">Dữ liệu và cấu trúc chuỗi</w:t>
            </w:r>
          </w:p>
        </w:tc>
        <w:tc>
          <w:tcPr>
            <w:tcW w:type="dxa" w:w="2825"/>
            <w:vAlign w:val="center"/>
          </w:tcPr>
          <w:p>
            <w:pPr>
              <w:spacing w:before="20" w:after="20" w:line="260" w:lineRule="auto"/>
              <w:ind w:firstLine="0"/>
              <w:jc w:val="left"/>
            </w:pPr>
            <w:r>
              <w:rPr>
                <w:sz w:val="20"/>
                <w:szCs w:val="20"/>
              </w:rPr>
              <w:t xml:space="preserve">Dữ liệu bảng theo thời gian; xu hướng, mùa vụ, Robust STL; cầu có nhiều giá trị bằng không</w:t>
            </w:r>
          </w:p>
        </w:tc>
        <w:tc>
          <w:tcPr>
            <w:tcW w:type="dxa" w:w="2849"/>
            <w:vAlign w:val="center"/>
          </w:tcPr>
          <w:p>
            <w:pPr>
              <w:spacing w:before="20" w:after="20" w:line="260" w:lineRule="auto"/>
              <w:ind w:firstLine="0"/>
              <w:jc w:val="left"/>
            </w:pPr>
            <w:r>
              <w:rPr>
                <w:sz w:val="20"/>
                <w:szCs w:val="20"/>
              </w:rPr>
              <w:t xml:space="preserve">Kiểm tra chất lượng dữ liệu; thống kê mô tả theo trạng thái khuyến mãi; chuỗi tổng theo ngày được điền đủ lịch và nội suy bốn ngày vắng trước khi phân rã Robust STL chu kỳ 7 ngày</w:t>
            </w:r>
          </w:p>
        </w:tc>
        <w:tc>
          <w:tcPr>
            <w:tcW w:type="dxa" w:w="1540"/>
            <w:vAlign w:val="center"/>
          </w:tcPr>
          <w:p>
            <w:pPr>
              <w:spacing w:before="20" w:after="20" w:line="260" w:lineRule="auto"/>
              <w:ind w:firstLine="0"/>
              <w:jc w:val="left"/>
            </w:pPr>
            <w:r>
              <w:rPr>
                <w:sz w:val="20"/>
                <w:szCs w:val="20"/>
              </w:rPr>
              <w:t xml:space="preserve">RQ1</w:t>
            </w:r>
          </w:p>
        </w:tc>
      </w:tr>
      <w:tr>
        <w:trPr>
          <w:cantSplit/>
        </w:trPr>
        <w:tc>
          <w:tcPr>
            <w:tcW w:type="dxa" w:w="1857"/>
            <w:vAlign w:val="center"/>
          </w:tcPr>
          <w:p>
            <w:pPr>
              <w:spacing w:before="20" w:after="20" w:line="260" w:lineRule="auto"/>
              <w:ind w:firstLine="0"/>
              <w:jc w:val="left"/>
            </w:pPr>
            <w:r>
              <w:rPr>
                <w:sz w:val="20"/>
                <w:szCs w:val="20"/>
              </w:rPr>
              <w:t xml:space="preserve">Dự báo điểm</w:t>
            </w:r>
          </w:p>
        </w:tc>
        <w:tc>
          <w:tcPr>
            <w:tcW w:type="dxa" w:w="2825"/>
            <w:vAlign w:val="center"/>
          </w:tcPr>
          <w:p>
            <w:pPr>
              <w:spacing w:before="20" w:after="20" w:line="260" w:lineRule="auto"/>
              <w:ind w:firstLine="0"/>
              <w:jc w:val="left"/>
            </w:pPr>
            <w:r>
              <w:rPr>
                <w:sz w:val="20"/>
                <w:szCs w:val="20"/>
              </w:rPr>
              <w:t xml:space="preserve">Mô hình toàn cục; Seasonal Naive, Ridge, Random Forest, XGBoost, LightGBM; rò rỉ dữ liệu; WAPE và các thước đo bổ sung</w:t>
            </w:r>
          </w:p>
        </w:tc>
        <w:tc>
          <w:tcPr>
            <w:tcW w:type="dxa" w:w="2849"/>
            <w:vAlign w:val="center"/>
          </w:tcPr>
          <w:p>
            <w:pPr>
              <w:spacing w:before="20" w:after="20" w:line="260" w:lineRule="auto"/>
              <w:ind w:firstLine="0"/>
              <w:jc w:val="left"/>
            </w:pPr>
            <w:r>
              <w:rPr>
                <w:sz w:val="20"/>
                <w:szCs w:val="20"/>
              </w:rPr>
              <w:t xml:space="preserve">Lịch ngày hoàn chỉnh với cờ closed; 31 đặc trưng gồm lịch, nhận diện, độ trễ theo ngày lịch, thống kê trượt dịch lùi 16 ngày và dữ liệu bổ sung tĩnh, lịch biết trước hoặc trễ ≥ 16 ngày lịch; lag_7, lag_14 chỉ dùng cho Seasonal Naive cố định gốc (29 đặc trưng cho học máy); Ridge sau StandardScaler; XGBoost, LightGBM trên toàn bộ dữ liệu, Random Forest trên mẫu 600.000 dòng; ba lần kiểm định cửa sổ mở rộng; chọn theo WAPE trung bình (hòa thì RMSE, MAE); khóa mô hình trước tập kiểm tra cuối 16 ngày</w:t>
            </w:r>
          </w:p>
        </w:tc>
        <w:tc>
          <w:tcPr>
            <w:tcW w:type="dxa" w:w="1540"/>
            <w:vAlign w:val="center"/>
          </w:tcPr>
          <w:p>
            <w:pPr>
              <w:spacing w:before="20" w:after="20" w:line="260" w:lineRule="auto"/>
              <w:ind w:firstLine="0"/>
              <w:jc w:val="left"/>
            </w:pPr>
            <w:r>
              <w:rPr>
                <w:sz w:val="20"/>
                <w:szCs w:val="20"/>
              </w:rPr>
              <w:t xml:space="preserve">RQ2</w:t>
            </w:r>
          </w:p>
        </w:tc>
      </w:tr>
      <w:tr>
        <w:trPr>
          <w:cantSplit/>
        </w:trPr>
        <w:tc>
          <w:tcPr>
            <w:tcW w:type="dxa" w:w="1857"/>
            <w:vAlign w:val="center"/>
          </w:tcPr>
          <w:p>
            <w:pPr>
              <w:spacing w:before="20" w:after="20" w:line="260" w:lineRule="auto"/>
              <w:ind w:firstLine="0"/>
              <w:jc w:val="left"/>
            </w:pPr>
            <w:r>
              <w:rPr>
                <w:sz w:val="20"/>
                <w:szCs w:val="20"/>
              </w:rPr>
              <w:t xml:space="preserve">Bất định</w:t>
            </w:r>
          </w:p>
        </w:tc>
        <w:tc>
          <w:tcPr>
            <w:tcW w:type="dxa" w:w="2825"/>
            <w:vAlign w:val="center"/>
          </w:tcPr>
          <w:p>
            <w:pPr>
              <w:spacing w:before="20" w:after="20" w:line="260" w:lineRule="auto"/>
              <w:ind w:firstLine="0"/>
              <w:jc w:val="left"/>
            </w:pPr>
            <w:r>
              <w:rPr>
                <w:sz w:val="20"/>
                <w:szCs w:val="20"/>
              </w:rPr>
              <w:t xml:space="preserve">Dự báo phân vị, hàm mất mát pinball, hiệu chỉnh và độ sắc nét, split conformal theo nhóm</w:t>
            </w:r>
          </w:p>
        </w:tc>
        <w:tc>
          <w:tcPr>
            <w:tcW w:type="dxa" w:w="2849"/>
            <w:vAlign w:val="center"/>
          </w:tcPr>
          <w:p>
            <w:pPr>
              <w:spacing w:before="20" w:after="20" w:line="260" w:lineRule="auto"/>
              <w:ind w:firstLine="0"/>
              <w:jc w:val="left"/>
            </w:pPr>
            <w:r>
              <w:rPr>
                <w:sz w:val="20"/>
                <w:szCs w:val="20"/>
              </w:rPr>
              <w:t xml:space="preserve">XGBoost cùng cấu hình huấn luyện trên dữ liệu trước cửa sổ hiệu chỉnh 16 ngày; tối đa 10 nhóm theo phân vị dự báo điểm; phân vị 0,1/0,5/0,9 của phần dư trong từng nhóm cộng vào dự báo điểm, chặn 0; đánh giá pinball, độ bao phủ, độ rộng</w:t>
            </w:r>
          </w:p>
        </w:tc>
        <w:tc>
          <w:tcPr>
            <w:tcW w:type="dxa" w:w="1540"/>
            <w:vAlign w:val="center"/>
          </w:tcPr>
          <w:p>
            <w:pPr>
              <w:spacing w:before="20" w:after="20" w:line="260" w:lineRule="auto"/>
              <w:ind w:firstLine="0"/>
              <w:jc w:val="left"/>
            </w:pPr>
            <w:r>
              <w:rPr>
                <w:sz w:val="20"/>
                <w:szCs w:val="20"/>
              </w:rPr>
              <w:t xml:space="preserve">RQ3</w:t>
            </w:r>
          </w:p>
        </w:tc>
      </w:tr>
      <w:tr>
        <w:trPr>
          <w:cantSplit/>
        </w:trPr>
        <w:tc>
          <w:tcPr>
            <w:tcW w:type="dxa" w:w="1857"/>
            <w:vAlign w:val="center"/>
          </w:tcPr>
          <w:p>
            <w:pPr>
              <w:spacing w:before="20" w:after="20" w:line="260" w:lineRule="auto"/>
              <w:ind w:firstLine="0"/>
              <w:jc w:val="left"/>
            </w:pPr>
            <w:r>
              <w:rPr>
                <w:sz w:val="20"/>
                <w:szCs w:val="20"/>
              </w:rPr>
              <w:t xml:space="preserve">Kịch bản và rủi ro</w:t>
            </w:r>
          </w:p>
        </w:tc>
        <w:tc>
          <w:tcPr>
            <w:tcW w:type="dxa" w:w="2825"/>
            <w:vAlign w:val="center"/>
          </w:tcPr>
          <w:p>
            <w:pPr>
              <w:spacing w:before="20" w:after="20" w:line="260" w:lineRule="auto"/>
              <w:ind w:firstLine="0"/>
              <w:jc w:val="left"/>
            </w:pPr>
            <w:r>
              <w:rPr>
                <w:sz w:val="20"/>
                <w:szCs w:val="20"/>
              </w:rPr>
              <w:t xml:space="preserve">Phân tích độ nhạy có điều kiện; phân biệt dự báo và nhân quả; newsvendor, tồn kho an toàn</w:t>
            </w:r>
          </w:p>
        </w:tc>
        <w:tc>
          <w:tcPr>
            <w:tcW w:type="dxa" w:w="2849"/>
            <w:vAlign w:val="center"/>
          </w:tcPr>
          <w:p>
            <w:pPr>
              <w:spacing w:before="20" w:after="20" w:line="260" w:lineRule="auto"/>
              <w:ind w:firstLine="0"/>
              <w:jc w:val="left"/>
            </w:pPr>
            <w:r>
              <w:rPr>
                <w:sz w:val="20"/>
                <w:szCs w:val="20"/>
              </w:rPr>
              <w:t xml:space="preserve">Năm kịch bản onpromotion (0, giữ nguyên, 1, 5, 10) với độ rộng P10/P90 theo từng dòng; cộng 16 ngày theo chuỗi; Cu = 3, Co = 1, q* = 0,75; ROP = P90, vị thế giả định 0,8 × P50; nhãn LOW/MEDIUM/HIGH theo r = (P90 − P10)/(P50 + 1) với ngưỡng 0,35 và 0,75</w:t>
            </w:r>
          </w:p>
        </w:tc>
        <w:tc>
          <w:tcPr>
            <w:tcW w:type="dxa" w:w="1540"/>
            <w:vAlign w:val="center"/>
          </w:tcPr>
          <w:p>
            <w:pPr>
              <w:spacing w:before="20" w:after="20" w:line="260" w:lineRule="auto"/>
              <w:ind w:firstLine="0"/>
              <w:jc w:val="left"/>
            </w:pPr>
            <w:r>
              <w:rPr>
                <w:sz w:val="20"/>
                <w:szCs w:val="20"/>
              </w:rPr>
              <w:t xml:space="preserve">RQ4</w:t>
            </w:r>
          </w:p>
        </w:tc>
      </w:tr>
      <w:tr>
        <w:trPr>
          <w:cantSplit/>
        </w:trPr>
        <w:tc>
          <w:tcPr>
            <w:tcW w:type="dxa" w:w="1857"/>
            <w:vAlign w:val="center"/>
          </w:tcPr>
          <w:p>
            <w:pPr>
              <w:spacing w:before="20" w:after="20" w:line="260" w:lineRule="auto"/>
              <w:ind w:firstLine="0"/>
              <w:jc w:val="left"/>
            </w:pPr>
            <w:r>
              <w:rPr>
                <w:sz w:val="20"/>
                <w:szCs w:val="20"/>
              </w:rPr>
              <w:t xml:space="preserve">Diễn giải có HITL</w:t>
            </w:r>
          </w:p>
        </w:tc>
        <w:tc>
          <w:tcPr>
            <w:tcW w:type="dxa" w:w="2825"/>
            <w:vAlign w:val="center"/>
          </w:tcPr>
          <w:p>
            <w:pPr>
              <w:spacing w:before="20" w:after="20" w:line="260" w:lineRule="auto"/>
              <w:ind w:firstLine="0"/>
              <w:jc w:val="left"/>
            </w:pPr>
            <w:r>
              <w:rPr>
                <w:sz w:val="20"/>
                <w:szCs w:val="20"/>
              </w:rPr>
              <w:t xml:space="preserve">RAG, ảo giác, con người trong vòng lặp, quản trị mô hình</w:t>
            </w:r>
          </w:p>
        </w:tc>
        <w:tc>
          <w:tcPr>
            <w:tcW w:type="dxa" w:w="2849"/>
            <w:vAlign w:val="center"/>
          </w:tcPr>
          <w:p>
            <w:pPr>
              <w:spacing w:before="20" w:after="20" w:line="260" w:lineRule="auto"/>
              <w:ind w:firstLine="0"/>
              <w:jc w:val="left"/>
            </w:pPr>
            <w:r>
              <w:rPr>
                <w:sz w:val="20"/>
                <w:szCs w:val="20"/>
              </w:rPr>
              <w:t xml:space="preserve">Phiếu khuyến nghị cho 1.782 chuỗi với điểm ưu tiên minh bạch và ba phương án số lượng; truy xuất BM25 + thẻ trên knowledge_base (chính sách mẫu); mô hình ngôn ngữ tùy chọn kèm kiểm tra bám bằng chứng, chế độ theo quy tắc khi không có khóa API; biểu mẫu phê duyệt trên dashboard ghi hitl_audit_log.csv 14 cột</w:t>
            </w:r>
          </w:p>
        </w:tc>
        <w:tc>
          <w:tcPr>
            <w:tcW w:type="dxa" w:w="1540"/>
            <w:vAlign w:val="center"/>
          </w:tcPr>
          <w:p>
            <w:pPr>
              <w:spacing w:before="20" w:after="20" w:line="260" w:lineRule="auto"/>
              <w:ind w:firstLine="0"/>
              <w:jc w:val="left"/>
            </w:pPr>
            <w:r>
              <w:rPr>
                <w:sz w:val="20"/>
                <w:szCs w:val="20"/>
              </w:rPr>
              <w:t xml:space="preserve">RQ5</w:t>
            </w:r>
          </w:p>
        </w:tc>
      </w:tr>
      <w:tr>
        <w:trPr>
          <w:cantSplit/>
        </w:trPr>
        <w:tc>
          <w:tcPr>
            <w:tcW w:type="dxa" w:w="1857"/>
            <w:vAlign w:val="center"/>
          </w:tcPr>
          <w:p>
            <w:pPr>
              <w:spacing w:before="20" w:after="20" w:line="260" w:lineRule="auto"/>
              <w:ind w:firstLine="0"/>
              <w:jc w:val="left"/>
            </w:pPr>
            <w:r>
              <w:rPr>
                <w:sz w:val="20"/>
                <w:szCs w:val="20"/>
              </w:rPr>
              <w:t xml:space="preserve">Chẩn đoán sai số (cắt ngang)</w:t>
            </w:r>
          </w:p>
        </w:tc>
        <w:tc>
          <w:tcPr>
            <w:tcW w:type="dxa" w:w="2825"/>
            <w:vAlign w:val="center"/>
          </w:tcPr>
          <w:p>
            <w:pPr>
              <w:spacing w:before="20" w:after="20" w:line="260" w:lineRule="auto"/>
              <w:ind w:firstLine="0"/>
              <w:jc w:val="left"/>
            </w:pPr>
            <w:r>
              <w:rPr>
                <w:sz w:val="20"/>
                <w:szCs w:val="20"/>
              </w:rPr>
              <w:t xml:space="preserve">Hiệu chỉnh theo nhóm con; độ chệch; đánh giá phân rã</w:t>
            </w:r>
          </w:p>
        </w:tc>
        <w:tc>
          <w:tcPr>
            <w:tcW w:type="dxa" w:w="2849"/>
            <w:vAlign w:val="center"/>
          </w:tcPr>
          <w:p>
            <w:pPr>
              <w:spacing w:before="20" w:after="20" w:line="260" w:lineRule="auto"/>
              <w:ind w:firstLine="0"/>
              <w:jc w:val="left"/>
            </w:pPr>
            <w:r>
              <w:rPr>
                <w:sz w:val="20"/>
                <w:szCs w:val="20"/>
              </w:rPr>
              <w:t xml:space="preserve">Sai số và độ bao phủ theo cửa hàng, nhóm sản phẩm, chuỗi và tứ phân vị nhu cầu; bốn trường hợp đại diện chọn tự động</w:t>
            </w:r>
          </w:p>
        </w:tc>
        <w:tc>
          <w:tcPr>
            <w:tcW w:type="dxa" w:w="1540"/>
            <w:vAlign w:val="center"/>
          </w:tcPr>
          <w:p>
            <w:pPr>
              <w:spacing w:before="20" w:after="20" w:line="260" w:lineRule="auto"/>
              <w:ind w:firstLine="0"/>
              <w:jc w:val="left"/>
            </w:pPr>
            <w:r>
              <w:rPr>
                <w:sz w:val="20"/>
                <w:szCs w:val="20"/>
              </w:rPr>
              <w:t xml:space="preserve">RQ2, RQ3</w:t>
            </w:r>
          </w:p>
        </w:tc>
      </w:tr>
      <w:tr>
        <w:trPr>
          <w:cantSplit/>
        </w:trPr>
        <w:tc>
          <w:tcPr>
            <w:tcW w:type="dxa" w:w="1857"/>
            <w:vAlign w:val="center"/>
          </w:tcPr>
          <w:p>
            <w:pPr>
              <w:spacing w:before="20" w:after="20" w:line="260" w:lineRule="auto"/>
              <w:ind w:firstLine="0"/>
              <w:jc w:val="left"/>
            </w:pPr>
            <w:r>
              <w:rPr>
                <w:sz w:val="20"/>
                <w:szCs w:val="20"/>
              </w:rPr>
              <w:t xml:space="preserve">Tái lập, kiểm thử và thí nghiệm độ nhạy (cắt ngang)</w:t>
            </w:r>
          </w:p>
        </w:tc>
        <w:tc>
          <w:tcPr>
            <w:tcW w:type="dxa" w:w="2825"/>
            <w:vAlign w:val="center"/>
          </w:tcPr>
          <w:p>
            <w:pPr>
              <w:spacing w:before="20" w:after="20" w:line="260" w:lineRule="auto"/>
              <w:ind w:firstLine="0"/>
              <w:jc w:val="left"/>
            </w:pPr>
            <w:r>
              <w:rPr>
                <w:sz w:val="20"/>
                <w:szCs w:val="20"/>
              </w:rPr>
              <w:t xml:space="preserve">Rò rỉ dữ liệu; nợ kỹ thuật ẩn; sai lầm đánh giá; phân tích độ nhạy</w:t>
            </w:r>
          </w:p>
        </w:tc>
        <w:tc>
          <w:tcPr>
            <w:tcW w:type="dxa" w:w="2849"/>
            <w:vAlign w:val="center"/>
          </w:tcPr>
          <w:p>
            <w:pPr>
              <w:spacing w:before="20" w:after="20" w:line="260" w:lineRule="auto"/>
              <w:ind w:firstLine="0"/>
              <w:jc w:val="left"/>
            </w:pPr>
            <w:r>
              <w:rPr>
                <w:sz w:val="20"/>
                <w:szCs w:val="20"/>
              </w:rPr>
              <w:t xml:space="preserve">Chạy tuần tự Stage 01–14 từ train.csv (START_WINDOWS.bat); smoke test Stage 10 kiểm tra đủ đầu ra và các ràng buộc phương pháp; tests/test_core.py; Streamlit AppTest cho 11 trang dashboard; kiểm thử luồng mô hình ngôn ngữ bằng mô phỏng; Stage 14 thay đổi đúng một yếu tố mỗi cấu hình (XGBoost trên mẫu 600.000 dòng; LightGBM không đặt subsample_freq) trên cùng ba lần kiểm định</w:t>
            </w:r>
          </w:p>
        </w:tc>
        <w:tc>
          <w:tcPr>
            <w:tcW w:type="dxa" w:w="1540"/>
            <w:vAlign w:val="center"/>
          </w:tcPr>
          <w:p>
            <w:pPr>
              <w:spacing w:before="20" w:after="20" w:line="260" w:lineRule="auto"/>
              <w:ind w:firstLine="0"/>
              <w:jc w:val="left"/>
            </w:pPr>
            <w:r>
              <w:rPr>
                <w:sz w:val="20"/>
                <w:szCs w:val="20"/>
              </w:rPr>
              <w:t xml:space="preserve">RQ2–RQ5 (độ tin cậy của bằng chứng)</w:t>
            </w:r>
          </w:p>
        </w:tc>
      </w:tr>
    </w:tbl>
    <w:p>
      <w:pPr>
        <w:spacing w:before="40" w:after="160"/>
        <w:ind w:firstLine="0"/>
      </w:pPr>
      <w:r>
        <w:rPr>
          <w:i/>
          <w:sz w:val="22"/>
          <w:szCs w:val="22"/>
        </w:rPr>
        <w:t xml:space="preserve">Nguồn: tổng hợp của tác giả dựa trên mã nguồn và tệp kết quả của quy trình.</w:t>
      </w:r>
    </w:p>
    <w:p>
      <w:pPr>
        <w:keepLines w:val="0"/>
        <w:spacing w:after="120"/>
        <w:ind w:firstLine="567"/>
      </w:pPr>
      <w:r>
        <w:t xml:space="preserve">Đọc theo chiều dọc, khung phân tích cho thấy mỗi câu hỏi nghiên cứu có một loại bằng chứng riêng. RQ1 dựa trên bằng chứng mô tả về dữ liệu; RQ2 dựa trên độ chính xác và độ ổn định qua các lần kiểm định, kiểm tra lại trên tập kiểm tra cuối; RQ3 dựa trên chất lượng phân phối dự báo ở cấp tổng thể và phân rã; RQ4 dựa trên bằng chứng mô phỏng dưới giả định ghi rõ; RQ5 dựa trên bằng chứng về kiến trúc và luồng kiểm soát. Đọc theo chiều ngang, mỗi thành phần gắn một khái niệm lý thuyết với một lựa chọn phương pháp cụ thể. Hai lớp cắt ngang không trả lời riêng câu hỏi nào nhưng quyết định mức tin cậy của câu trả lời: chẩn đoán phân rã kiểm tra kết luận tổng thể có đúng ở từng nhóm, còn lớp kiểm thử và tái lập kiểm tra con số có được tạo ra đúng như thiết kế và kết luận có nhạy cảm trước các lựa chọn thiết kế hay không.</w:t>
      </w:r>
    </w:p>
    <w:p>
      <w:pPr>
        <w:keepLines w:val="0"/>
        <w:spacing w:after="120"/>
        <w:ind w:firstLine="567"/>
      </w:pPr>
      <w:r>
        <w:t xml:space="preserve">Khung phân tích không chỉ là một sơ đồ khái niệm mà được hiện thực hóa thành chuỗi tệp mã chạy tuần tự, mỗi tệp ghi đầu ra vào một thư mục riêng trong outputs/. Bảng 2.11 đối chiếu các thành phần của khung với tệp mã và tệp kết quả chính của lần chạy chính thức. Việc đối chiếu này có ba tác dụng. Thứ nhất, nó cho phép kiểm tra luồng thông tin thực sự đi một chiều. Thứ hai, nó cho thấy các ràng buộc phương pháp được kiểm tra tự động trên chính các tệp đầu ra: smoke test ở Stage 10 yêu cầu model_selection.json ghi nhận tập kiểm tra cuối không được dùng để chọn mô hình, P10 ≤ P50 ≤ P90 ở mọi dòng và không có phân vị bị thiếu. Thứ ba, nó chỉ ra rằng các bảng và hình dùng trong luận văn được Stage 13 sinh trực tiếp từ outputs/, nên mọi con số ở các chương sau truy ngược được về một tệp kết quả.</w:t>
      </w:r>
    </w:p>
    <w:p>
      <w:pPr>
        <w:keepNext/>
        <w:spacing w:before="120" w:after="60"/>
        <w:ind w:firstLine="0"/>
        <w:jc w:val="center"/>
      </w:pPr>
      <w:r>
        <w:t xml:space="preserve">Bảng 2.11. Hiện thực hóa khung phân tích thành các giai đoạn của quy trình thực nghiệm</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75"/>
        <w:gridCol w:w="3355"/>
        <w:gridCol w:w="3641"/>
      </w:tblGrid>
      <w:tr>
        <w:trPr>
          <w:tblHeader/>
          <w:cantSplit/>
        </w:trPr>
        <w:tc>
          <w:tcPr>
            <w:tcW w:type="dxa" w:w="2075"/>
            <w:shd w:val="clear" w:color="auto" w:fill="D9E2F3"/>
            <w:vAlign w:val="center"/>
          </w:tcPr>
          <w:p>
            <w:pPr>
              <w:spacing w:before="20" w:after="20" w:line="260" w:lineRule="auto"/>
              <w:ind w:firstLine="0"/>
              <w:jc w:val="center"/>
            </w:pPr>
            <w:r>
              <w:rPr>
                <w:b/>
                <w:sz w:val="20"/>
                <w:szCs w:val="20"/>
              </w:rPr>
              <w:t xml:space="preserve">Thành phần khung</w:t>
            </w:r>
          </w:p>
        </w:tc>
        <w:tc>
          <w:tcPr>
            <w:tcW w:type="dxa" w:w="3355"/>
            <w:shd w:val="clear" w:color="auto" w:fill="D9E2F3"/>
            <w:vAlign w:val="center"/>
          </w:tcPr>
          <w:p>
            <w:pPr>
              <w:spacing w:before="20" w:after="20" w:line="260" w:lineRule="auto"/>
              <w:ind w:firstLine="0"/>
              <w:jc w:val="center"/>
            </w:pPr>
            <w:r>
              <w:rPr>
                <w:b/>
                <w:sz w:val="20"/>
                <w:szCs w:val="20"/>
              </w:rPr>
              <w:t xml:space="preserve">Tệp mã</w:t>
            </w:r>
          </w:p>
        </w:tc>
        <w:tc>
          <w:tcPr>
            <w:tcW w:type="dxa" w:w="3641"/>
            <w:shd w:val="clear" w:color="auto" w:fill="D9E2F3"/>
            <w:vAlign w:val="center"/>
          </w:tcPr>
          <w:p>
            <w:pPr>
              <w:spacing w:before="20" w:after="20" w:line="260" w:lineRule="auto"/>
              <w:ind w:firstLine="0"/>
              <w:jc w:val="center"/>
            </w:pPr>
            <w:r>
              <w:rPr>
                <w:b/>
                <w:sz w:val="20"/>
                <w:szCs w:val="20"/>
              </w:rPr>
              <w:t xml:space="preserve">Đầu ra chính</w:t>
            </w:r>
          </w:p>
        </w:tc>
      </w:tr>
      <w:tr>
        <w:trPr>
          <w:cantSplit/>
        </w:trPr>
        <w:tc>
          <w:tcPr>
            <w:tcW w:type="dxa" w:w="2075"/>
            <w:vAlign w:val="center"/>
          </w:tcPr>
          <w:p>
            <w:pPr>
              <w:spacing w:before="20" w:after="20" w:line="260" w:lineRule="auto"/>
              <w:ind w:firstLine="0"/>
              <w:jc w:val="left"/>
            </w:pPr>
            <w:r>
              <w:rPr>
                <w:sz w:val="20"/>
                <w:szCs w:val="20"/>
              </w:rPr>
              <w:t xml:space="preserve">Dữ liệu và cấu trúc chuỗi</w:t>
            </w:r>
          </w:p>
        </w:tc>
        <w:tc>
          <w:tcPr>
            <w:tcW w:type="dxa" w:w="3355"/>
            <w:vAlign w:val="center"/>
          </w:tcPr>
          <w:p>
            <w:pPr>
              <w:spacing w:before="20" w:after="20" w:line="260" w:lineRule="auto"/>
              <w:ind w:firstLine="0"/>
              <w:jc w:val="left"/>
            </w:pPr>
            <w:r>
              <w:rPr>
                <w:sz w:val="20"/>
                <w:szCs w:val="20"/>
              </w:rPr>
              <w:t xml:space="preserve">01_data_validation.py; 02_eda_decomposition.py</w:t>
            </w:r>
          </w:p>
        </w:tc>
        <w:tc>
          <w:tcPr>
            <w:tcW w:type="dxa" w:w="3641"/>
            <w:vAlign w:val="center"/>
          </w:tcPr>
          <w:p>
            <w:pPr>
              <w:spacing w:before="20" w:after="20" w:line="260" w:lineRule="auto"/>
              <w:ind w:firstLine="0"/>
              <w:jc w:val="left"/>
            </w:pPr>
            <w:r>
              <w:rPr>
                <w:sz w:val="20"/>
                <w:szCs w:val="20"/>
              </w:rPr>
              <w:t xml:space="preserve">outputs/01_data_validation/data_quality.csv, daily_aggregate.csv; outputs/02_eda_decomposition/promotion_descriptive.csv, stl_weekly.csv</w:t>
            </w:r>
          </w:p>
        </w:tc>
      </w:tr>
      <w:tr>
        <w:trPr>
          <w:cantSplit/>
        </w:trPr>
        <w:tc>
          <w:tcPr>
            <w:tcW w:type="dxa" w:w="2075"/>
            <w:vAlign w:val="center"/>
          </w:tcPr>
          <w:p>
            <w:pPr>
              <w:spacing w:before="20" w:after="20" w:line="260" w:lineRule="auto"/>
              <w:ind w:firstLine="0"/>
              <w:jc w:val="left"/>
            </w:pPr>
            <w:r>
              <w:rPr>
                <w:sz w:val="20"/>
                <w:szCs w:val="20"/>
              </w:rPr>
              <w:t xml:space="preserve">Dự báo điểm</w:t>
            </w:r>
          </w:p>
        </w:tc>
        <w:tc>
          <w:tcPr>
            <w:tcW w:type="dxa" w:w="3355"/>
            <w:vAlign w:val="center"/>
          </w:tcPr>
          <w:p>
            <w:pPr>
              <w:spacing w:before="20" w:after="20" w:line="260" w:lineRule="auto"/>
              <w:ind w:firstLine="0"/>
              <w:jc w:val="left"/>
            </w:pPr>
            <w:r>
              <w:rPr>
                <w:sz w:val="20"/>
                <w:szCs w:val="20"/>
              </w:rPr>
              <w:t xml:space="preserve">03_feature_engineering.py; 04_train_compare_5_models.py</w:t>
            </w:r>
          </w:p>
        </w:tc>
        <w:tc>
          <w:tcPr>
            <w:tcW w:type="dxa" w:w="3641"/>
            <w:vAlign w:val="center"/>
          </w:tcPr>
          <w:p>
            <w:pPr>
              <w:spacing w:before="20" w:after="20" w:line="260" w:lineRule="auto"/>
              <w:ind w:firstLine="0"/>
              <w:jc w:val="left"/>
            </w:pPr>
            <w:r>
              <w:rPr>
                <w:sz w:val="20"/>
                <w:szCs w:val="20"/>
              </w:rPr>
              <w:t xml:space="preserve">outputs/03_feature_engineering/feature_list.csv, optional_features_used.csv; outputs/04_model_comparison/rolling_cv_metrics.csv, model_comparison_summary.csv, final_holdout_metrics.csv, model_selection.json, selected_model_feature_importance.csv, lightgbm_feature_importance.csv</w:t>
            </w:r>
          </w:p>
        </w:tc>
      </w:tr>
      <w:tr>
        <w:trPr>
          <w:cantSplit/>
        </w:trPr>
        <w:tc>
          <w:tcPr>
            <w:tcW w:type="dxa" w:w="2075"/>
            <w:vAlign w:val="center"/>
          </w:tcPr>
          <w:p>
            <w:pPr>
              <w:spacing w:before="20" w:after="20" w:line="260" w:lineRule="auto"/>
              <w:ind w:firstLine="0"/>
              <w:jc w:val="left"/>
            </w:pPr>
            <w:r>
              <w:rPr>
                <w:sz w:val="20"/>
                <w:szCs w:val="20"/>
              </w:rPr>
              <w:t xml:space="preserve">Bất định</w:t>
            </w:r>
          </w:p>
        </w:tc>
        <w:tc>
          <w:tcPr>
            <w:tcW w:type="dxa" w:w="3355"/>
            <w:vAlign w:val="center"/>
          </w:tcPr>
          <w:p>
            <w:pPr>
              <w:spacing w:before="20" w:after="20" w:line="260" w:lineRule="auto"/>
              <w:ind w:firstLine="0"/>
              <w:jc w:val="left"/>
            </w:pPr>
            <w:r>
              <w:rPr>
                <w:sz w:val="20"/>
                <w:szCs w:val="20"/>
              </w:rPr>
              <w:t xml:space="preserve">05_probabilistic_forecasting.py</w:t>
            </w:r>
          </w:p>
        </w:tc>
        <w:tc>
          <w:tcPr>
            <w:tcW w:type="dxa" w:w="3641"/>
            <w:vAlign w:val="center"/>
          </w:tcPr>
          <w:p>
            <w:pPr>
              <w:spacing w:before="20" w:after="20" w:line="260" w:lineRule="auto"/>
              <w:ind w:firstLine="0"/>
              <w:jc w:val="left"/>
            </w:pPr>
            <w:r>
              <w:rPr>
                <w:sz w:val="20"/>
                <w:szCs w:val="20"/>
              </w:rPr>
              <w:t xml:space="preserve">outputs/05_probabilistic_forecast/probabilistic_predictions.parquet, conformal_bins.csv, probabilistic_metrics.csv, probabilistic_method.json</w:t>
            </w:r>
          </w:p>
        </w:tc>
      </w:tr>
      <w:tr>
        <w:trPr>
          <w:cantSplit/>
        </w:trPr>
        <w:tc>
          <w:tcPr>
            <w:tcW w:type="dxa" w:w="2075"/>
            <w:vAlign w:val="center"/>
          </w:tcPr>
          <w:p>
            <w:pPr>
              <w:spacing w:before="20" w:after="20" w:line="260" w:lineRule="auto"/>
              <w:ind w:firstLine="0"/>
              <w:jc w:val="left"/>
            </w:pPr>
            <w:r>
              <w:rPr>
                <w:sz w:val="20"/>
                <w:szCs w:val="20"/>
              </w:rPr>
              <w:t xml:space="preserve">Kịch bản và rủi ro</w:t>
            </w:r>
          </w:p>
        </w:tc>
        <w:tc>
          <w:tcPr>
            <w:tcW w:type="dxa" w:w="3355"/>
            <w:vAlign w:val="center"/>
          </w:tcPr>
          <w:p>
            <w:pPr>
              <w:spacing w:before="20" w:after="20" w:line="260" w:lineRule="auto"/>
              <w:ind w:firstLine="0"/>
              <w:jc w:val="left"/>
            </w:pPr>
            <w:r>
              <w:rPr>
                <w:sz w:val="20"/>
                <w:szCs w:val="20"/>
              </w:rPr>
              <w:t xml:space="preserve">06_promotion_scenarios.py; 07_inventory_decision.py</w:t>
            </w:r>
          </w:p>
        </w:tc>
        <w:tc>
          <w:tcPr>
            <w:tcW w:type="dxa" w:w="3641"/>
            <w:vAlign w:val="center"/>
          </w:tcPr>
          <w:p>
            <w:pPr>
              <w:spacing w:before="20" w:after="20" w:line="260" w:lineRule="auto"/>
              <w:ind w:firstLine="0"/>
              <w:jc w:val="left"/>
            </w:pPr>
            <w:r>
              <w:rPr>
                <w:sz w:val="20"/>
                <w:szCs w:val="20"/>
              </w:rPr>
              <w:t xml:space="preserve">outputs/06_promotion_scenarios/promotion_scenarios.csv, promotion_scenario_summary.csv; outputs/07_inventory_decision/inventory_recommendations.csv, inventory_assumptions.csv</w:t>
            </w:r>
          </w:p>
        </w:tc>
      </w:tr>
      <w:tr>
        <w:trPr>
          <w:cantSplit/>
        </w:trPr>
        <w:tc>
          <w:tcPr>
            <w:tcW w:type="dxa" w:w="2075"/>
            <w:vAlign w:val="center"/>
          </w:tcPr>
          <w:p>
            <w:pPr>
              <w:spacing w:before="20" w:after="20" w:line="260" w:lineRule="auto"/>
              <w:ind w:firstLine="0"/>
              <w:jc w:val="left"/>
            </w:pPr>
            <w:r>
              <w:rPr>
                <w:sz w:val="20"/>
                <w:szCs w:val="20"/>
              </w:rPr>
              <w:t xml:space="preserve">Diễn giải có HITL</w:t>
            </w:r>
          </w:p>
        </w:tc>
        <w:tc>
          <w:tcPr>
            <w:tcW w:type="dxa" w:w="3355"/>
            <w:vAlign w:val="center"/>
          </w:tcPr>
          <w:p>
            <w:pPr>
              <w:spacing w:before="20" w:after="20" w:line="260" w:lineRule="auto"/>
              <w:ind w:firstLine="0"/>
              <w:jc w:val="left"/>
            </w:pPr>
            <w:r>
              <w:rPr>
                <w:sz w:val="20"/>
                <w:szCs w:val="20"/>
              </w:rPr>
              <w:t xml:space="preserve">08_genai_decision_support.py; src/genai/decision.py, rag.py, assistant.py; knowledge_base/*.md; app.py</w:t>
            </w:r>
          </w:p>
        </w:tc>
        <w:tc>
          <w:tcPr>
            <w:tcW w:type="dxa" w:w="3641"/>
            <w:vAlign w:val="center"/>
          </w:tcPr>
          <w:p>
            <w:pPr>
              <w:spacing w:before="20" w:after="20" w:line="260" w:lineRule="auto"/>
              <w:ind w:firstLine="0"/>
              <w:jc w:val="left"/>
            </w:pPr>
            <w:r>
              <w:rPr>
                <w:sz w:val="20"/>
                <w:szCs w:val="20"/>
              </w:rPr>
              <w:t xml:space="preserve">outputs/08_genai_decision_support/decision_queue.csv, decision_cases.jsonl, genai_run_status.csv, decision_briefs/*.md; hitl_audit_log.csv (ghi khi phê duyệt trên dashboard)</w:t>
            </w:r>
          </w:p>
        </w:tc>
      </w:tr>
      <w:tr>
        <w:trPr>
          <w:cantSplit/>
        </w:trPr>
        <w:tc>
          <w:tcPr>
            <w:tcW w:type="dxa" w:w="2075"/>
            <w:vAlign w:val="center"/>
          </w:tcPr>
          <w:p>
            <w:pPr>
              <w:spacing w:before="20" w:after="20" w:line="260" w:lineRule="auto"/>
              <w:ind w:firstLine="0"/>
              <w:jc w:val="left"/>
            </w:pPr>
            <w:r>
              <w:rPr>
                <w:sz w:val="20"/>
                <w:szCs w:val="20"/>
              </w:rPr>
              <w:t xml:space="preserve">Chẩn đoán sai số</w:t>
            </w:r>
          </w:p>
        </w:tc>
        <w:tc>
          <w:tcPr>
            <w:tcW w:type="dxa" w:w="3355"/>
            <w:vAlign w:val="center"/>
          </w:tcPr>
          <w:p>
            <w:pPr>
              <w:spacing w:before="20" w:after="20" w:line="260" w:lineRule="auto"/>
              <w:ind w:firstLine="0"/>
              <w:jc w:val="left"/>
            </w:pPr>
            <w:r>
              <w:rPr>
                <w:sz w:val="20"/>
                <w:szCs w:val="20"/>
              </w:rPr>
              <w:t xml:space="preserve">11_forecast_diagnostics.py; 12_case_studies.py</w:t>
            </w:r>
          </w:p>
        </w:tc>
        <w:tc>
          <w:tcPr>
            <w:tcW w:type="dxa" w:w="3641"/>
            <w:vAlign w:val="center"/>
          </w:tcPr>
          <w:p>
            <w:pPr>
              <w:spacing w:before="20" w:after="20" w:line="260" w:lineRule="auto"/>
              <w:ind w:firstLine="0"/>
              <w:jc w:val="left"/>
            </w:pPr>
            <w:r>
              <w:rPr>
                <w:sz w:val="20"/>
                <w:szCs w:val="20"/>
              </w:rPr>
              <w:t xml:space="preserve">outputs/11_forecast_diagnostics/error_by_demand_level.csv, error_by_store.csv, error_by_family.csv, error_by_series.csv, representative_cases.csv; outputs/12_case_studies/case_study_metrics.csv, promotion_sensitivity_by_series.csv</w:t>
            </w:r>
          </w:p>
        </w:tc>
      </w:tr>
      <w:tr>
        <w:trPr>
          <w:cantSplit/>
        </w:trPr>
        <w:tc>
          <w:tcPr>
            <w:tcW w:type="dxa" w:w="2075"/>
            <w:vAlign w:val="center"/>
          </w:tcPr>
          <w:p>
            <w:pPr>
              <w:spacing w:before="20" w:after="20" w:line="260" w:lineRule="auto"/>
              <w:ind w:firstLine="0"/>
              <w:jc w:val="left"/>
            </w:pPr>
            <w:r>
              <w:rPr>
                <w:sz w:val="20"/>
                <w:szCs w:val="20"/>
              </w:rPr>
              <w:t xml:space="preserve">Tổng hợp và bảng, hình cho luận văn</w:t>
            </w:r>
          </w:p>
        </w:tc>
        <w:tc>
          <w:tcPr>
            <w:tcW w:type="dxa" w:w="3355"/>
            <w:vAlign w:val="center"/>
          </w:tcPr>
          <w:p>
            <w:pPr>
              <w:spacing w:before="20" w:after="20" w:line="260" w:lineRule="auto"/>
              <w:ind w:firstLine="0"/>
              <w:jc w:val="left"/>
            </w:pPr>
            <w:r>
              <w:rPr>
                <w:sz w:val="20"/>
                <w:szCs w:val="20"/>
              </w:rPr>
              <w:t xml:space="preserve">09_build_research_summary.py; 13_build_report_ready.py</w:t>
            </w:r>
          </w:p>
        </w:tc>
        <w:tc>
          <w:tcPr>
            <w:tcW w:type="dxa" w:w="3641"/>
            <w:vAlign w:val="center"/>
          </w:tcPr>
          <w:p>
            <w:pPr>
              <w:spacing w:before="20" w:after="20" w:line="260" w:lineRule="auto"/>
              <w:ind w:firstLine="0"/>
              <w:jc w:val="left"/>
            </w:pPr>
            <w:r>
              <w:rPr>
                <w:sz w:val="20"/>
                <w:szCs w:val="20"/>
              </w:rPr>
              <w:t xml:space="preserve">outputs/09_research_summary/research_summary.json; REPORT_READY/tables (23 CSV), REPORT_READY/figures (27 hình)</w:t>
            </w:r>
          </w:p>
        </w:tc>
      </w:tr>
      <w:tr>
        <w:trPr>
          <w:cantSplit/>
        </w:trPr>
        <w:tc>
          <w:tcPr>
            <w:tcW w:type="dxa" w:w="2075"/>
            <w:vAlign w:val="center"/>
          </w:tcPr>
          <w:p>
            <w:pPr>
              <w:spacing w:before="20" w:after="20" w:line="260" w:lineRule="auto"/>
              <w:ind w:firstLine="0"/>
              <w:jc w:val="left"/>
            </w:pPr>
            <w:r>
              <w:rPr>
                <w:sz w:val="20"/>
                <w:szCs w:val="20"/>
              </w:rPr>
              <w:t xml:space="preserve">Tái lập, kiểm thử và thí nghiệm độ nhạy</w:t>
            </w:r>
          </w:p>
        </w:tc>
        <w:tc>
          <w:tcPr>
            <w:tcW w:type="dxa" w:w="3355"/>
            <w:vAlign w:val="center"/>
          </w:tcPr>
          <w:p>
            <w:pPr>
              <w:spacing w:before="20" w:after="20" w:line="260" w:lineRule="auto"/>
              <w:ind w:firstLine="0"/>
              <w:jc w:val="left"/>
            </w:pPr>
            <w:r>
              <w:rPr>
                <w:sz w:val="20"/>
                <w:szCs w:val="20"/>
              </w:rPr>
              <w:t xml:space="preserve">START_WINDOWS.bat; 10_pipeline_smoke_test.py; tests/test_core.py; 14_sensitivity_experiments.py</w:t>
            </w:r>
          </w:p>
        </w:tc>
        <w:tc>
          <w:tcPr>
            <w:tcW w:type="dxa" w:w="3641"/>
            <w:vAlign w:val="center"/>
          </w:tcPr>
          <w:p>
            <w:pPr>
              <w:spacing w:before="20" w:after="20" w:line="260" w:lineRule="auto"/>
              <w:ind w:firstLine="0"/>
              <w:jc w:val="left"/>
            </w:pPr>
            <w:r>
              <w:rPr>
                <w:sz w:val="20"/>
                <w:szCs w:val="20"/>
              </w:rPr>
              <w:t xml:space="preserve">Kết quả smoke test (PASS) và kiểm thử đơn vị (4/4 test đạt); outputs/14_sensitivity/sensitivity_cv.csv</w:t>
            </w:r>
          </w:p>
        </w:tc>
      </w:tr>
    </w:tbl>
    <w:p>
      <w:pPr>
        <w:spacing w:before="40" w:after="160"/>
        <w:ind w:firstLine="0"/>
      </w:pPr>
      <w:r>
        <w:rPr>
          <w:i/>
          <w:sz w:val="22"/>
          <w:szCs w:val="22"/>
        </w:rPr>
        <w:t xml:space="preserve">Nguồn: tổng hợp của tác giả từ mã nguồn và cấu trúc thư mục outputs/, REPORT_READY/ của quy trình.</w:t>
      </w:r>
    </w:p>
    <w:p>
      <w:pPr>
        <w:pStyle w:val="Heading3"/>
        <w:keepNext/>
      </w:pPr>
      <w:r>
        <w:t xml:space="preserve">2.17.3. Giả định và ranh giới của khung phân tích</w:t>
      </w:r>
    </w:p>
    <w:p>
      <w:pPr>
        <w:keepLines w:val="0"/>
        <w:spacing w:after="120"/>
        <w:ind w:firstLine="567"/>
      </w:pPr>
      <w:r>
        <w:t xml:space="preserve">Khung phân tích vận hành dựa trên một số giả định cần được nêu rõ. Thứ nhất, onpromotion của kỳ dự báo được xem như biến có kế hoạch, tức số mặt hàng được khuyến mãi được giả định là biết trước tại thời điểm dự báo; các đặc trưng từ giá dầu và số giao dịch chỉ được dùng ở dạng trễ tối thiểu 16 ngày lịch. Thứ hai, lớp tồn kho sử dụng các tham số chi phí minh họa Cu = 3, Co = 1, lấy P90 làm điểm đặt hàng lại và giả định vị thế tồn kho bằng 0,8 × P50 thay vì dữ liệu vận hành thực tế; vì thế lượng bổ sung gợi ý chứa một phần chỉ do giả định vị thế tạo ra, đúng bằng 0,2 × P50, chiếm 46,24% tổng lượng bổ sung trong lần chạy. Thứ ba, lớp bất định hiệu chỉnh trên một cửa sổ duy nhất trùng lần kiểm định thứ ba, nên chất lượng khoảng phụ thuộc vào mức tương đồng giữa giai đoạn hiệu chỉnh và kiểm tra. Thứ tư, cơ sở tri thức của lớp truy xuất gồm các chính sách mẫu do tác giả soạn để minh họa, không phải chính sách của Favorita.</w:t>
      </w:r>
    </w:p>
    <w:p>
      <w:pPr>
        <w:keepLines w:val="0"/>
        <w:spacing w:after="120"/>
        <w:ind w:firstLine="567"/>
      </w:pPr>
      <w:r>
        <w:t xml:space="preserve">Các giả định trên kéo theo những hệ quả mà khung phân tích buộc phải làm rõ thay vì che đi. Mặc dù độ rộng khoảng dự báo thay đổi theo quy mô, nhãn rủi ro dựa trên r = (P90 − P10)/(P50 + 1) với ngưỡng cố định 0,35 và 0,75 vẫn là mức bất định tương đối so với quy mô dự báo, nên vẫn gắn chặt với quy mô chuỗi (hệ số Spearman giữa P50 và r bằng −0,970): nhãn HIGH chủ yếu rơi vào các chuỗi có P50 nhỏ, và nhãn không phản ánh việc so sánh tồn kho thực với mục tiêu. Độ bao phủ tổng 75,40% thấp hơn mức danh nghĩa 80%, nhóm nhu cầu thấp nhất chỉ đạt 70,86%. Kịch bản khuyến mãi vẫn có ngoại suy: 783 chuỗi (tính trên các chuỗi có P50 hiện tại lớn hơn 0) có P50 kịch bản High lệch quá 100% so với hiện tại, và 809 phiếu mang cảnh báo ngoại suy. Ngoài ra, điểm đặt hàng lại lấy P90 thay vì phân vị q* = 0,75, và tổng các phân vị theo ngày không phải phân vị của tổng nhu cầu 16 ngày. Đây là các giới hạn của thiết kế, được phân tích cùng kết quả ở Chương 4 và tổng hợp tại mục 5.8.</w:t>
      </w:r>
    </w:p>
    <w:p>
      <w:pPr>
        <w:keepLines w:val="0"/>
        <w:spacing w:after="120"/>
        <w:ind w:firstLine="567"/>
      </w:pPr>
      <w:r>
        <w:t xml:space="preserve">Ranh giới quan trọng nhất của khung là sự phân biệt giữa bằng chứng thực nghiệm, bằng chứng mô phỏng, bằng chứng thiết kế và bằng chứng tái lập. Các thành phần dữ liệu, dự báo điểm và bất định tạo ra bằng chứng thực nghiệm có thể kiểm chứng bằng số liệu ngoài mẫu, dù chỉ trên ba lần kiểm định và không có tinh chỉnh siêu tham số. Thành phần kịch bản và rủi ro tạo ra bằng chứng mô phỏng, có giá trị sàng lọc và xếp ưu tiên hơn là giá trị chính sách. Thành phần diễn giải có HITL vận hành ở chế độ theo quy tắc và chưa có quyết định phê duyệt thật, nên cung cấp bằng chứng thiết kế về kiến trúc và luồng kiểm soát. Lớp kiểm thử và tái lập cho thấy con số được tạo ra đúng như thiết kế mô tả và thí nghiệm độ nhạy cho biết mức phụ thuộc của kết quả vào cỡ mẫu huấn luyện hay tham số lấy mẫu, dù chỉ trên ba lần kiểm định; đồng thời khác biệt phiên bản thư viện giữa môi trường chạy và.venv của thư mục có thể làm XGBoost, Random Forest lệch nhỏ. Ranh giới này giúp Chương 4 và Chương 5 trình bày kết quả đúng bản chất từng loại bằng chứng.</w:t>
      </w:r>
    </w:p>
    <w:p>
      <w:pPr>
        <w:pStyle w:val="Heading2"/>
        <w:keepNext/>
      </w:pPr>
      <w:r>
        <w:t xml:space="preserve">2.18. Tiểu kết Chương 2</w:t>
      </w:r>
    </w:p>
    <w:p>
      <w:pPr>
        <w:keepLines w:val="0"/>
        <w:spacing w:after="120"/>
        <w:ind w:firstLine="567"/>
      </w:pPr>
      <w:r>
        <w:t xml:space="preserve">Chương 2 đã xây dựng nền tảng lý thuyết cho quy trình của luận văn, từ bản chất dự báo nhu cầu bán lẻ, cấu trúc xu hướng – mùa vụ và Robust STL, kỹ thuật tạo đặc trưng, đến năm mô hình được so sánh. Chương phân tích MAE, RMSE, WAPE, sMAPE, RMSLE và lý do chọn WAPE làm tiêu chí chính, rồi mở rộng sang dự báo phân vị, hàm mất mát pinball, dự báo conformal theo nhóm, phân tích kịch bản khuyến mãi có điều kiện, logic newsvendor và kiến trúc Generative AI/RAG/HITL có kiểm tra bám bằng chứng.</w:t>
      </w:r>
    </w:p>
    <w:p>
      <w:pPr>
        <w:keepLines w:val="0"/>
        <w:spacing w:after="120"/>
        <w:ind w:firstLine="567"/>
      </w:pPr>
      <w:r>
        <w:t xml:space="preserve">Xuyên suốt các mục lý thuyết, chương đã xác lập năm nguyên tắc phương pháp chi phối các chương sau. Nguyên tắc thứ nhất là tính hợp lệ theo thời gian: mọi đặc trưng, bước lựa chọn mô hình và bước đánh giá chỉ được dùng thông tin sẵn có tại thời điểm gốc dự báo, áp dụng cho cả đường cơ sở. Nguyên tắc thứ hai là đánh giá bất định đồng thời theo độ bao phủ và độ sắc nét, ở cả cấp tổng thể và cấp phân rã, thay vì chỉ theo một con số tổng. Nguyên tắc thứ ba là phân biệt dự báo với suy luận nhân quả, để kịch bản khuyến mãi không bị đọc như tác động can thiệp. Nguyên tắc thứ tư là tách bằng chứng định lượng khỏi lớp diễn giải bằng ngôn ngữ tự nhiên, với quyền phê duyệt cuối cùng thuộc về con người. Nguyên tắc thứ năm là khả năng kiểm chứng: kết quả chỉ được xem là chính thức khi toàn bộ quy trình có thể chạy lại từ dữ liệu gốc, các ràng buộc phương pháp được kiểm thử tự động, và mức nhạy của kết quả trước các lựa chọn thiết kế chính được báo cáo.</w:t>
      </w:r>
    </w:p>
    <w:p>
      <w:pPr>
        <w:keepLines w:val="0"/>
        <w:spacing w:after="120"/>
        <w:ind w:firstLine="567"/>
      </w:pPr>
      <w:r>
        <w:t xml:space="preserve">Tổng quan tài liệu ở mục 2.16 cho thấy các dòng nghiên cứu liên quan đã phát triển tương đối độc lập, và mục 2.17 đã lập luận rằng khoảng trống nằm ở việc tích hợp chúng thành một quy trình thống nhất, hợp lệ theo thời gian, được chẩn đoán ở cấp phân rã, có kỷ luật diễn giải và có thể kiểm chứng. Khung phân tích năm thành phần cùng hai lớp cắt ngang là chẩn đoán sai số và kiểm thử, tái lập được ánh xạ trực tiếp sang RQ1–RQ5 và sang các tệp mã của quy trình. Trên cơ sở đó, Chương 3 sẽ mô tả chi tiết dữ liệu, cách tạo đặc trưng, các nguyên tắc kiểm soát rò rỉ, quy trình thực nghiệm dùng để trả lời từng câu hỏi nghiên cứu, cũng như cách kiểm thử và tái lập lần chạy chính thức.</w:t>
      </w:r>
    </w:p>
    <w:p>
      <w:pPr>
        <w:pStyle w:val="Heading1"/>
        <w:pageBreakBefore/>
      </w:pPr>
      <w:r>
        <w:t xml:space="preserve">CHƯƠNG 3. DỮ LIỆU, PHƯƠNG PHÁP LUẬN VÀ QUY TRÌNH THỰC NGHIỆM</w:t>
      </w:r>
    </w:p>
    <w:p>
      <w:pPr>
        <w:keepLines w:val="0"/>
        <w:spacing w:after="120"/>
        <w:ind w:firstLine="567"/>
      </w:pPr>
      <w:r>
        <w:t xml:space="preserve">Nếu Chương 2 xác lập cơ sở lý thuyết cho từng thành phần của bài toán, thì Chương 3 chuyển các cơ sở đó thành một quy trình thực nghiệm cụ thể, có thể kiểm chứng và tái lập trên dữ liệu Corporación Favorita. Trọng tâm là mô tả chính xác cách dữ liệu được kiểm tra, biến đổi thành đặc trưng, đưa vào năm mô hình và đánh giá theo trật tự thời gian. Mọi mô tả trong chương bám theo mã nguồn và các tệp kết quả của lần chạy chính thức, trong đó toàn bộ quy trình được chạy tuần tự từ train.csv đến các bảng, hình và thí nghiệm độ nhạy. Khi một lựa chọn chỉ là hướng mở rộng chưa được thực hiện, hoặc khi một giới hạn tồn tại trong thiết kế, luận văn nêu rõ điều đó để người đọc phân biệt phần đã thực nghiệm với phần đề xuất.</w:t>
      </w:r>
    </w:p>
    <w:p>
      <w:pPr>
        <w:keepLines w:val="0"/>
        <w:spacing w:after="120"/>
        <w:ind w:firstLine="567"/>
      </w:pPr>
      <w:r>
        <w:t xml:space="preserve">Chương được chia làm hai phần. Các mục 3.1–3.7 trình bày thiết kế nghiên cứu, dữ liệu và kiểm tra chất lượng, phân tích khám phá, phân rã Robust STL, thiết kế đặc trưng, kiểm soát rò rỉ dữ liệu và cấu hình năm mô hình. Từ mục 3.8, chương mô tả kiểm định chéo cuốn chiếu, tập kiểm tra cuối, dự báo xác suất, kịch bản khuyến mãi, hỗ trợ quyết định tồn kho, lớp Generative AI/RAG/HITL, và ở mục 3.14 là cách chạy lại toàn bộ quy trình từ dữ liệu gốc cùng các kiểm thử đi kèm. Ở mỗi lựa chọn thiết kế quan trọng, chương nêu kèm lý do phương pháp, tức giải thích vì sao lựa chọn đó cần thiết để mọi đặc trưng đều khả dụng tại gốc dự báo và để các mô hình được so sánh trong cùng điều kiện. Trình tự này phản ánh thứ tự phụ thuộc giữa các bước: một mô hình chỉ đáng tin khi đặc trưng không rò rỉ, và một khuyến nghị chỉ có giá trị khi dự báo phía trước đã được đánh giá trung thực.</w:t>
      </w:r>
    </w:p>
    <w:p>
      <w:pPr>
        <w:pStyle w:val="Heading2"/>
        <w:keepNext/>
      </w:pPr>
      <w:r>
        <w:t xml:space="preserve">3.1. Thiết kế nghiên cứu</w:t>
      </w:r>
    </w:p>
    <w:p>
      <w:pPr>
        <w:pStyle w:val="Heading3"/>
        <w:keepNext/>
      </w:pPr>
      <w:r>
        <w:t xml:space="preserve">3.1.1. Đơn vị phân tích và hình thức hóa bài toán dự báo</w:t>
      </w:r>
    </w:p>
    <w:p>
      <w:pPr>
        <w:keepLines w:val="0"/>
        <w:spacing w:after="120"/>
        <w:ind w:firstLine="567"/>
      </w:pPr>
      <w:r>
        <w:t xml:space="preserve">Nghiên cứu được thiết kế theo hướng thực nghiệm định lượng và tuân thủ nghiêm ngặt trật tự thời gian. Đơn vị phân tích là một quan sát ngày × cửa hàng × nhóm sản phẩm. Gọi S là tập 54 cửa hàng và F là tập 33 nhóm sản phẩm; mỗi chuỗi Store × Family được đánh chỉ số i = (s, f) thuộc tập I = S × F, nên hệ thống gồm 1.782 chuỗi. Ký hiệu y(i,t) là doanh số (sales) và p(i,t) là giá trị onpromotion của chuỗi i tại ngày t. Tại một thời điểm gốc dự báo (forecast origin) T, khi lịch sử đến hết ngày T đã được quan sát, cần ước lượng doanh số của mọi chuỗi cho H = 16 ngày tiếp theo, với H là hằng số HORIZON khai báo trong src/common.py. Công thức (3.1) biểu diễn yêu cầu đó, với một hàm dự báo f dùng chung cho cả 1.782 chuỗi và cho mọi bước h trong kỳ dự báo.</w:t>
      </w:r>
    </w:p>
    <w:p>
      <w:pPr>
        <w:tabs>
          <w:tab w:val="center" w:pos="4535"/>
          <w:tab w:val="right" w:pos="9071"/>
        </w:tabs>
        <w:spacing w:before="60" w:after="60"/>
        <w:ind w:firstLine="0"/>
      </w:pPr>
      <w:r>
        <w:tab/>
      </w:r>
      <m:oMath xmlns:a="http://schemas.openxmlformats.org/drawingml/2006/main" xmlns:pic="http://schemas.openxmlformats.org/drawingml/2006/picture">
        <m:sSub>
          <m:e>
            <m:acc>
              <m:accPr>
                <m:chr m:val="̂"/>
              </m:accPr>
              <m:e>
                <m:r>
                  <m:t>y</m:t>
                </m:r>
              </m:e>
            </m:acc>
          </m:e>
          <m:sub>
            <m:r>
              <m:t>i</m:t>
            </m:r>
            <m:r>
              <m:rPr>
                <m:sty m:val="p"/>
              </m:rPr>
              <m:t>,</m:t>
            </m:r>
            <m:r>
              <m:t>T</m:t>
            </m:r>
            <m:r>
              <m:rPr>
                <m:sty m:val="p"/>
              </m:rPr>
              <m:t>+</m:t>
            </m:r>
            <m:r>
              <m:t>h</m:t>
            </m:r>
          </m:sub>
        </m:sSub>
        <m:r>
          <m:rPr>
            <m:sty m:val="p"/>
          </m:rPr>
          <m:t>=</m:t>
        </m:r>
        <m:r>
          <m:t>f</m:t>
        </m:r>
        <m:d>
          <m:dPr>
            <m:begChr m:val="("/>
            <m:sepChr m:val=""/>
            <m:endChr m:val=")"/>
            <m:grow/>
          </m:dPr>
          <m:e>
            <m:sSub>
              <m:e>
                <m:r>
                  <m:rPr>
                    <m:sty m:val="b"/>
                  </m:rPr>
                  <m:t>x</m:t>
                </m:r>
              </m:e>
              <m:sub>
                <m:r>
                  <m:t>i</m:t>
                </m:r>
                <m:r>
                  <m:rPr>
                    <m:sty m:val="p"/>
                  </m:rPr>
                  <m:t>,</m:t>
                </m:r>
                <m:r>
                  <m:t>T</m:t>
                </m:r>
                <m:r>
                  <m:rPr>
                    <m:sty m:val="p"/>
                  </m:rPr>
                  <m:t>+</m:t>
                </m:r>
                <m:r>
                  <m:t>h</m:t>
                </m:r>
              </m:sub>
            </m:sSub>
          </m:e>
        </m:d>
        <m:r>
          <m:rPr>
            <m:sty m:val="p"/>
          </m:rPr>
          <m:t>,</m:t>
        </m:r>
        <m:r>
          <m:t>  </m:t>
        </m:r>
        <m:r>
          <m:t>i</m:t>
        </m:r>
        <m:r>
          <m:rPr>
            <m:sty m:val="p"/>
          </m:rPr>
          <m:t>∈</m:t>
        </m:r>
        <m:r>
          <m:rPr>
            <m:scr m:val="script"/>
            <m:sty m:val="p"/>
          </m:rPr>
          <m:t>I</m:t>
        </m:r>
        <m:r>
          <m:rPr>
            <m:sty m:val="p"/>
          </m:rPr>
          <m:t>=</m:t>
        </m:r>
        <m:r>
          <m:rPr>
            <m:scr m:val="script"/>
            <m:sty m:val="p"/>
          </m:rPr>
          <m:t>S</m:t>
        </m:r>
        <m:r>
          <m:rPr>
            <m:sty m:val="p"/>
          </m:rPr>
          <m:t>×</m:t>
        </m:r>
        <m:r>
          <m:rPr>
            <m:scr m:val="script"/>
            <m:sty m:val="p"/>
          </m:rPr>
          <m:t>F</m:t>
        </m:r>
        <m:r>
          <m:rPr>
            <m:sty m:val="p"/>
          </m:rPr>
          <m:t>,</m:t>
        </m:r>
        <m:r>
          <m:t> </m:t>
        </m:r>
        <m:d>
          <m:dPr>
            <m:begChr m:val="|"/>
            <m:sepChr m:val=""/>
            <m:endChr m:val="|"/>
            <m:grow/>
          </m:dPr>
          <m:e>
            <m:r>
              <m:rPr>
                <m:scr m:val="script"/>
                <m:sty m:val="p"/>
              </m:rPr>
              <m:t>I</m:t>
            </m:r>
          </m:e>
        </m:d>
        <m:r>
          <m:rPr>
            <m:sty m:val="p"/>
          </m:rPr>
          <m:t>=</m:t>
        </m:r>
        <m:r>
          <m:t>54</m:t>
        </m:r>
        <m:r>
          <m:rPr>
            <m:sty m:val="p"/>
          </m:rPr>
          <m:t>×</m:t>
        </m:r>
        <m:r>
          <m:t>33</m:t>
        </m:r>
        <m:r>
          <m:rPr>
            <m:sty m:val="p"/>
          </m:rPr>
          <m:t>=</m:t>
        </m:r>
        <m:r>
          <m:t>1782</m:t>
        </m:r>
        <m:r>
          <m:rPr>
            <m:sty m:val="p"/>
          </m:rPr>
          <m:t>,</m:t>
        </m:r>
        <m:r>
          <m:t> </m:t>
        </m:r>
        <m:r>
          <m:t>h</m:t>
        </m:r>
        <m:r>
          <m:rPr>
            <m:sty m:val="p"/>
          </m:rPr>
          <m:t>=</m:t>
        </m:r>
        <m:r>
          <m:t>1</m:t>
        </m:r>
        <m:r>
          <m:rPr>
            <m:sty m:val="p"/>
          </m:rPr>
          <m:t>,</m:t>
        </m:r>
        <m:r>
          <m:rPr>
            <m:sty m:val="p"/>
          </m:rPr>
          <m:t>…</m:t>
        </m:r>
        <m:r>
          <m:rPr>
            <m:sty m:val="p"/>
          </m:rPr>
          <m:t>,</m:t>
        </m:r>
        <m:r>
          <m:t>H</m:t>
        </m:r>
        <m:r>
          <m:rPr>
            <m:sty m:val="p"/>
          </m:rPr>
          <m:t>,</m:t>
        </m:r>
        <m:r>
          <m:t> </m:t>
        </m:r>
        <m:r>
          <m:t>H</m:t>
        </m:r>
        <m:r>
          <m:rPr>
            <m:sty m:val="p"/>
          </m:rPr>
          <m:t>=</m:t>
        </m:r>
        <m:r>
          <m:t>16</m:t>
        </m:r>
      </m:oMath>
      <w:r>
        <w:tab/>
        <w:t>(3.1)</w:t>
      </w:r>
    </w:p>
    <w:p>
      <w:pPr>
        <w:keepLines w:val="0"/>
        <w:spacing w:after="120"/>
        <w:ind w:firstLine="567"/>
      </w:pPr>
      <w:r>
        <w:t xml:space="preserve">Cách hình thức hóa này kéo theo hai hệ quả. Thứ nhất, f là một mô hình toàn cục (global model): các chuỗi chia sẻ chung tham số, còn khác biệt giữa chúng được biểu diễn qua vectơ đặc trưng x(i,T+h). Montero-Manso và Hyndman (2021) chỉ ra rằng mô hình toàn cục có thể xấp xỉ mô hình cục bộ và hưởng lợi từ học chéo giữa các chuỗi; Januschowski và cộng sự (2020) coi đây là một tiêu chí cơ bản để phân loại phương pháp dự báo. Thứ hai, f là mô hình trực tiếp: cùng một hàm được dùng cho mọi h từ 1 đến 16 mà không đưa dự báo của ngày trước làm đầu vào cho ngày sau. Do đó, mọi thông tin trong x(i,T+h) phải sẵn có tại T, dù h bằng 1 hay 16; ràng buộc này chi phối thiết kế đặc trưng ở mục 3.5 và kiểm soát rò rỉ ở mục 3.6.</w:t>
      </w:r>
    </w:p>
    <w:p>
      <w:pPr>
        <w:pStyle w:val="Heading3"/>
        <w:keepNext/>
      </w:pPr>
      <w:r>
        <w:t xml:space="preserve">3.1.2. Tách biệt khám phá dữ liệu, lựa chọn mô hình và đánh giá cuối</w:t>
      </w:r>
    </w:p>
    <w:p>
      <w:pPr>
        <w:keepLines w:val="0"/>
        <w:spacing w:after="120"/>
        <w:ind w:firstLine="567"/>
      </w:pPr>
      <w:r>
        <w:t xml:space="preserve">Nguyên tắc trung tâm của thiết kế là tách rõ ba mục đích sử dụng dữ liệu: khám phá, lựa chọn mô hình và đánh giá cuối cùng. Phân tích khám phá và Robust STL giúp hiểu cấu trúc dữ liệu nhưng không quyết định trực tiếp mô hình thắng. Việc lựa chọn dựa trên ba lần kiểm định chéo cuốn chiếu theo thời gian: ở lần thứ k, mô hình được huấn luyện trên toàn bộ dữ liệu nằm trước cửa sổ kiểm định V(k), mỗi cửa sổ dài 16 ngày. Trong mã của bước 04, ba cửa sổ bắt đầu tại các vị trí len(dates) − 64, len(dates) − 48 và len(dates) − 32 của danh sách ngày trong features.parquet, nên chúng nằm liền kề nhau ngay trước tập kiểm tra cuối, lần lượt từ 13/06/2017 đến 28/06/2017, từ 29/06/2017 đến 14/07/2017 và từ 15/07/2017 đến 30/07/2017. Mô hình được chọn là mô hình có WAPE trung bình qua ba lần nhỏ nhất, như ở (3.2); khi hòa, quy trình dùng RMSE rồi MAE để phân định. Chi tiết về cửa sổ mở rộng được trình bày ở mục 3.8.</w:t>
      </w:r>
    </w:p>
    <w:p>
      <w:pPr>
        <w:tabs>
          <w:tab w:val="center" w:pos="4535"/>
          <w:tab w:val="right" w:pos="9071"/>
        </w:tabs>
        <w:spacing w:before="60" w:after="60"/>
        <w:ind w:firstLine="0"/>
      </w:pPr>
      <w:r>
        <w:tab/>
      </w:r>
      <m:oMath xmlns:a="http://schemas.openxmlformats.org/drawingml/2006/main" xmlns:pic="http://schemas.openxmlformats.org/drawingml/2006/picture">
        <m:sSup>
          <m:e>
            <m:r>
              <m:t>m</m:t>
            </m:r>
          </m:e>
          <m:sup>
            <m:r>
              <m:rPr>
                <m:sty m:val="p"/>
              </m:rPr>
              <m:t>*</m:t>
            </m:r>
          </m:sup>
        </m:sSup>
        <m:r>
          <m:rPr>
            <m:sty m:val="p"/>
          </m:rPr>
          <m:t>=</m:t>
        </m:r>
        <m:r>
          <m:rPr>
            <m:sty m:val="p"/>
          </m:rPr>
          <m:t>arg</m:t>
        </m:r>
        <m:limLow>
          <m:e>
            <m:r>
              <m:rPr>
                <m:sty m:val="p"/>
              </m:rPr>
              <m:t>min</m:t>
            </m:r>
          </m:e>
          <m:lim>
            <m:r>
              <m:t>m</m:t>
            </m:r>
            <m:r>
              <m:rPr>
                <m:sty m:val="p"/>
              </m:rPr>
              <m:t>∈</m:t>
            </m:r>
            <m:r>
              <m:rPr>
                <m:scr m:val="script"/>
                <m:sty m:val="p"/>
              </m:rPr>
              <m:t>M</m:t>
            </m:r>
          </m:lim>
        </m:limLow>
        <m:r>
          <m:t> </m:t>
        </m:r>
        <m:f>
          <m:fPr>
            <m:type m:val="bar"/>
          </m:fPr>
          <m:num>
            <m:r>
              <m:t>1</m:t>
            </m:r>
          </m:num>
          <m:den>
            <m:r>
              <m:t>K</m:t>
            </m:r>
          </m:den>
        </m:f>
        <m:nary>
          <m:naryPr>
            <m:chr m:val="∑"/>
            <m:limLoc m:val="undOvr"/>
            <m:subHide m:val="off"/>
            <m:supHide m:val="off"/>
          </m:naryPr>
          <m:sub>
            <m:r>
              <m:t>k</m:t>
            </m:r>
            <m:r>
              <m:rPr>
                <m:sty m:val="p"/>
              </m:rPr>
              <m:t>=</m:t>
            </m:r>
            <m:r>
              <m:t>1</m:t>
            </m:r>
          </m:sub>
          <m:sup>
            <m:r>
              <m:t>K</m:t>
            </m:r>
          </m:sup>
          <m:e>
            <m:sSup>
              <m:e>
                <m:r>
                  <m:rPr>
                    <m:sty m:val="p"/>
                  </m:rPr>
                  <m:t>W</m:t>
                </m:r>
                <m:r>
                  <m:rPr>
                    <m:sty m:val="p"/>
                  </m:rPr>
                  <m:t>A</m:t>
                </m:r>
                <m:r>
                  <m:rPr>
                    <m:sty m:val="p"/>
                  </m:rPr>
                  <m:t>P</m:t>
                </m:r>
                <m:r>
                  <m:rPr>
                    <m:sty m:val="p"/>
                  </m:rPr>
                  <m:t>E</m:t>
                </m:r>
              </m:e>
              <m:sup>
                <m:d>
                  <m:dPr>
                    <m:begChr m:val="("/>
                    <m:sepChr m:val=""/>
                    <m:endChr m:val=")"/>
                    <m:grow/>
                  </m:dPr>
                  <m:e>
                    <m:r>
                      <m:t>k</m:t>
                    </m:r>
                  </m:e>
                </m:d>
              </m:sup>
            </m:sSup>
          </m:e>
        </m:nary>
        <m:d>
          <m:dPr>
            <m:begChr m:val="("/>
            <m:sepChr m:val=""/>
            <m:endChr m:val=")"/>
            <m:grow/>
          </m:dPr>
          <m:e>
            <m:r>
              <m:t>m</m:t>
            </m:r>
          </m:e>
        </m:d>
        <m:r>
          <m:rPr>
            <m:sty m:val="p"/>
          </m:rPr>
          <m:t>,</m:t>
        </m:r>
        <m:r>
          <m:t>  </m:t>
        </m:r>
        <m:r>
          <m:t>K</m:t>
        </m:r>
        <m:r>
          <m:rPr>
            <m:sty m:val="p"/>
          </m:rPr>
          <m:t>=</m:t>
        </m:r>
        <m:r>
          <m:t>3</m:t>
        </m:r>
        <m:r>
          <m:rPr>
            <m:sty m:val="p"/>
          </m:rPr>
          <m:t>,</m:t>
        </m:r>
        <m:r>
          <m:t> </m:t>
        </m:r>
        <m:r>
          <m:rPr>
            <m:scr m:val="script"/>
            <m:sty m:val="p"/>
          </m:rPr>
          <m:t>M</m:t>
        </m:r>
        <m:r>
          <m:rPr>
            <m:sty m:val="p"/>
          </m:rPr>
          <m:t>=</m:t>
        </m:r>
        <m:r>
          <m:rPr>
            <m:sty m:val="p"/>
          </m:rPr>
          <m:t>{</m:t>
        </m:r>
        <m:r>
          <m:rPr>
            <m:sty m:val="p"/>
          </m:rPr>
          <m:t>S</m:t>
        </m:r>
        <m:r>
          <m:rPr>
            <m:sty m:val="p"/>
          </m:rPr>
          <m:t>N</m:t>
        </m:r>
        <m:r>
          <m:rPr>
            <m:sty m:val="p"/>
          </m:rPr>
          <m:t>,</m:t>
        </m:r>
        <m:r>
          <m:t> </m:t>
        </m:r>
        <m:r>
          <m:rPr>
            <m:sty m:val="p"/>
          </m:rPr>
          <m:t>R</m:t>
        </m:r>
        <m:r>
          <m:rPr>
            <m:sty m:val="p"/>
          </m:rPr>
          <m:t>i</m:t>
        </m:r>
        <m:r>
          <m:rPr>
            <m:sty m:val="p"/>
          </m:rPr>
          <m:t>d</m:t>
        </m:r>
        <m:r>
          <m:rPr>
            <m:sty m:val="p"/>
          </m:rPr>
          <m:t>g</m:t>
        </m:r>
        <m:r>
          <m:rPr>
            <m:sty m:val="p"/>
          </m:rPr>
          <m:t>e</m:t>
        </m:r>
        <m:r>
          <m:rPr>
            <m:sty m:val="p"/>
          </m:rPr>
          <m:t>,</m:t>
        </m:r>
        <m:r>
          <m:t> </m:t>
        </m:r>
        <m:r>
          <m:rPr>
            <m:sty m:val="p"/>
          </m:rPr>
          <m:t>R</m:t>
        </m:r>
        <m:r>
          <m:rPr>
            <m:sty m:val="p"/>
          </m:rPr>
          <m:t>F</m:t>
        </m:r>
        <m:r>
          <m:rPr>
            <m:sty m:val="p"/>
          </m:rPr>
          <m:t>,</m:t>
        </m:r>
        <m:r>
          <m:t> </m:t>
        </m:r>
        <m:r>
          <m:rPr>
            <m:sty m:val="p"/>
          </m:rPr>
          <m:t>X</m:t>
        </m:r>
        <m:r>
          <m:rPr>
            <m:sty m:val="p"/>
          </m:rPr>
          <m:t>G</m:t>
        </m:r>
        <m:r>
          <m:rPr>
            <m:sty m:val="p"/>
          </m:rPr>
          <m:t>B</m:t>
        </m:r>
        <m:r>
          <m:rPr>
            <m:sty m:val="p"/>
          </m:rPr>
          <m:t>,</m:t>
        </m:r>
        <m:r>
          <m:t> </m:t>
        </m:r>
        <m:r>
          <m:rPr>
            <m:sty m:val="p"/>
          </m:rPr>
          <m:t>L</m:t>
        </m:r>
        <m:r>
          <m:rPr>
            <m:sty m:val="p"/>
          </m:rPr>
          <m:t>G</m:t>
        </m:r>
        <m:r>
          <m:rPr>
            <m:sty m:val="p"/>
          </m:rPr>
          <m:t>B</m:t>
        </m:r>
        <m:r>
          <m:rPr>
            <m:sty m:val="p"/>
          </m:rPr>
          <m:t>M</m:t>
        </m:r>
        <m:r>
          <m:rPr>
            <m:sty m:val="p"/>
          </m:rPr>
          <m:t>}</m:t>
        </m:r>
      </m:oMath>
      <w:r>
        <w:tab/>
        <w:t>(3.2)</w:t>
      </w:r>
    </w:p>
    <w:p>
      <w:pPr>
        <w:keepLines w:val="0"/>
        <w:spacing w:after="120"/>
        <w:ind w:firstLine="567"/>
      </w:pPr>
      <w:r>
        <w:t xml:space="preserve">Chỉ sau khi m* đã được xác định, tập kiểm tra cuối gồm 16 ngày từ 31/07/2017 đến 15/08/2017 mới được dùng để đánh giá khả năng khái quát hóa. Trình tự này ngăn việc điều chỉnh mô hình theo kết quả của tập kiểm tra cuối, một dạng rò rỉ ở cấp quy trình. Tashman (2000) nhấn mạnh rằng phép đánh giá ngoài mẫu chỉ có giá trị khi dữ liệu kiểm tra thực sự đứng ngoài quá trình xây dựng mô hình. Trong mã nguồn, trình tự trên được ghi lại trong model_selection.json với các trường selection_metric, tie_breakers và final_holdout_used_for_selection = False, còn bảng kết quả tập kiểm tra cuối mang cờ selected_by_cv cho từng mô hình. Ba lần kiểm định cho phép quan sát độ ổn định của thứ hạng nhưng không đủ để kiểm định ý nghĩa thống kê.</w:t>
      </w:r>
    </w:p>
    <w:p>
      <w:pPr>
        <w:pStyle w:val="Heading3"/>
        <w:keepNext/>
      </w:pPr>
      <w:r>
        <w:t xml:space="preserve">3.1.3. Quy trình mười bốn bước và các tầng lập luận</w:t>
      </w:r>
    </w:p>
    <w:p>
      <w:pPr>
        <w:keepLines w:val="0"/>
        <w:spacing w:after="120"/>
        <w:ind w:firstLine="567"/>
      </w:pPr>
      <w:r>
        <w:t xml:space="preserve">Quy trình thực nghiệm được tổ chức thành mười bốn bước (stage) đánh số từ 01 đến 14, mỗi bước là một tệp mã độc lập đọc đầu ra của bước trước và ghi đầu ra của mình vào thư mục riêng trong outputs. Trong lần chạy chính thức, các bước 01–14 được chạy tuần tự trong một lần từ data/raw/train.csv, với bước 14 thực hiện các thí nghiệm độ nhạy, đúng theo thứ tự khai báo trong START_WINDOWS.bat. Bảng 3.1 liệt kê các bước, đầu ra chính, vai trò của từng bước trong lập luận của luận văn và thời gian chạy trong lần chạy chính thức. Có thể đọc bảng theo bốn tầng: tầng dữ liệu (bước 01–03), tầng mô hình (bước 04, chọn mô hình thắng trước khi mở tập kiểm tra cuối) và tầng quyết định (bước 05–08, chuyển dự báo điểm thành P10/P50/P90, kịch bản khuyến mãi, khuyến nghị tồn kho và phiếu khuyến nghị cho toàn bộ 1.782 chuỗi), cùng tầng kiểm chứng được trình bày ở đoạn tiếp theo.</w:t>
      </w:r>
    </w:p>
    <w:p>
      <w:pPr>
        <w:keepNext/>
        <w:spacing w:before="120" w:after="60"/>
        <w:ind w:firstLine="0"/>
        <w:jc w:val="center"/>
      </w:pPr>
      <w:r>
        <w:t xml:space="preserve">Bảng 3.1. Mười bốn bước của quy trình thực nghiệm, đầu ra chính, vai trò trong lập luận và thời gian chạy</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47"/>
        <w:gridCol w:w="1563"/>
        <w:gridCol w:w="2655"/>
        <w:gridCol w:w="2894"/>
        <w:gridCol w:w="1212"/>
      </w:tblGrid>
      <w:tr>
        <w:trPr>
          <w:tblHeader/>
          <w:cantSplit/>
        </w:trPr>
        <w:tc>
          <w:tcPr>
            <w:tcW w:type="dxa" w:w="747"/>
            <w:shd w:val="clear" w:color="auto" w:fill="D9E2F3"/>
            <w:vAlign w:val="center"/>
          </w:tcPr>
          <w:p>
            <w:pPr>
              <w:spacing w:before="20" w:after="20" w:line="260" w:lineRule="auto"/>
              <w:ind w:firstLine="0"/>
              <w:jc w:val="center"/>
            </w:pPr>
            <w:r>
              <w:rPr>
                <w:b/>
                <w:sz w:val="20"/>
                <w:szCs w:val="20"/>
              </w:rPr>
              <w:t xml:space="preserve">Stage</w:t>
            </w:r>
          </w:p>
        </w:tc>
        <w:tc>
          <w:tcPr>
            <w:tcW w:type="dxa" w:w="1563"/>
            <w:shd w:val="clear" w:color="auto" w:fill="D9E2F3"/>
            <w:vAlign w:val="center"/>
          </w:tcPr>
          <w:p>
            <w:pPr>
              <w:spacing w:before="20" w:after="20" w:line="260" w:lineRule="auto"/>
              <w:ind w:firstLine="0"/>
              <w:jc w:val="center"/>
            </w:pPr>
            <w:r>
              <w:rPr>
                <w:b/>
                <w:sz w:val="20"/>
                <w:szCs w:val="20"/>
              </w:rPr>
              <w:t xml:space="preserve">Bước</w:t>
            </w:r>
          </w:p>
        </w:tc>
        <w:tc>
          <w:tcPr>
            <w:tcW w:type="dxa" w:w="2655"/>
            <w:shd w:val="clear" w:color="auto" w:fill="D9E2F3"/>
            <w:vAlign w:val="center"/>
          </w:tcPr>
          <w:p>
            <w:pPr>
              <w:spacing w:before="20" w:after="20" w:line="260" w:lineRule="auto"/>
              <w:ind w:firstLine="0"/>
              <w:jc w:val="center"/>
            </w:pPr>
            <w:r>
              <w:rPr>
                <w:b/>
                <w:sz w:val="20"/>
                <w:szCs w:val="20"/>
              </w:rPr>
              <w:t xml:space="preserve">Đầu ra chính</w:t>
            </w:r>
          </w:p>
        </w:tc>
        <w:tc>
          <w:tcPr>
            <w:tcW w:type="dxa" w:w="2894"/>
            <w:shd w:val="clear" w:color="auto" w:fill="D9E2F3"/>
            <w:vAlign w:val="center"/>
          </w:tcPr>
          <w:p>
            <w:pPr>
              <w:spacing w:before="20" w:after="20" w:line="260" w:lineRule="auto"/>
              <w:ind w:firstLine="0"/>
              <w:jc w:val="center"/>
            </w:pPr>
            <w:r>
              <w:rPr>
                <w:b/>
                <w:sz w:val="20"/>
                <w:szCs w:val="20"/>
              </w:rPr>
              <w:t xml:space="preserve">Vai trò trong luận văn</w:t>
            </w:r>
          </w:p>
        </w:tc>
        <w:tc>
          <w:tcPr>
            <w:tcW w:type="dxa" w:w="1212"/>
            <w:shd w:val="clear" w:color="auto" w:fill="D9E2F3"/>
            <w:vAlign w:val="center"/>
          </w:tcPr>
          <w:p>
            <w:pPr>
              <w:spacing w:before="20" w:after="20" w:line="260" w:lineRule="auto"/>
              <w:ind w:firstLine="0"/>
              <w:jc w:val="center"/>
            </w:pPr>
            <w:r>
              <w:rPr>
                <w:b/>
                <w:sz w:val="20"/>
                <w:szCs w:val="20"/>
              </w:rPr>
              <w:t xml:space="preserve">Thời gian chạy (giây)</w:t>
            </w:r>
          </w:p>
        </w:tc>
      </w:tr>
      <w:tr>
        <w:trPr>
          <w:cantSplit/>
        </w:trPr>
        <w:tc>
          <w:tcPr>
            <w:tcW w:type="dxa" w:w="747"/>
            <w:vAlign w:val="center"/>
          </w:tcPr>
          <w:p>
            <w:pPr>
              <w:spacing w:before="20" w:after="20" w:line="260" w:lineRule="auto"/>
              <w:ind w:firstLine="0"/>
              <w:jc w:val="center"/>
            </w:pPr>
            <w:r>
              <w:rPr>
                <w:sz w:val="20"/>
                <w:szCs w:val="20"/>
              </w:rPr>
              <w:t xml:space="preserve">01</w:t>
            </w:r>
          </w:p>
        </w:tc>
        <w:tc>
          <w:tcPr>
            <w:tcW w:type="dxa" w:w="1563"/>
            <w:vAlign w:val="center"/>
          </w:tcPr>
          <w:p>
            <w:pPr>
              <w:spacing w:before="20" w:after="20" w:line="260" w:lineRule="auto"/>
              <w:ind w:firstLine="0"/>
              <w:jc w:val="left"/>
            </w:pPr>
            <w:r>
              <w:rPr>
                <w:sz w:val="20"/>
                <w:szCs w:val="20"/>
              </w:rPr>
              <w:t xml:space="preserve">Kiểm tra dữ liệu (data validation)</w:t>
            </w:r>
          </w:p>
        </w:tc>
        <w:tc>
          <w:tcPr>
            <w:tcW w:type="dxa" w:w="2655"/>
            <w:vAlign w:val="center"/>
          </w:tcPr>
          <w:p>
            <w:pPr>
              <w:spacing w:before="20" w:after="20" w:line="260" w:lineRule="auto"/>
              <w:ind w:firstLine="0"/>
              <w:jc w:val="left"/>
            </w:pPr>
            <w:r>
              <w:rPr>
                <w:sz w:val="20"/>
                <w:szCs w:val="20"/>
              </w:rPr>
              <w:t xml:space="preserve">data_quality.csv, daily_aggregate.csv</w:t>
            </w:r>
          </w:p>
        </w:tc>
        <w:tc>
          <w:tcPr>
            <w:tcW w:type="dxa" w:w="2894"/>
            <w:vAlign w:val="center"/>
          </w:tcPr>
          <w:p>
            <w:pPr>
              <w:spacing w:before="20" w:after="20" w:line="260" w:lineRule="auto"/>
              <w:ind w:firstLine="0"/>
              <w:jc w:val="left"/>
            </w:pPr>
            <w:r>
              <w:rPr>
                <w:sz w:val="20"/>
                <w:szCs w:val="20"/>
              </w:rPr>
              <w:t xml:space="preserve">Kiểm tra lược đồ, giá trị thiếu, bản ghi trùng, quy mô</w:t>
            </w:r>
          </w:p>
        </w:tc>
        <w:tc>
          <w:tcPr>
            <w:tcW w:type="dxa" w:w="1212"/>
            <w:vAlign w:val="center"/>
          </w:tcPr>
          <w:p>
            <w:pPr>
              <w:spacing w:before="20" w:after="20" w:line="260" w:lineRule="auto"/>
              <w:ind w:firstLine="0"/>
              <w:jc w:val="center"/>
            </w:pPr>
            <w:r>
              <w:rPr>
                <w:sz w:val="20"/>
                <w:szCs w:val="20"/>
              </w:rPr>
              <w:t xml:space="preserve">3</w:t>
            </w:r>
          </w:p>
        </w:tc>
      </w:tr>
      <w:tr>
        <w:trPr>
          <w:cantSplit/>
        </w:trPr>
        <w:tc>
          <w:tcPr>
            <w:tcW w:type="dxa" w:w="747"/>
            <w:vAlign w:val="center"/>
          </w:tcPr>
          <w:p>
            <w:pPr>
              <w:spacing w:before="20" w:after="20" w:line="260" w:lineRule="auto"/>
              <w:ind w:firstLine="0"/>
              <w:jc w:val="center"/>
            </w:pPr>
            <w:r>
              <w:rPr>
                <w:sz w:val="20"/>
                <w:szCs w:val="20"/>
              </w:rPr>
              <w:t xml:space="preserve">02</w:t>
            </w:r>
          </w:p>
        </w:tc>
        <w:tc>
          <w:tcPr>
            <w:tcW w:type="dxa" w:w="1563"/>
            <w:vAlign w:val="center"/>
          </w:tcPr>
          <w:p>
            <w:pPr>
              <w:spacing w:before="20" w:after="20" w:line="260" w:lineRule="auto"/>
              <w:ind w:firstLine="0"/>
              <w:jc w:val="left"/>
            </w:pPr>
            <w:r>
              <w:rPr>
                <w:sz w:val="20"/>
                <w:szCs w:val="20"/>
              </w:rPr>
              <w:t xml:space="preserve">EDA và Robust STL</w:t>
            </w:r>
          </w:p>
        </w:tc>
        <w:tc>
          <w:tcPr>
            <w:tcW w:type="dxa" w:w="2655"/>
            <w:vAlign w:val="center"/>
          </w:tcPr>
          <w:p>
            <w:pPr>
              <w:spacing w:before="20" w:after="20" w:line="260" w:lineRule="auto"/>
              <w:ind w:firstLine="0"/>
              <w:jc w:val="left"/>
            </w:pPr>
            <w:r>
              <w:rPr>
                <w:sz w:val="20"/>
                <w:szCs w:val="20"/>
              </w:rPr>
              <w:t xml:space="preserve">daily_sales.csv, promotion_descriptive.csv, stl_weekly.csv</w:t>
            </w:r>
          </w:p>
        </w:tc>
        <w:tc>
          <w:tcPr>
            <w:tcW w:type="dxa" w:w="2894"/>
            <w:vAlign w:val="center"/>
          </w:tcPr>
          <w:p>
            <w:pPr>
              <w:spacing w:before="20" w:after="20" w:line="260" w:lineRule="auto"/>
              <w:ind w:firstLine="0"/>
              <w:jc w:val="left"/>
            </w:pPr>
            <w:r>
              <w:rPr>
                <w:sz w:val="20"/>
                <w:szCs w:val="20"/>
              </w:rPr>
              <w:t xml:space="preserve">Xu hướng, mùa vụ, phần dư; thống kê mô tả theo khuyến mãi</w:t>
            </w:r>
          </w:p>
        </w:tc>
        <w:tc>
          <w:tcPr>
            <w:tcW w:type="dxa" w:w="1212"/>
            <w:vAlign w:val="center"/>
          </w:tcPr>
          <w:p>
            <w:pPr>
              <w:spacing w:before="20" w:after="20" w:line="260" w:lineRule="auto"/>
              <w:ind w:firstLine="0"/>
              <w:jc w:val="center"/>
            </w:pPr>
            <w:r>
              <w:rPr>
                <w:sz w:val="20"/>
                <w:szCs w:val="20"/>
              </w:rPr>
              <w:t xml:space="preserve">4</w:t>
            </w:r>
          </w:p>
        </w:tc>
      </w:tr>
      <w:tr>
        <w:trPr>
          <w:cantSplit/>
        </w:trPr>
        <w:tc>
          <w:tcPr>
            <w:tcW w:type="dxa" w:w="747"/>
            <w:vAlign w:val="center"/>
          </w:tcPr>
          <w:p>
            <w:pPr>
              <w:spacing w:before="20" w:after="20" w:line="260" w:lineRule="auto"/>
              <w:ind w:firstLine="0"/>
              <w:jc w:val="center"/>
            </w:pPr>
            <w:r>
              <w:rPr>
                <w:sz w:val="20"/>
                <w:szCs w:val="20"/>
              </w:rPr>
              <w:t xml:space="preserve">03</w:t>
            </w:r>
          </w:p>
        </w:tc>
        <w:tc>
          <w:tcPr>
            <w:tcW w:type="dxa" w:w="1563"/>
            <w:vAlign w:val="center"/>
          </w:tcPr>
          <w:p>
            <w:pPr>
              <w:spacing w:before="20" w:after="20" w:line="260" w:lineRule="auto"/>
              <w:ind w:firstLine="0"/>
              <w:jc w:val="left"/>
            </w:pPr>
            <w:r>
              <w:rPr>
                <w:sz w:val="20"/>
                <w:szCs w:val="20"/>
              </w:rPr>
              <w:t xml:space="preserve">Tạo đặc trưng (feature engineering)</w:t>
            </w:r>
          </w:p>
        </w:tc>
        <w:tc>
          <w:tcPr>
            <w:tcW w:type="dxa" w:w="2655"/>
            <w:vAlign w:val="center"/>
          </w:tcPr>
          <w:p>
            <w:pPr>
              <w:spacing w:before="20" w:after="20" w:line="260" w:lineRule="auto"/>
              <w:ind w:firstLine="0"/>
              <w:jc w:val="left"/>
            </w:pPr>
            <w:r>
              <w:rPr>
                <w:sz w:val="20"/>
                <w:szCs w:val="20"/>
              </w:rPr>
              <w:t xml:space="preserve">features.parquet, feature_list.csv, optional_features_used.csv</w:t>
            </w:r>
          </w:p>
        </w:tc>
        <w:tc>
          <w:tcPr>
            <w:tcW w:type="dxa" w:w="2894"/>
            <w:vAlign w:val="center"/>
          </w:tcPr>
          <w:p>
            <w:pPr>
              <w:spacing w:before="20" w:after="20" w:line="260" w:lineRule="auto"/>
              <w:ind w:firstLine="0"/>
              <w:jc w:val="left"/>
            </w:pPr>
            <w:r>
              <w:rPr>
                <w:sz w:val="20"/>
                <w:szCs w:val="20"/>
              </w:rPr>
              <w:t xml:space="preserve">Lịch ngày đầy đủ, độ trễ, thống kê trượt, đặc trưng bổ sung an toàn về rò rỉ</w:t>
            </w:r>
          </w:p>
        </w:tc>
        <w:tc>
          <w:tcPr>
            <w:tcW w:type="dxa" w:w="1212"/>
            <w:vAlign w:val="center"/>
          </w:tcPr>
          <w:p>
            <w:pPr>
              <w:spacing w:before="20" w:after="20" w:line="260" w:lineRule="auto"/>
              <w:ind w:firstLine="0"/>
              <w:jc w:val="center"/>
            </w:pPr>
            <w:r>
              <w:rPr>
                <w:sz w:val="20"/>
                <w:szCs w:val="20"/>
              </w:rPr>
              <w:t xml:space="preserve">12</w:t>
            </w:r>
          </w:p>
        </w:tc>
      </w:tr>
      <w:tr>
        <w:trPr>
          <w:cantSplit/>
        </w:trPr>
        <w:tc>
          <w:tcPr>
            <w:tcW w:type="dxa" w:w="747"/>
            <w:vAlign w:val="center"/>
          </w:tcPr>
          <w:p>
            <w:pPr>
              <w:spacing w:before="20" w:after="20" w:line="260" w:lineRule="auto"/>
              <w:ind w:firstLine="0"/>
              <w:jc w:val="center"/>
            </w:pPr>
            <w:r>
              <w:rPr>
                <w:sz w:val="20"/>
                <w:szCs w:val="20"/>
              </w:rPr>
              <w:t xml:space="preserve">04</w:t>
            </w:r>
          </w:p>
        </w:tc>
        <w:tc>
          <w:tcPr>
            <w:tcW w:type="dxa" w:w="1563"/>
            <w:vAlign w:val="center"/>
          </w:tcPr>
          <w:p>
            <w:pPr>
              <w:spacing w:before="20" w:after="20" w:line="260" w:lineRule="auto"/>
              <w:ind w:firstLine="0"/>
              <w:jc w:val="left"/>
            </w:pPr>
            <w:r>
              <w:rPr>
                <w:sz w:val="20"/>
                <w:szCs w:val="20"/>
              </w:rPr>
              <w:t xml:space="preserve">So sánh 5 mô hình bằng rolling CV</w:t>
            </w:r>
          </w:p>
        </w:tc>
        <w:tc>
          <w:tcPr>
            <w:tcW w:type="dxa" w:w="2655"/>
            <w:vAlign w:val="center"/>
          </w:tcPr>
          <w:p>
            <w:pPr>
              <w:spacing w:before="20" w:after="20" w:line="260" w:lineRule="auto"/>
              <w:ind w:firstLine="0"/>
              <w:jc w:val="left"/>
            </w:pPr>
            <w:r>
              <w:rPr>
                <w:sz w:val="20"/>
                <w:szCs w:val="20"/>
              </w:rPr>
              <w:t xml:space="preserve">rolling_cv_metrics.csv, model_comparison_summary.csv, final_holdout_metrics.csv, model_selection.json</w:t>
            </w:r>
          </w:p>
        </w:tc>
        <w:tc>
          <w:tcPr>
            <w:tcW w:type="dxa" w:w="2894"/>
            <w:vAlign w:val="center"/>
          </w:tcPr>
          <w:p>
            <w:pPr>
              <w:spacing w:before="20" w:after="20" w:line="260" w:lineRule="auto"/>
              <w:ind w:firstLine="0"/>
              <w:jc w:val="left"/>
            </w:pPr>
            <w:r>
              <w:rPr>
                <w:sz w:val="20"/>
                <w:szCs w:val="20"/>
              </w:rPr>
              <w:t xml:space="preserve">Chọn mô hình thắng theo WAPE trung bình trước tập kiểm tra cuối</w:t>
            </w:r>
          </w:p>
        </w:tc>
        <w:tc>
          <w:tcPr>
            <w:tcW w:type="dxa" w:w="1212"/>
            <w:vAlign w:val="center"/>
          </w:tcPr>
          <w:p>
            <w:pPr>
              <w:spacing w:before="20" w:after="20" w:line="260" w:lineRule="auto"/>
              <w:ind w:firstLine="0"/>
              <w:jc w:val="center"/>
            </w:pPr>
            <w:r>
              <w:rPr>
                <w:sz w:val="20"/>
                <w:szCs w:val="20"/>
              </w:rPr>
              <w:t xml:space="preserve">2.904</w:t>
            </w:r>
          </w:p>
        </w:tc>
      </w:tr>
      <w:tr>
        <w:trPr>
          <w:cantSplit/>
        </w:trPr>
        <w:tc>
          <w:tcPr>
            <w:tcW w:type="dxa" w:w="747"/>
            <w:vAlign w:val="center"/>
          </w:tcPr>
          <w:p>
            <w:pPr>
              <w:spacing w:before="20" w:after="20" w:line="260" w:lineRule="auto"/>
              <w:ind w:firstLine="0"/>
              <w:jc w:val="center"/>
            </w:pPr>
            <w:r>
              <w:rPr>
                <w:sz w:val="20"/>
                <w:szCs w:val="20"/>
              </w:rPr>
              <w:t xml:space="preserve">05</w:t>
            </w:r>
          </w:p>
        </w:tc>
        <w:tc>
          <w:tcPr>
            <w:tcW w:type="dxa" w:w="1563"/>
            <w:vAlign w:val="center"/>
          </w:tcPr>
          <w:p>
            <w:pPr>
              <w:spacing w:before="20" w:after="20" w:line="260" w:lineRule="auto"/>
              <w:ind w:firstLine="0"/>
              <w:jc w:val="left"/>
            </w:pPr>
            <w:r>
              <w:rPr>
                <w:sz w:val="20"/>
                <w:szCs w:val="20"/>
              </w:rPr>
              <w:t xml:space="preserve">Dự báo xác suất</w:t>
            </w:r>
          </w:p>
        </w:tc>
        <w:tc>
          <w:tcPr>
            <w:tcW w:type="dxa" w:w="2655"/>
            <w:vAlign w:val="center"/>
          </w:tcPr>
          <w:p>
            <w:pPr>
              <w:spacing w:before="20" w:after="20" w:line="260" w:lineRule="auto"/>
              <w:ind w:firstLine="0"/>
              <w:jc w:val="left"/>
            </w:pPr>
            <w:r>
              <w:rPr>
                <w:sz w:val="20"/>
                <w:szCs w:val="20"/>
              </w:rPr>
              <w:t xml:space="preserve">probabilistic_predictions.parquet, conformal_bins.csv, probabilistic_metrics.csv</w:t>
            </w:r>
          </w:p>
        </w:tc>
        <w:tc>
          <w:tcPr>
            <w:tcW w:type="dxa" w:w="2894"/>
            <w:vAlign w:val="center"/>
          </w:tcPr>
          <w:p>
            <w:pPr>
              <w:spacing w:before="20" w:after="20" w:line="260" w:lineRule="auto"/>
              <w:ind w:firstLine="0"/>
              <w:jc w:val="left"/>
            </w:pPr>
            <w:r>
              <w:rPr>
                <w:sz w:val="20"/>
                <w:szCs w:val="20"/>
              </w:rPr>
              <w:t xml:space="preserve">Khoảng Mondrian split-conformal; hiệu chỉnh (calibration), độ sắc nét (sharpness)</w:t>
            </w:r>
          </w:p>
        </w:tc>
        <w:tc>
          <w:tcPr>
            <w:tcW w:type="dxa" w:w="1212"/>
            <w:vAlign w:val="center"/>
          </w:tcPr>
          <w:p>
            <w:pPr>
              <w:spacing w:before="20" w:after="20" w:line="260" w:lineRule="auto"/>
              <w:ind w:firstLine="0"/>
              <w:jc w:val="center"/>
            </w:pPr>
            <w:r>
              <w:rPr>
                <w:sz w:val="20"/>
                <w:szCs w:val="20"/>
              </w:rPr>
              <w:t xml:space="preserve">61</w:t>
            </w:r>
          </w:p>
        </w:tc>
      </w:tr>
      <w:tr>
        <w:trPr>
          <w:cantSplit/>
        </w:trPr>
        <w:tc>
          <w:tcPr>
            <w:tcW w:type="dxa" w:w="747"/>
            <w:vAlign w:val="center"/>
          </w:tcPr>
          <w:p>
            <w:pPr>
              <w:spacing w:before="20" w:after="20" w:line="260" w:lineRule="auto"/>
              <w:ind w:firstLine="0"/>
              <w:jc w:val="center"/>
            </w:pPr>
            <w:r>
              <w:rPr>
                <w:sz w:val="20"/>
                <w:szCs w:val="20"/>
              </w:rPr>
              <w:t xml:space="preserve">06</w:t>
            </w:r>
          </w:p>
        </w:tc>
        <w:tc>
          <w:tcPr>
            <w:tcW w:type="dxa" w:w="1563"/>
            <w:vAlign w:val="center"/>
          </w:tcPr>
          <w:p>
            <w:pPr>
              <w:spacing w:before="20" w:after="20" w:line="260" w:lineRule="auto"/>
              <w:ind w:firstLine="0"/>
              <w:jc w:val="left"/>
            </w:pPr>
            <w:r>
              <w:rPr>
                <w:sz w:val="20"/>
                <w:szCs w:val="20"/>
              </w:rPr>
              <w:t xml:space="preserve">Kịch bản khuyến mãi</w:t>
            </w:r>
          </w:p>
        </w:tc>
        <w:tc>
          <w:tcPr>
            <w:tcW w:type="dxa" w:w="2655"/>
            <w:vAlign w:val="center"/>
          </w:tcPr>
          <w:p>
            <w:pPr>
              <w:spacing w:before="20" w:after="20" w:line="260" w:lineRule="auto"/>
              <w:ind w:firstLine="0"/>
              <w:jc w:val="left"/>
            </w:pPr>
            <w:r>
              <w:rPr>
                <w:sz w:val="20"/>
                <w:szCs w:val="20"/>
              </w:rPr>
              <w:t xml:space="preserve">promotion_scenarios.csv, promotion_scenario_summary.csv</w:t>
            </w:r>
          </w:p>
        </w:tc>
        <w:tc>
          <w:tcPr>
            <w:tcW w:type="dxa" w:w="2894"/>
            <w:vAlign w:val="center"/>
          </w:tcPr>
          <w:p>
            <w:pPr>
              <w:spacing w:before="20" w:after="20" w:line="260" w:lineRule="auto"/>
              <w:ind w:firstLine="0"/>
              <w:jc w:val="left"/>
            </w:pPr>
            <w:r>
              <w:rPr>
                <w:sz w:val="20"/>
                <w:szCs w:val="20"/>
              </w:rPr>
              <w:t xml:space="preserve">Phân tích what-if có điều kiện, không mang nghĩa nhân quả</w:t>
            </w:r>
          </w:p>
        </w:tc>
        <w:tc>
          <w:tcPr>
            <w:tcW w:type="dxa" w:w="1212"/>
            <w:vAlign w:val="center"/>
          </w:tcPr>
          <w:p>
            <w:pPr>
              <w:spacing w:before="20" w:after="20" w:line="260" w:lineRule="auto"/>
              <w:ind w:firstLine="0"/>
              <w:jc w:val="center"/>
            </w:pPr>
            <w:r>
              <w:rPr>
                <w:sz w:val="20"/>
                <w:szCs w:val="20"/>
              </w:rPr>
              <w:t xml:space="preserve">3</w:t>
            </w:r>
          </w:p>
        </w:tc>
      </w:tr>
      <w:tr>
        <w:trPr>
          <w:cantSplit/>
        </w:trPr>
        <w:tc>
          <w:tcPr>
            <w:tcW w:type="dxa" w:w="747"/>
            <w:vAlign w:val="center"/>
          </w:tcPr>
          <w:p>
            <w:pPr>
              <w:spacing w:before="20" w:after="20" w:line="260" w:lineRule="auto"/>
              <w:ind w:firstLine="0"/>
              <w:jc w:val="center"/>
            </w:pPr>
            <w:r>
              <w:rPr>
                <w:sz w:val="20"/>
                <w:szCs w:val="20"/>
              </w:rPr>
              <w:t xml:space="preserve">07</w:t>
            </w:r>
          </w:p>
        </w:tc>
        <w:tc>
          <w:tcPr>
            <w:tcW w:type="dxa" w:w="1563"/>
            <w:vAlign w:val="center"/>
          </w:tcPr>
          <w:p>
            <w:pPr>
              <w:spacing w:before="20" w:after="20" w:line="260" w:lineRule="auto"/>
              <w:ind w:firstLine="0"/>
              <w:jc w:val="left"/>
            </w:pPr>
            <w:r>
              <w:rPr>
                <w:sz w:val="20"/>
                <w:szCs w:val="20"/>
              </w:rPr>
              <w:t xml:space="preserve">Hỗ trợ quyết định tồn kho</w:t>
            </w:r>
          </w:p>
        </w:tc>
        <w:tc>
          <w:tcPr>
            <w:tcW w:type="dxa" w:w="2655"/>
            <w:vAlign w:val="center"/>
          </w:tcPr>
          <w:p>
            <w:pPr>
              <w:spacing w:before="20" w:after="20" w:line="260" w:lineRule="auto"/>
              <w:ind w:firstLine="0"/>
              <w:jc w:val="left"/>
            </w:pPr>
            <w:r>
              <w:rPr>
                <w:sz w:val="20"/>
                <w:szCs w:val="20"/>
              </w:rPr>
              <w:t xml:space="preserve">inventory_recommendations.csv, inventory_assumptions.csv</w:t>
            </w:r>
          </w:p>
        </w:tc>
        <w:tc>
          <w:tcPr>
            <w:tcW w:type="dxa" w:w="2894"/>
            <w:vAlign w:val="center"/>
          </w:tcPr>
          <w:p>
            <w:pPr>
              <w:spacing w:before="20" w:after="20" w:line="260" w:lineRule="auto"/>
              <w:ind w:firstLine="0"/>
              <w:jc w:val="left"/>
            </w:pPr>
            <w:r>
              <w:rPr>
                <w:sz w:val="20"/>
                <w:szCs w:val="20"/>
              </w:rPr>
              <w:t xml:space="preserve">Lớp quyết định theo logic Newsvendor và kịch bản</w:t>
            </w:r>
          </w:p>
        </w:tc>
        <w:tc>
          <w:tcPr>
            <w:tcW w:type="dxa" w:w="1212"/>
            <w:vAlign w:val="center"/>
          </w:tcPr>
          <w:p>
            <w:pPr>
              <w:spacing w:before="20" w:after="20" w:line="260" w:lineRule="auto"/>
              <w:ind w:firstLine="0"/>
              <w:jc w:val="center"/>
            </w:pPr>
            <w:r>
              <w:rPr>
                <w:sz w:val="20"/>
                <w:szCs w:val="20"/>
              </w:rPr>
              <w:t xml:space="preserve">1</w:t>
            </w:r>
          </w:p>
        </w:tc>
      </w:tr>
      <w:tr>
        <w:trPr>
          <w:cantSplit/>
        </w:trPr>
        <w:tc>
          <w:tcPr>
            <w:tcW w:type="dxa" w:w="747"/>
            <w:vAlign w:val="center"/>
          </w:tcPr>
          <w:p>
            <w:pPr>
              <w:spacing w:before="20" w:after="20" w:line="260" w:lineRule="auto"/>
              <w:ind w:firstLine="0"/>
              <w:jc w:val="center"/>
            </w:pPr>
            <w:r>
              <w:rPr>
                <w:sz w:val="20"/>
                <w:szCs w:val="20"/>
              </w:rPr>
              <w:t xml:space="preserve">08</w:t>
            </w:r>
          </w:p>
        </w:tc>
        <w:tc>
          <w:tcPr>
            <w:tcW w:type="dxa" w:w="1563"/>
            <w:vAlign w:val="center"/>
          </w:tcPr>
          <w:p>
            <w:pPr>
              <w:spacing w:before="20" w:after="20" w:line="260" w:lineRule="auto"/>
              <w:ind w:firstLine="0"/>
              <w:jc w:val="left"/>
            </w:pPr>
            <w:r>
              <w:rPr>
                <w:sz w:val="20"/>
                <w:szCs w:val="20"/>
              </w:rPr>
              <w:t xml:space="preserve">Hỗ trợ quyết định bằng GenAI</w:t>
            </w:r>
          </w:p>
        </w:tc>
        <w:tc>
          <w:tcPr>
            <w:tcW w:type="dxa" w:w="2655"/>
            <w:vAlign w:val="center"/>
          </w:tcPr>
          <w:p>
            <w:pPr>
              <w:spacing w:before="20" w:after="20" w:line="260" w:lineRule="auto"/>
              <w:ind w:firstLine="0"/>
              <w:jc w:val="left"/>
            </w:pPr>
            <w:r>
              <w:rPr>
                <w:sz w:val="20"/>
                <w:szCs w:val="20"/>
              </w:rPr>
              <w:t xml:space="preserve">decision_queue.csv, decision_cases.jsonl, decision_briefs/*.md, genai_run_status.csv</w:t>
            </w:r>
          </w:p>
        </w:tc>
        <w:tc>
          <w:tcPr>
            <w:tcW w:type="dxa" w:w="2894"/>
            <w:vAlign w:val="center"/>
          </w:tcPr>
          <w:p>
            <w:pPr>
              <w:spacing w:before="20" w:after="20" w:line="260" w:lineRule="auto"/>
              <w:ind w:firstLine="0"/>
              <w:jc w:val="left"/>
            </w:pPr>
            <w:r>
              <w:rPr>
                <w:sz w:val="20"/>
                <w:szCs w:val="20"/>
              </w:rPr>
              <w:t xml:space="preserve">Điểm ưu tiên, phiếu khuyến nghị, RAG, kiểm tra bám bằng chứng, HITL</w:t>
            </w:r>
          </w:p>
        </w:tc>
        <w:tc>
          <w:tcPr>
            <w:tcW w:type="dxa" w:w="1212"/>
            <w:vAlign w:val="center"/>
          </w:tcPr>
          <w:p>
            <w:pPr>
              <w:spacing w:before="20" w:after="20" w:line="260" w:lineRule="auto"/>
              <w:ind w:firstLine="0"/>
              <w:jc w:val="center"/>
            </w:pPr>
            <w:r>
              <w:rPr>
                <w:sz w:val="20"/>
                <w:szCs w:val="20"/>
              </w:rPr>
              <w:t xml:space="preserve">9</w:t>
            </w:r>
          </w:p>
        </w:tc>
      </w:tr>
      <w:tr>
        <w:trPr>
          <w:cantSplit/>
        </w:trPr>
        <w:tc>
          <w:tcPr>
            <w:tcW w:type="dxa" w:w="747"/>
            <w:vAlign w:val="center"/>
          </w:tcPr>
          <w:p>
            <w:pPr>
              <w:spacing w:before="20" w:after="20" w:line="260" w:lineRule="auto"/>
              <w:ind w:firstLine="0"/>
              <w:jc w:val="center"/>
            </w:pPr>
            <w:r>
              <w:rPr>
                <w:sz w:val="20"/>
                <w:szCs w:val="20"/>
              </w:rPr>
              <w:t xml:space="preserve">09</w:t>
            </w:r>
          </w:p>
        </w:tc>
        <w:tc>
          <w:tcPr>
            <w:tcW w:type="dxa" w:w="1563"/>
            <w:vAlign w:val="center"/>
          </w:tcPr>
          <w:p>
            <w:pPr>
              <w:spacing w:before="20" w:after="20" w:line="260" w:lineRule="auto"/>
              <w:ind w:firstLine="0"/>
              <w:jc w:val="left"/>
            </w:pPr>
            <w:r>
              <w:rPr>
                <w:sz w:val="20"/>
                <w:szCs w:val="20"/>
              </w:rPr>
              <w:t xml:space="preserve">Tóm tắt nghiên cứu</w:t>
            </w:r>
          </w:p>
        </w:tc>
        <w:tc>
          <w:tcPr>
            <w:tcW w:type="dxa" w:w="2655"/>
            <w:vAlign w:val="center"/>
          </w:tcPr>
          <w:p>
            <w:pPr>
              <w:spacing w:before="20" w:after="20" w:line="260" w:lineRule="auto"/>
              <w:ind w:firstLine="0"/>
              <w:jc w:val="left"/>
            </w:pPr>
            <w:r>
              <w:rPr>
                <w:sz w:val="20"/>
                <w:szCs w:val="20"/>
              </w:rPr>
              <w:t xml:space="preserve">research_summary.json</w:t>
            </w:r>
          </w:p>
        </w:tc>
        <w:tc>
          <w:tcPr>
            <w:tcW w:type="dxa" w:w="2894"/>
            <w:vAlign w:val="center"/>
          </w:tcPr>
          <w:p>
            <w:pPr>
              <w:spacing w:before="20" w:after="20" w:line="260" w:lineRule="auto"/>
              <w:ind w:firstLine="0"/>
              <w:jc w:val="left"/>
            </w:pPr>
            <w:r>
              <w:rPr>
                <w:sz w:val="20"/>
                <w:szCs w:val="20"/>
              </w:rPr>
              <w:t xml:space="preserve">Tóm tắt bằng chứng</w:t>
            </w:r>
          </w:p>
        </w:tc>
        <w:tc>
          <w:tcPr>
            <w:tcW w:type="dxa" w:w="1212"/>
            <w:vAlign w:val="center"/>
          </w:tcPr>
          <w:p>
            <w:pPr>
              <w:spacing w:before="20" w:after="20" w:line="260" w:lineRule="auto"/>
              <w:ind w:firstLine="0"/>
              <w:jc w:val="center"/>
            </w:pPr>
            <w:r>
              <w:rPr>
                <w:sz w:val="20"/>
                <w:szCs w:val="20"/>
              </w:rPr>
              <w:t xml:space="preserve">1</w:t>
            </w:r>
          </w:p>
        </w:tc>
      </w:tr>
      <w:tr>
        <w:trPr>
          <w:cantSplit/>
        </w:trPr>
        <w:tc>
          <w:tcPr>
            <w:tcW w:type="dxa" w:w="747"/>
            <w:vAlign w:val="center"/>
          </w:tcPr>
          <w:p>
            <w:pPr>
              <w:spacing w:before="20" w:after="20" w:line="260" w:lineRule="auto"/>
              <w:ind w:firstLine="0"/>
              <w:jc w:val="center"/>
            </w:pPr>
            <w:r>
              <w:rPr>
                <w:sz w:val="20"/>
                <w:szCs w:val="20"/>
              </w:rPr>
              <w:t xml:space="preserve">10</w:t>
            </w:r>
          </w:p>
        </w:tc>
        <w:tc>
          <w:tcPr>
            <w:tcW w:type="dxa" w:w="1563"/>
            <w:vAlign w:val="center"/>
          </w:tcPr>
          <w:p>
            <w:pPr>
              <w:spacing w:before="20" w:after="20" w:line="260" w:lineRule="auto"/>
              <w:ind w:firstLine="0"/>
              <w:jc w:val="left"/>
            </w:pPr>
            <w:r>
              <w:rPr>
                <w:sz w:val="20"/>
                <w:szCs w:val="20"/>
              </w:rPr>
              <w:t xml:space="preserve">Kiểm thử nhanh (smoke test)</w:t>
            </w:r>
          </w:p>
        </w:tc>
        <w:tc>
          <w:tcPr>
            <w:tcW w:type="dxa" w:w="2655"/>
            <w:vAlign w:val="center"/>
          </w:tcPr>
          <w:p>
            <w:pPr>
              <w:spacing w:before="20" w:after="20" w:line="260" w:lineRule="auto"/>
              <w:ind w:firstLine="0"/>
              <w:jc w:val="left"/>
            </w:pPr>
            <w:r>
              <w:rPr>
                <w:sz w:val="20"/>
                <w:szCs w:val="20"/>
              </w:rPr>
              <w:t xml:space="preserve">Kết quả kiểm thử</w:t>
            </w:r>
          </w:p>
        </w:tc>
        <w:tc>
          <w:tcPr>
            <w:tcW w:type="dxa" w:w="2894"/>
            <w:vAlign w:val="center"/>
          </w:tcPr>
          <w:p>
            <w:pPr>
              <w:spacing w:before="20" w:after="20" w:line="260" w:lineRule="auto"/>
              <w:ind w:firstLine="0"/>
              <w:jc w:val="left"/>
            </w:pPr>
            <w:r>
              <w:rPr>
                <w:sz w:val="20"/>
                <w:szCs w:val="20"/>
              </w:rPr>
              <w:t xml:space="preserve">Kiểm tra đủ đầu ra của các stage và các ràng buộc phương pháp</w:t>
            </w:r>
          </w:p>
        </w:tc>
        <w:tc>
          <w:tcPr>
            <w:tcW w:type="dxa" w:w="1212"/>
            <w:vAlign w:val="center"/>
          </w:tcPr>
          <w:p>
            <w:pPr>
              <w:spacing w:before="20" w:after="20" w:line="260" w:lineRule="auto"/>
              <w:ind w:firstLine="0"/>
              <w:jc w:val="center"/>
            </w:pPr>
            <w:r>
              <w:rPr>
                <w:sz w:val="20"/>
                <w:szCs w:val="20"/>
              </w:rPr>
              <w:t xml:space="preserve">0</w:t>
            </w:r>
          </w:p>
        </w:tc>
      </w:tr>
      <w:tr>
        <w:trPr>
          <w:cantSplit/>
        </w:trPr>
        <w:tc>
          <w:tcPr>
            <w:tcW w:type="dxa" w:w="747"/>
            <w:vAlign w:val="center"/>
          </w:tcPr>
          <w:p>
            <w:pPr>
              <w:spacing w:before="20" w:after="20" w:line="260" w:lineRule="auto"/>
              <w:ind w:firstLine="0"/>
              <w:jc w:val="center"/>
            </w:pPr>
            <w:r>
              <w:rPr>
                <w:sz w:val="20"/>
                <w:szCs w:val="20"/>
              </w:rPr>
              <w:t xml:space="preserve">11</w:t>
            </w:r>
          </w:p>
        </w:tc>
        <w:tc>
          <w:tcPr>
            <w:tcW w:type="dxa" w:w="1563"/>
            <w:vAlign w:val="center"/>
          </w:tcPr>
          <w:p>
            <w:pPr>
              <w:spacing w:before="20" w:after="20" w:line="260" w:lineRule="auto"/>
              <w:ind w:firstLine="0"/>
              <w:jc w:val="left"/>
            </w:pPr>
            <w:r>
              <w:rPr>
                <w:sz w:val="20"/>
                <w:szCs w:val="20"/>
              </w:rPr>
              <w:t xml:space="preserve">Chẩn đoán sai số dự báo</w:t>
            </w:r>
          </w:p>
        </w:tc>
        <w:tc>
          <w:tcPr>
            <w:tcW w:type="dxa" w:w="2655"/>
            <w:vAlign w:val="center"/>
          </w:tcPr>
          <w:p>
            <w:pPr>
              <w:spacing w:before="20" w:after="20" w:line="260" w:lineRule="auto"/>
              <w:ind w:firstLine="0"/>
              <w:jc w:val="left"/>
            </w:pPr>
            <w:r>
              <w:rPr>
                <w:sz w:val="20"/>
                <w:szCs w:val="20"/>
              </w:rPr>
              <w:t xml:space="preserve">error_by_store.csv, error_by_family.csv, error_by_series.csv, error_by_demand_level.csv</w:t>
            </w:r>
          </w:p>
        </w:tc>
        <w:tc>
          <w:tcPr>
            <w:tcW w:type="dxa" w:w="2894"/>
            <w:vAlign w:val="center"/>
          </w:tcPr>
          <w:p>
            <w:pPr>
              <w:spacing w:before="20" w:after="20" w:line="260" w:lineRule="auto"/>
              <w:ind w:firstLine="0"/>
              <w:jc w:val="left"/>
            </w:pPr>
            <w:r>
              <w:rPr>
                <w:sz w:val="20"/>
                <w:szCs w:val="20"/>
              </w:rPr>
              <w:t xml:space="preserve">Sai số theo cửa hàng, nhóm, chuỗi, mức nhu cầu</w:t>
            </w:r>
          </w:p>
        </w:tc>
        <w:tc>
          <w:tcPr>
            <w:tcW w:type="dxa" w:w="1212"/>
            <w:vAlign w:val="center"/>
          </w:tcPr>
          <w:p>
            <w:pPr>
              <w:spacing w:before="20" w:after="20" w:line="260" w:lineRule="auto"/>
              <w:ind w:firstLine="0"/>
              <w:jc w:val="center"/>
            </w:pPr>
            <w:r>
              <w:rPr>
                <w:sz w:val="20"/>
                <w:szCs w:val="20"/>
              </w:rPr>
              <w:t xml:space="preserve">4</w:t>
            </w:r>
          </w:p>
        </w:tc>
      </w:tr>
      <w:tr>
        <w:trPr>
          <w:cantSplit/>
        </w:trPr>
        <w:tc>
          <w:tcPr>
            <w:tcW w:type="dxa" w:w="747"/>
            <w:vAlign w:val="center"/>
          </w:tcPr>
          <w:p>
            <w:pPr>
              <w:spacing w:before="20" w:after="20" w:line="260" w:lineRule="auto"/>
              <w:ind w:firstLine="0"/>
              <w:jc w:val="center"/>
            </w:pPr>
            <w:r>
              <w:rPr>
                <w:sz w:val="20"/>
                <w:szCs w:val="20"/>
              </w:rPr>
              <w:t xml:space="preserve">12</w:t>
            </w:r>
          </w:p>
        </w:tc>
        <w:tc>
          <w:tcPr>
            <w:tcW w:type="dxa" w:w="1563"/>
            <w:vAlign w:val="center"/>
          </w:tcPr>
          <w:p>
            <w:pPr>
              <w:spacing w:before="20" w:after="20" w:line="260" w:lineRule="auto"/>
              <w:ind w:firstLine="0"/>
              <w:jc w:val="left"/>
            </w:pPr>
            <w:r>
              <w:rPr>
                <w:sz w:val="20"/>
                <w:szCs w:val="20"/>
              </w:rPr>
              <w:t xml:space="preserve">Nghiên cứu tình huống</w:t>
            </w:r>
          </w:p>
        </w:tc>
        <w:tc>
          <w:tcPr>
            <w:tcW w:type="dxa" w:w="2655"/>
            <w:vAlign w:val="center"/>
          </w:tcPr>
          <w:p>
            <w:pPr>
              <w:spacing w:before="20" w:after="20" w:line="260" w:lineRule="auto"/>
              <w:ind w:firstLine="0"/>
              <w:jc w:val="left"/>
            </w:pPr>
            <w:r>
              <w:rPr>
                <w:sz w:val="20"/>
                <w:szCs w:val="20"/>
              </w:rPr>
              <w:t xml:space="preserve">case_study_index.csv, case_study_metrics.csv</w:t>
            </w:r>
          </w:p>
        </w:tc>
        <w:tc>
          <w:tcPr>
            <w:tcW w:type="dxa" w:w="2894"/>
            <w:vAlign w:val="center"/>
          </w:tcPr>
          <w:p>
            <w:pPr>
              <w:spacing w:before="20" w:after="20" w:line="260" w:lineRule="auto"/>
              <w:ind w:firstLine="0"/>
              <w:jc w:val="left"/>
            </w:pPr>
            <w:r>
              <w:rPr>
                <w:sz w:val="20"/>
                <w:szCs w:val="20"/>
              </w:rPr>
              <w:t xml:space="preserve">Phân tích ở cấp vi mô</w:t>
            </w:r>
          </w:p>
        </w:tc>
        <w:tc>
          <w:tcPr>
            <w:tcW w:type="dxa" w:w="1212"/>
            <w:vAlign w:val="center"/>
          </w:tcPr>
          <w:p>
            <w:pPr>
              <w:spacing w:before="20" w:after="20" w:line="260" w:lineRule="auto"/>
              <w:ind w:firstLine="0"/>
              <w:jc w:val="center"/>
            </w:pPr>
            <w:r>
              <w:rPr>
                <w:sz w:val="20"/>
                <w:szCs w:val="20"/>
              </w:rPr>
              <w:t xml:space="preserve">0</w:t>
            </w:r>
          </w:p>
        </w:tc>
      </w:tr>
      <w:tr>
        <w:trPr>
          <w:cantSplit/>
        </w:trPr>
        <w:tc>
          <w:tcPr>
            <w:tcW w:type="dxa" w:w="747"/>
            <w:vAlign w:val="center"/>
          </w:tcPr>
          <w:p>
            <w:pPr>
              <w:spacing w:before="20" w:after="20" w:line="260" w:lineRule="auto"/>
              <w:ind w:firstLine="0"/>
              <w:jc w:val="center"/>
            </w:pPr>
            <w:r>
              <w:rPr>
                <w:sz w:val="20"/>
                <w:szCs w:val="20"/>
              </w:rPr>
              <w:t xml:space="preserve">13</w:t>
            </w:r>
          </w:p>
        </w:tc>
        <w:tc>
          <w:tcPr>
            <w:tcW w:type="dxa" w:w="1563"/>
            <w:vAlign w:val="center"/>
          </w:tcPr>
          <w:p>
            <w:pPr>
              <w:spacing w:before="20" w:after="20" w:line="260" w:lineRule="auto"/>
              <w:ind w:firstLine="0"/>
              <w:jc w:val="left"/>
            </w:pPr>
            <w:r>
              <w:rPr>
                <w:sz w:val="20"/>
                <w:szCs w:val="20"/>
              </w:rPr>
              <w:t xml:space="preserve">Sinh bảng và hình cho luận văn</w:t>
            </w:r>
          </w:p>
        </w:tc>
        <w:tc>
          <w:tcPr>
            <w:tcW w:type="dxa" w:w="2655"/>
            <w:vAlign w:val="center"/>
          </w:tcPr>
          <w:p>
            <w:pPr>
              <w:spacing w:before="20" w:after="20" w:line="260" w:lineRule="auto"/>
              <w:ind w:firstLine="0"/>
              <w:jc w:val="left"/>
            </w:pPr>
            <w:r>
              <w:rPr>
                <w:sz w:val="20"/>
                <w:szCs w:val="20"/>
              </w:rPr>
              <w:t xml:space="preserve">REPORT_READY/tables (23 CSV), REPORT_READY/figures (27 hình)</w:t>
            </w:r>
          </w:p>
        </w:tc>
        <w:tc>
          <w:tcPr>
            <w:tcW w:type="dxa" w:w="2894"/>
            <w:vAlign w:val="center"/>
          </w:tcPr>
          <w:p>
            <w:pPr>
              <w:spacing w:before="20" w:after="20" w:line="260" w:lineRule="auto"/>
              <w:ind w:firstLine="0"/>
              <w:jc w:val="left"/>
            </w:pPr>
            <w:r>
              <w:rPr>
                <w:sz w:val="20"/>
                <w:szCs w:val="20"/>
              </w:rPr>
              <w:t xml:space="preserve">Bảo đảm mọi bảng, hình được sinh trực tiếp từ outputs của lần chạy</w:t>
            </w:r>
          </w:p>
        </w:tc>
        <w:tc>
          <w:tcPr>
            <w:tcW w:type="dxa" w:w="1212"/>
            <w:vAlign w:val="center"/>
          </w:tcPr>
          <w:p>
            <w:pPr>
              <w:spacing w:before="20" w:after="20" w:line="260" w:lineRule="auto"/>
              <w:ind w:firstLine="0"/>
              <w:jc w:val="center"/>
            </w:pPr>
            <w:r>
              <w:rPr>
                <w:sz w:val="20"/>
                <w:szCs w:val="20"/>
              </w:rPr>
              <w:t xml:space="preserve">9</w:t>
            </w:r>
          </w:p>
        </w:tc>
      </w:tr>
      <w:tr>
        <w:trPr>
          <w:cantSplit/>
        </w:trPr>
        <w:tc>
          <w:tcPr>
            <w:tcW w:type="dxa" w:w="747"/>
            <w:vAlign w:val="center"/>
          </w:tcPr>
          <w:p>
            <w:pPr>
              <w:spacing w:before="20" w:after="20" w:line="260" w:lineRule="auto"/>
              <w:ind w:firstLine="0"/>
              <w:jc w:val="center"/>
            </w:pPr>
            <w:r>
              <w:rPr>
                <w:sz w:val="20"/>
                <w:szCs w:val="20"/>
              </w:rPr>
              <w:t xml:space="preserve">14</w:t>
            </w:r>
          </w:p>
        </w:tc>
        <w:tc>
          <w:tcPr>
            <w:tcW w:type="dxa" w:w="1563"/>
            <w:vAlign w:val="center"/>
          </w:tcPr>
          <w:p>
            <w:pPr>
              <w:spacing w:before="20" w:after="20" w:line="260" w:lineRule="auto"/>
              <w:ind w:firstLine="0"/>
              <w:jc w:val="left"/>
            </w:pPr>
            <w:r>
              <w:rPr>
                <w:sz w:val="20"/>
                <w:szCs w:val="20"/>
              </w:rPr>
              <w:t xml:space="preserve">Thí nghiệm độ nhạy</w:t>
            </w:r>
          </w:p>
        </w:tc>
        <w:tc>
          <w:tcPr>
            <w:tcW w:type="dxa" w:w="2655"/>
            <w:vAlign w:val="center"/>
          </w:tcPr>
          <w:p>
            <w:pPr>
              <w:spacing w:before="20" w:after="20" w:line="260" w:lineRule="auto"/>
              <w:ind w:firstLine="0"/>
              <w:jc w:val="left"/>
            </w:pPr>
            <w:r>
              <w:rPr>
                <w:sz w:val="20"/>
                <w:szCs w:val="20"/>
              </w:rPr>
              <w:t xml:space="preserve">outputs/14_sensitivity/sensitivity_cv.csv</w:t>
            </w:r>
          </w:p>
        </w:tc>
        <w:tc>
          <w:tcPr>
            <w:tcW w:type="dxa" w:w="2894"/>
            <w:vAlign w:val="center"/>
          </w:tcPr>
          <w:p>
            <w:pPr>
              <w:spacing w:before="20" w:after="20" w:line="260" w:lineRule="auto"/>
              <w:ind w:firstLine="0"/>
              <w:jc w:val="left"/>
            </w:pPr>
            <w:r>
              <w:rPr>
                <w:sz w:val="20"/>
                <w:szCs w:val="20"/>
              </w:rPr>
              <w:t xml:space="preserve">Đo ảnh hưởng của quy mô dữ liệu huấn luyện XGBoost và của subsample_freq trong LightGBM, mỗi cấu hình thay đổi đúng một yếu tố</w:t>
            </w:r>
          </w:p>
        </w:tc>
        <w:tc>
          <w:tcPr>
            <w:tcW w:type="dxa" w:w="1212"/>
            <w:vAlign w:val="center"/>
          </w:tcPr>
          <w:p>
            <w:pPr>
              <w:spacing w:before="20" w:after="20" w:line="260" w:lineRule="auto"/>
              <w:ind w:firstLine="0"/>
              <w:jc w:val="center"/>
            </w:pPr>
            <w:r>
              <w:rPr>
                <w:sz w:val="20"/>
                <w:szCs w:val="20"/>
              </w:rPr>
              <w:t xml:space="preserve">171</w:t>
            </w:r>
          </w:p>
        </w:tc>
      </w:tr>
    </w:tbl>
    <w:p>
      <w:pPr>
        <w:spacing w:before="40" w:after="160"/>
        <w:ind w:firstLine="0"/>
      </w:pPr>
      <w:r>
        <w:rPr>
          <w:i/>
          <w:sz w:val="22"/>
          <w:szCs w:val="22"/>
        </w:rPr>
        <w:t xml:space="preserve">Nguồn: mã nguồn các Stage 01–14 và thư mục outputs của lần chạy chính thức; thời gian chạy đo trên môi trường 2 CPU, tổng thời gian toàn quy trình (Stage 01–14 chạy tuần tự trong một lần, kể cả 171 giây của Stage 14) 53,0 phút; tổng hợp và diễn giải tiếng Việt của tác giả.</w:t>
      </w:r>
    </w:p>
    <w:p>
      <w:pPr>
        <w:keepLines w:val="0"/>
        <w:spacing w:after="120"/>
        <w:ind w:firstLine="567"/>
      </w:pPr>
      <w:r>
        <w:t xml:space="preserve">Tầng kiểm chứng gồm các bước 09–14: tóm tắt bằng chứng, kiểm thử nhanh toàn quy trình, chẩn đoán sai số theo nhiều cấp, nghiên cứu tình huống, sinh tự động các bảng, hình và thí nghiệm độ nhạy của các lựa chọn thiết kế (mục 4.15). Bốn tầng tương ứng với năm câu hỏi nghiên cứu ở Chương 1: tầng dữ liệu trả lời RQ1; tầng mô hình trả lời RQ2; bước 05 trả lời RQ3; các bước 06–07 trả lời RQ4; bước 08 cùng dashboard trả lời RQ5. Nhờ bước 13, mọi bảng, hình và con số trong luận văn đều có đường truy vết về một tệp kết quả. Về chi phí tính toán, toàn bộ lần chạy mất 53,0 phút, trong đó riêng bước 04 chiếm 2.904 giây vì phải huấn luyện năm mô hình qua ba lần kiểm định và một lần cho tập kiểm tra cuối; các bước còn lại ngắn hơn nhiều: lâu nhất là Stage 14 (171 giây) và Stage 05 (61 giây), còn mọi bước khác không quá 12 giây. Vì mỗi bước đọc đầu ra của bước trước, giả định được truyền nguyên vẹn sang bước sau; do đó chương này mô tả kỹ các giả định.</w:t>
      </w:r>
    </w:p>
    <w:p>
      <w:pPr>
        <w:pStyle w:val="Heading2"/>
        <w:keepNext/>
      </w:pPr>
      <w:r>
        <w:t xml:space="preserve">3.2. Dữ liệu và kiểm tra chất lượng</w:t>
      </w:r>
    </w:p>
    <w:p>
      <w:pPr>
        <w:pStyle w:val="Heading3"/>
        <w:keepNext/>
      </w:pPr>
      <w:r>
        <w:t xml:space="preserve">3.2.1. Nguồn dữ liệu và cấu trúc bảng</w:t>
      </w:r>
    </w:p>
    <w:p>
      <w:pPr>
        <w:keepLines w:val="0"/>
        <w:spacing w:after="120"/>
        <w:ind w:firstLine="567"/>
      </w:pPr>
      <w:r>
        <w:t xml:space="preserve">Dữ liệu nghiên cứu là bộ Store Sales – Time Series Forecasting của Corporación Favorita được công bố trên Kaggle (Kaggle, n.d.). Tệp chính train.csv được hàm load_train trong src/common.py đọc vào và kiểm tra lược đồ: quy trình dừng lại nếu thiếu tệp hoặc thiếu một trong năm cột bắt buộc date, store_nbr, family, sales và onpromotion. Sau khi đọc, dữ liệu được sắp xếp theo store_nbr, family rồi date, nên các dòng của cùng một chuỗi nằm liên tiếp theo thứ tự thời gian. Các phép dịch và thống kê trượt ở mục 3.5 được tính trong từng chuỗi, nên tính đúng đắn của chúng phụ thuộc vào việc mỗi cặp chuỗi – ngày chỉ xuất hiện một lần và lưới ngày của mỗi chuỗi liên tục; điều kiện sau được bảo đảm ở bước 03.</w:t>
      </w:r>
    </w:p>
    <w:p>
      <w:pPr>
        <w:keepLines w:val="0"/>
        <w:spacing w:after="120"/>
        <w:ind w:firstLine="567"/>
      </w:pPr>
      <w:r>
        <w:t xml:space="preserve">Bên cạnh train.csv, quy trình sử dụng bốn tệp bổ sung của cùng bộ dữ liệu: stores.csv chứa thông tin tĩnh về cửa hàng, oil.csv chứa giá dầu theo ngày giao dịch, transactions.csv chứa số giao dịch theo cửa hàng và ngày, và holidays_events.csv chứa lịch ngày lễ, sự kiện. Trong lần chạy chính thức, cả bốn tệp đều được tích hợp, như optional_features_used.csv ghi nhận. Biến onpromotion là số mặt hàng thuộc nhóm sản phẩm đang được khuyến mãi tại cửa hàng trong ngày, không phải mức giảm giá. Dữ liệu không có giá bán, biên lợi nhuận, tồn kho thực hay thời gian cung ứng; giới hạn này thuộc về chính bộ dữ liệu và chi phối cách diễn giải của mọi lớp quyết định về sau.</w:t>
      </w:r>
    </w:p>
    <w:p>
      <w:pPr>
        <w:pStyle w:val="Heading3"/>
        <w:keepNext/>
      </w:pPr>
      <w:r>
        <w:t xml:space="preserve">3.2.2. Kết quả kiểm tra chất lượng dữ liệu</w:t>
      </w:r>
    </w:p>
    <w:p>
      <w:pPr>
        <w:keepLines w:val="0"/>
        <w:spacing w:after="120"/>
        <w:ind w:firstLine="567"/>
      </w:pPr>
      <w:r>
        <w:t xml:space="preserve">Bước 01 được thực hiện trước mọi phép biến đổi nhằm xác nhận quy mô, khóa định danh, miền thời gian và chất lượng cơ bản của biến mục tiêu. Bảng 3.2 tổng hợp kết quả. Tập train.csv có 3.000.888 quan sát trong giai đoạn từ 01/01/2013 đến 15/08/2017, bao phủ 54 cửa hàng, 33 nhóm sản phẩm và 1.782 chuỗi Store × Family. Không có giá trị thiếu ở sales và onpromotion, và không có bản ghi trùng theo khóa (date, store_nbr, family). Hai điều kiện này được viết gọn trong (3.3): số khóa phân biệt bằng số dòng N, và hai biến cốt lõi không rỗng. Kết quả kiểm tra được lưu trong data_quality.csv và được bước 13 xuất nguyên trạng sang REPORT_READY, nên mọi con số của bảng đều truy vết được về đầu ra của bước 01.</w:t>
      </w:r>
    </w:p>
    <w:p>
      <w:pPr>
        <w:tabs>
          <w:tab w:val="center" w:pos="4535"/>
          <w:tab w:val="right" w:pos="9071"/>
        </w:tabs>
        <w:spacing w:before="60" w:after="60"/>
        <w:ind w:firstLine="0"/>
      </w:pPr>
      <w:r>
        <w:tab/>
      </w:r>
      <m:oMath xmlns:a="http://schemas.openxmlformats.org/drawingml/2006/main" xmlns:pic="http://schemas.openxmlformats.org/drawingml/2006/picture">
        <m:r>
          <m:rPr>
            <m:sty m:val="p"/>
          </m:rPr>
          <m:t>|</m:t>
        </m:r>
        <m:r>
          <m:rPr>
            <m:sty m:val="p"/>
          </m:rPr>
          <m:t>{</m:t>
        </m:r>
        <m:d>
          <m:dPr>
            <m:begChr m:val="("/>
            <m:sepChr m:val=""/>
            <m:endChr m:val=")"/>
            <m:grow/>
          </m:dPr>
          <m:e>
            <m:sSub>
              <m:e>
                <m:r>
                  <m:t>s</m:t>
                </m:r>
              </m:e>
              <m:sub>
                <m:r>
                  <m:t>n</m:t>
                </m:r>
              </m:sub>
            </m:sSub>
            <m:r>
              <m:rPr>
                <m:sty m:val="p"/>
              </m:rPr>
              <m:t>,</m:t>
            </m:r>
            <m:sSub>
              <m:e>
                <m:r>
                  <m:t>f</m:t>
                </m:r>
              </m:e>
              <m:sub>
                <m:r>
                  <m:t>n</m:t>
                </m:r>
              </m:sub>
            </m:sSub>
            <m:r>
              <m:rPr>
                <m:sty m:val="p"/>
              </m:rPr>
              <m:t>,</m:t>
            </m:r>
            <m:sSub>
              <m:e>
                <m:r>
                  <m:t>t</m:t>
                </m:r>
              </m:e>
              <m:sub>
                <m:r>
                  <m:t>n</m:t>
                </m:r>
              </m:sub>
            </m:sSub>
          </m:e>
        </m:d>
        <m:sSubSup>
          <m:e>
            <m:r>
              <m:rPr>
                <m:sty m:val="p"/>
              </m:rPr>
              <m:t>}</m:t>
            </m:r>
          </m:e>
          <m:sub>
            <m:r>
              <m:t>n</m:t>
            </m:r>
            <m:r>
              <m:rPr>
                <m:sty m:val="p"/>
              </m:rPr>
              <m:t>=</m:t>
            </m:r>
            <m:r>
              <m:t>1</m:t>
            </m:r>
          </m:sub>
          <m:sup>
            <m:r>
              <m:t>N</m:t>
            </m:r>
          </m:sup>
        </m:sSubSup>
        <m:r>
          <m:rPr>
            <m:sty m:val="p"/>
          </m:rPr>
          <m:t>|</m:t>
        </m:r>
        <m:r>
          <m:rPr>
            <m:sty m:val="p"/>
          </m:rPr>
          <m:t>=</m:t>
        </m:r>
        <m:r>
          <m:t>N</m:t>
        </m:r>
        <m:r>
          <m:rPr>
            <m:sty m:val="p"/>
          </m:rPr>
          <m:t>=</m:t>
        </m:r>
        <m:r>
          <m:t>3</m:t>
        </m:r>
        <m:r>
          <m:t> </m:t>
        </m:r>
        <m:r>
          <m:t>000</m:t>
        </m:r>
        <m:r>
          <m:t> </m:t>
        </m:r>
        <m:r>
          <m:t>888</m:t>
        </m:r>
        <m:r>
          <m:rPr>
            <m:sty m:val="p"/>
          </m:rPr>
          <m:t>,</m:t>
        </m:r>
        <m:r>
          <m:t>  </m:t>
        </m:r>
        <m:nary>
          <m:naryPr>
            <m:chr m:val="∑"/>
            <m:limLoc m:val="undOvr"/>
            <m:subHide m:val="off"/>
            <m:supHide m:val="off"/>
          </m:naryPr>
          <m:sub>
            <m:r>
              <m:t>n</m:t>
            </m:r>
            <m:r>
              <m:rPr>
                <m:sty m:val="p"/>
              </m:rPr>
              <m:t>=</m:t>
            </m:r>
            <m:r>
              <m:t>1</m:t>
            </m:r>
          </m:sub>
          <m:sup>
            <m:r>
              <m:t>N</m:t>
            </m:r>
          </m:sup>
          <m:e>
            <m:r>
              <m:rPr>
                <m:scr m:val="double-struck"/>
                <m:sty m:val="p"/>
              </m:rPr>
              <m:t>1</m:t>
            </m:r>
          </m:e>
        </m:nary>
        <m:d>
          <m:dPr>
            <m:begChr m:val="["/>
            <m:sepChr m:val=""/>
            <m:endChr m:val="]"/>
            <m:grow/>
          </m:dPr>
          <m:e>
            <m:sSub>
              <m:e>
                <m:r>
                  <m:rPr>
                    <m:sty m:val="p"/>
                  </m:rPr>
                  <m:t>s</m:t>
                </m:r>
                <m:r>
                  <m:rPr>
                    <m:sty m:val="p"/>
                  </m:rPr>
                  <m:t>a</m:t>
                </m:r>
                <m:r>
                  <m:rPr>
                    <m:sty m:val="p"/>
                  </m:rPr>
                  <m:t>l</m:t>
                </m:r>
                <m:r>
                  <m:rPr>
                    <m:sty m:val="p"/>
                  </m:rPr>
                  <m:t>e</m:t>
                </m:r>
                <m:r>
                  <m:rPr>
                    <m:sty m:val="p"/>
                  </m:rPr>
                  <m:t>s</m:t>
                </m:r>
              </m:e>
              <m:sub>
                <m:r>
                  <m:t>n</m:t>
                </m:r>
              </m:sub>
            </m:sSub>
            <m:r>
              <m:rPr>
                <m:sty m:val="p"/>
              </m:rPr>
              <m:t>=</m:t>
            </m:r>
            <m:r>
              <m:rPr>
                <m:sty m:val="p"/>
              </m:rPr>
              <m:t>⌀</m:t>
            </m:r>
          </m:e>
        </m:d>
        <m:r>
          <m:rPr>
            <m:sty m:val="p"/>
          </m:rPr>
          <m:t>=</m:t>
        </m:r>
        <m:nary>
          <m:naryPr>
            <m:chr m:val="∑"/>
            <m:limLoc m:val="undOvr"/>
            <m:subHide m:val="off"/>
            <m:supHide m:val="off"/>
          </m:naryPr>
          <m:sub>
            <m:r>
              <m:t>n</m:t>
            </m:r>
            <m:r>
              <m:rPr>
                <m:sty m:val="p"/>
              </m:rPr>
              <m:t>=</m:t>
            </m:r>
            <m:r>
              <m:t>1</m:t>
            </m:r>
          </m:sub>
          <m:sup>
            <m:r>
              <m:t>N</m:t>
            </m:r>
          </m:sup>
          <m:e>
            <m:r>
              <m:rPr>
                <m:scr m:val="double-struck"/>
                <m:sty m:val="p"/>
              </m:rPr>
              <m:t>1</m:t>
            </m:r>
          </m:e>
        </m:nary>
        <m:d>
          <m:dPr>
            <m:begChr m:val="["/>
            <m:sepChr m:val=""/>
            <m:endChr m:val="]"/>
            <m:grow/>
          </m:dPr>
          <m:e>
            <m:sSub>
              <m:e>
                <m:r>
                  <m:rPr>
                    <m:sty m:val="p"/>
                  </m:rPr>
                  <m:t>o</m:t>
                </m:r>
                <m:r>
                  <m:rPr>
                    <m:sty m:val="p"/>
                  </m:rPr>
                  <m:t>n</m:t>
                </m:r>
                <m:r>
                  <m:rPr>
                    <m:sty m:val="p"/>
                  </m:rPr>
                  <m:t>p</m:t>
                </m:r>
                <m:r>
                  <m:rPr>
                    <m:sty m:val="p"/>
                  </m:rPr>
                  <m:t>r</m:t>
                </m:r>
                <m:r>
                  <m:rPr>
                    <m:sty m:val="p"/>
                  </m:rPr>
                  <m:t>o</m:t>
                </m:r>
                <m:r>
                  <m:rPr>
                    <m:sty m:val="p"/>
                  </m:rPr>
                  <m:t>m</m:t>
                </m:r>
                <m:r>
                  <m:rPr>
                    <m:sty m:val="p"/>
                  </m:rPr>
                  <m:t>o</m:t>
                </m:r>
                <m:r>
                  <m:rPr>
                    <m:sty m:val="p"/>
                  </m:rPr>
                  <m:t>t</m:t>
                </m:r>
                <m:r>
                  <m:rPr>
                    <m:sty m:val="p"/>
                  </m:rPr>
                  <m:t>i</m:t>
                </m:r>
                <m:r>
                  <m:rPr>
                    <m:sty m:val="p"/>
                  </m:rPr>
                  <m:t>o</m:t>
                </m:r>
                <m:r>
                  <m:rPr>
                    <m:sty m:val="p"/>
                  </m:rPr>
                  <m:t>n</m:t>
                </m:r>
              </m:e>
              <m:sub>
                <m:r>
                  <m:t>n</m:t>
                </m:r>
              </m:sub>
            </m:sSub>
            <m:r>
              <m:rPr>
                <m:sty m:val="p"/>
              </m:rPr>
              <m:t>=</m:t>
            </m:r>
            <m:r>
              <m:rPr>
                <m:sty m:val="p"/>
              </m:rPr>
              <m:t>⌀</m:t>
            </m:r>
          </m:e>
        </m:d>
        <m:r>
          <m:rPr>
            <m:sty m:val="p"/>
          </m:rPr>
          <m:t>=</m:t>
        </m:r>
        <m:r>
          <m:t>0</m:t>
        </m:r>
      </m:oMath>
      <w:r>
        <w:tab/>
        <w:t>(3.3)</w:t>
      </w:r>
    </w:p>
    <w:p>
      <w:pPr>
        <w:keepNext/>
        <w:spacing w:before="120" w:after="60"/>
        <w:ind w:firstLine="0"/>
        <w:jc w:val="center"/>
      </w:pPr>
      <w:r>
        <w:t xml:space="preserve">Bảng 3.2. Kết quả kiểm tra chất lượng dữ liệu của tệp train.csv</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697"/>
        <w:gridCol w:w="2758"/>
        <w:gridCol w:w="3616"/>
      </w:tblGrid>
      <w:tr>
        <w:trPr>
          <w:tblHeader/>
          <w:cantSplit/>
        </w:trPr>
        <w:tc>
          <w:tcPr>
            <w:tcW w:type="dxa" w:w="2697"/>
            <w:shd w:val="clear" w:color="auto" w:fill="D9E2F3"/>
            <w:vAlign w:val="center"/>
          </w:tcPr>
          <w:p>
            <w:pPr>
              <w:spacing w:before="20" w:after="20" w:line="260" w:lineRule="auto"/>
              <w:ind w:firstLine="0"/>
              <w:jc w:val="center"/>
            </w:pPr>
            <w:r>
              <w:rPr>
                <w:b/>
                <w:sz w:val="20"/>
                <w:szCs w:val="20"/>
              </w:rPr>
              <w:t xml:space="preserve">Tiêu chí kiểm tra</w:t>
            </w:r>
          </w:p>
        </w:tc>
        <w:tc>
          <w:tcPr>
            <w:tcW w:type="dxa" w:w="2758"/>
            <w:shd w:val="clear" w:color="auto" w:fill="D9E2F3"/>
            <w:vAlign w:val="center"/>
          </w:tcPr>
          <w:p>
            <w:pPr>
              <w:spacing w:before="20" w:after="20" w:line="260" w:lineRule="auto"/>
              <w:ind w:firstLine="0"/>
              <w:jc w:val="center"/>
            </w:pPr>
            <w:r>
              <w:rPr>
                <w:b/>
                <w:sz w:val="20"/>
                <w:szCs w:val="20"/>
              </w:rPr>
              <w:t xml:space="preserve">Kết quả</w:t>
            </w:r>
          </w:p>
        </w:tc>
        <w:tc>
          <w:tcPr>
            <w:tcW w:type="dxa" w:w="3616"/>
            <w:shd w:val="clear" w:color="auto" w:fill="D9E2F3"/>
            <w:vAlign w:val="center"/>
          </w:tcPr>
          <w:p>
            <w:pPr>
              <w:spacing w:before="20" w:after="20" w:line="260" w:lineRule="auto"/>
              <w:ind w:firstLine="0"/>
              <w:jc w:val="center"/>
            </w:pPr>
            <w:r>
              <w:rPr>
                <w:b/>
                <w:sz w:val="20"/>
                <w:szCs w:val="20"/>
              </w:rPr>
              <w:t xml:space="preserve">Ý nghĩa đối với các bước sau</w:t>
            </w:r>
          </w:p>
        </w:tc>
      </w:tr>
      <w:tr>
        <w:trPr>
          <w:cantSplit/>
        </w:trPr>
        <w:tc>
          <w:tcPr>
            <w:tcW w:type="dxa" w:w="2697"/>
            <w:vAlign w:val="center"/>
          </w:tcPr>
          <w:p>
            <w:pPr>
              <w:spacing w:before="20" w:after="20" w:line="260" w:lineRule="auto"/>
              <w:ind w:firstLine="0"/>
              <w:jc w:val="left"/>
            </w:pPr>
            <w:r>
              <w:rPr>
                <w:sz w:val="20"/>
                <w:szCs w:val="20"/>
              </w:rPr>
              <w:t xml:space="preserve">Số quan sát</w:t>
            </w:r>
          </w:p>
        </w:tc>
        <w:tc>
          <w:tcPr>
            <w:tcW w:type="dxa" w:w="2758"/>
            <w:vAlign w:val="center"/>
          </w:tcPr>
          <w:p>
            <w:pPr>
              <w:spacing w:before="20" w:after="20" w:line="260" w:lineRule="auto"/>
              <w:ind w:firstLine="0"/>
              <w:jc w:val="center"/>
            </w:pPr>
            <w:r>
              <w:rPr>
                <w:sz w:val="20"/>
                <w:szCs w:val="20"/>
              </w:rPr>
              <w:t xml:space="preserve">3.000.888</w:t>
            </w:r>
          </w:p>
        </w:tc>
        <w:tc>
          <w:tcPr>
            <w:tcW w:type="dxa" w:w="3616"/>
            <w:vAlign w:val="center"/>
          </w:tcPr>
          <w:p>
            <w:pPr>
              <w:spacing w:before="20" w:after="20" w:line="260" w:lineRule="auto"/>
              <w:ind w:firstLine="0"/>
              <w:jc w:val="left"/>
            </w:pPr>
            <w:r>
              <w:rPr>
                <w:sz w:val="20"/>
                <w:szCs w:val="20"/>
              </w:rPr>
              <w:t xml:space="preserve">Quy mô panel toàn cục</w:t>
            </w:r>
          </w:p>
        </w:tc>
      </w:tr>
      <w:tr>
        <w:trPr>
          <w:cantSplit/>
        </w:trPr>
        <w:tc>
          <w:tcPr>
            <w:tcW w:type="dxa" w:w="2697"/>
            <w:vAlign w:val="center"/>
          </w:tcPr>
          <w:p>
            <w:pPr>
              <w:spacing w:before="20" w:after="20" w:line="260" w:lineRule="auto"/>
              <w:ind w:firstLine="0"/>
              <w:jc w:val="left"/>
            </w:pPr>
            <w:r>
              <w:rPr>
                <w:sz w:val="20"/>
                <w:szCs w:val="20"/>
              </w:rPr>
              <w:t xml:space="preserve">Khoảng thời gian</w:t>
            </w:r>
          </w:p>
        </w:tc>
        <w:tc>
          <w:tcPr>
            <w:tcW w:type="dxa" w:w="2758"/>
            <w:vAlign w:val="center"/>
          </w:tcPr>
          <w:p>
            <w:pPr>
              <w:spacing w:before="20" w:after="20" w:line="260" w:lineRule="auto"/>
              <w:ind w:firstLine="0"/>
              <w:jc w:val="left"/>
            </w:pPr>
            <w:r>
              <w:rPr>
                <w:sz w:val="20"/>
                <w:szCs w:val="20"/>
              </w:rPr>
              <w:t xml:space="preserve">01/01/2013 – 15/08/2017</w:t>
            </w:r>
          </w:p>
        </w:tc>
        <w:tc>
          <w:tcPr>
            <w:tcW w:type="dxa" w:w="3616"/>
            <w:vAlign w:val="center"/>
          </w:tcPr>
          <w:p>
            <w:pPr>
              <w:spacing w:before="20" w:after="20" w:line="260" w:lineRule="auto"/>
              <w:ind w:firstLine="0"/>
              <w:jc w:val="left"/>
            </w:pPr>
            <w:r>
              <w:rPr>
                <w:sz w:val="20"/>
                <w:szCs w:val="20"/>
              </w:rPr>
              <w:t xml:space="preserve">Miền thời gian cho chia dữ liệu theo thời gian</w:t>
            </w:r>
          </w:p>
        </w:tc>
      </w:tr>
      <w:tr>
        <w:trPr>
          <w:cantSplit/>
        </w:trPr>
        <w:tc>
          <w:tcPr>
            <w:tcW w:type="dxa" w:w="2697"/>
            <w:vAlign w:val="center"/>
          </w:tcPr>
          <w:p>
            <w:pPr>
              <w:spacing w:before="20" w:after="20" w:line="260" w:lineRule="auto"/>
              <w:ind w:firstLine="0"/>
              <w:jc w:val="left"/>
            </w:pPr>
            <w:r>
              <w:rPr>
                <w:sz w:val="20"/>
                <w:szCs w:val="20"/>
              </w:rPr>
              <w:t xml:space="preserve">Số cửa hàng / nhóm sản phẩm / chuỗi</w:t>
            </w:r>
          </w:p>
        </w:tc>
        <w:tc>
          <w:tcPr>
            <w:tcW w:type="dxa" w:w="2758"/>
            <w:vAlign w:val="center"/>
          </w:tcPr>
          <w:p>
            <w:pPr>
              <w:spacing w:before="20" w:after="20" w:line="260" w:lineRule="auto"/>
              <w:ind w:firstLine="0"/>
              <w:jc w:val="center"/>
            </w:pPr>
            <w:r>
              <w:rPr>
                <w:sz w:val="20"/>
                <w:szCs w:val="20"/>
              </w:rPr>
              <w:t xml:space="preserve">54 / 33 / 1.782</w:t>
            </w:r>
          </w:p>
        </w:tc>
        <w:tc>
          <w:tcPr>
            <w:tcW w:type="dxa" w:w="3616"/>
            <w:vAlign w:val="center"/>
          </w:tcPr>
          <w:p>
            <w:pPr>
              <w:spacing w:before="20" w:after="20" w:line="260" w:lineRule="auto"/>
              <w:ind w:firstLine="0"/>
              <w:jc w:val="left"/>
            </w:pPr>
            <w:r>
              <w:rPr>
                <w:sz w:val="20"/>
                <w:szCs w:val="20"/>
              </w:rPr>
              <w:t xml:space="preserve">Mẫu số khi diễn giải kết quả theo chuỗi</w:t>
            </w:r>
          </w:p>
        </w:tc>
      </w:tr>
      <w:tr>
        <w:trPr>
          <w:cantSplit/>
        </w:trPr>
        <w:tc>
          <w:tcPr>
            <w:tcW w:type="dxa" w:w="2697"/>
            <w:vAlign w:val="center"/>
          </w:tcPr>
          <w:p>
            <w:pPr>
              <w:spacing w:before="20" w:after="20" w:line="260" w:lineRule="auto"/>
              <w:ind w:firstLine="0"/>
              <w:jc w:val="left"/>
            </w:pPr>
            <w:r>
              <w:rPr>
                <w:sz w:val="20"/>
                <w:szCs w:val="20"/>
              </w:rPr>
              <w:t xml:space="preserve">Giá trị thiếu của sales / onpromotion</w:t>
            </w:r>
          </w:p>
        </w:tc>
        <w:tc>
          <w:tcPr>
            <w:tcW w:type="dxa" w:w="2758"/>
            <w:vAlign w:val="center"/>
          </w:tcPr>
          <w:p>
            <w:pPr>
              <w:spacing w:before="20" w:after="20" w:line="260" w:lineRule="auto"/>
              <w:ind w:firstLine="0"/>
              <w:jc w:val="center"/>
            </w:pPr>
            <w:r>
              <w:rPr>
                <w:sz w:val="20"/>
                <w:szCs w:val="20"/>
              </w:rPr>
              <w:t xml:space="preserve">0 / 0</w:t>
            </w:r>
          </w:p>
        </w:tc>
        <w:tc>
          <w:tcPr>
            <w:tcW w:type="dxa" w:w="3616"/>
            <w:vAlign w:val="center"/>
          </w:tcPr>
          <w:p>
            <w:pPr>
              <w:spacing w:before="20" w:after="20" w:line="260" w:lineRule="auto"/>
              <w:ind w:firstLine="0"/>
              <w:jc w:val="left"/>
            </w:pPr>
            <w:r>
              <w:rPr>
                <w:sz w:val="20"/>
                <w:szCs w:val="20"/>
              </w:rPr>
              <w:t xml:space="preserve">Không cần điền khuyết biến mục tiêu và biến khuyến mãi</w:t>
            </w:r>
          </w:p>
        </w:tc>
      </w:tr>
      <w:tr>
        <w:trPr>
          <w:cantSplit/>
        </w:trPr>
        <w:tc>
          <w:tcPr>
            <w:tcW w:type="dxa" w:w="2697"/>
            <w:vAlign w:val="center"/>
          </w:tcPr>
          <w:p>
            <w:pPr>
              <w:spacing w:before="20" w:after="20" w:line="260" w:lineRule="auto"/>
              <w:ind w:firstLine="0"/>
              <w:jc w:val="left"/>
            </w:pPr>
            <w:r>
              <w:rPr>
                <w:sz w:val="20"/>
                <w:szCs w:val="20"/>
              </w:rPr>
              <w:t xml:space="preserve">Bản ghi trùng theo (date, store_nbr, family)</w:t>
            </w:r>
          </w:p>
        </w:tc>
        <w:tc>
          <w:tcPr>
            <w:tcW w:type="dxa" w:w="2758"/>
            <w:vAlign w:val="center"/>
          </w:tcPr>
          <w:p>
            <w:pPr>
              <w:spacing w:before="20" w:after="20" w:line="260" w:lineRule="auto"/>
              <w:ind w:firstLine="0"/>
              <w:jc w:val="center"/>
            </w:pPr>
            <w:r>
              <w:rPr>
                <w:sz w:val="20"/>
                <w:szCs w:val="20"/>
              </w:rPr>
              <w:t xml:space="preserve">0</w:t>
            </w:r>
          </w:p>
        </w:tc>
        <w:tc>
          <w:tcPr>
            <w:tcW w:type="dxa" w:w="3616"/>
            <w:vAlign w:val="center"/>
          </w:tcPr>
          <w:p>
            <w:pPr>
              <w:spacing w:before="20" w:after="20" w:line="260" w:lineRule="auto"/>
              <w:ind w:firstLine="0"/>
              <w:jc w:val="left"/>
            </w:pPr>
            <w:r>
              <w:rPr>
                <w:sz w:val="20"/>
                <w:szCs w:val="20"/>
              </w:rPr>
              <w:t xml:space="preserve">Mỗi cặp chuỗi – ngày có đúng một giá trị</w:t>
            </w:r>
          </w:p>
        </w:tc>
      </w:tr>
      <w:tr>
        <w:trPr>
          <w:cantSplit/>
        </w:trPr>
        <w:tc>
          <w:tcPr>
            <w:tcW w:type="dxa" w:w="2697"/>
            <w:vAlign w:val="center"/>
          </w:tcPr>
          <w:p>
            <w:pPr>
              <w:spacing w:before="20" w:after="20" w:line="260" w:lineRule="auto"/>
              <w:ind w:firstLine="0"/>
              <w:jc w:val="left"/>
            </w:pPr>
            <w:r>
              <w:rPr>
                <w:sz w:val="20"/>
                <w:szCs w:val="20"/>
              </w:rPr>
              <w:t xml:space="preserve">Tỷ lệ dòng sales = 0</w:t>
            </w:r>
          </w:p>
        </w:tc>
        <w:tc>
          <w:tcPr>
            <w:tcW w:type="dxa" w:w="2758"/>
            <w:vAlign w:val="center"/>
          </w:tcPr>
          <w:p>
            <w:pPr>
              <w:spacing w:before="20" w:after="20" w:line="260" w:lineRule="auto"/>
              <w:ind w:firstLine="0"/>
              <w:jc w:val="center"/>
            </w:pPr>
            <w:r>
              <w:rPr>
                <w:sz w:val="20"/>
                <w:szCs w:val="20"/>
              </w:rPr>
              <w:t xml:space="preserve">31,30%</w:t>
            </w:r>
          </w:p>
        </w:tc>
        <w:tc>
          <w:tcPr>
            <w:tcW w:type="dxa" w:w="3616"/>
            <w:vAlign w:val="center"/>
          </w:tcPr>
          <w:p>
            <w:pPr>
              <w:spacing w:before="20" w:after="20" w:line="260" w:lineRule="auto"/>
              <w:ind w:firstLine="0"/>
              <w:jc w:val="left"/>
            </w:pPr>
            <w:r>
              <w:rPr>
                <w:sz w:val="20"/>
                <w:szCs w:val="20"/>
              </w:rPr>
              <w:t xml:space="preserve">Cầu gián đoạn phổ biến; ảnh hưởng lựa chọn thước đo</w:t>
            </w:r>
          </w:p>
        </w:tc>
      </w:tr>
      <w:tr>
        <w:trPr>
          <w:cantSplit/>
        </w:trPr>
        <w:tc>
          <w:tcPr>
            <w:tcW w:type="dxa" w:w="2697"/>
            <w:vAlign w:val="center"/>
          </w:tcPr>
          <w:p>
            <w:pPr>
              <w:spacing w:before="20" w:after="20" w:line="260" w:lineRule="auto"/>
              <w:ind w:firstLine="0"/>
              <w:jc w:val="left"/>
            </w:pPr>
            <w:r>
              <w:rPr>
                <w:sz w:val="20"/>
                <w:szCs w:val="20"/>
              </w:rPr>
              <w:t xml:space="preserve">Tỷ lệ dòng onpromotion &gt; 0</w:t>
            </w:r>
          </w:p>
        </w:tc>
        <w:tc>
          <w:tcPr>
            <w:tcW w:type="dxa" w:w="2758"/>
            <w:vAlign w:val="center"/>
          </w:tcPr>
          <w:p>
            <w:pPr>
              <w:spacing w:before="20" w:after="20" w:line="260" w:lineRule="auto"/>
              <w:ind w:firstLine="0"/>
              <w:jc w:val="center"/>
            </w:pPr>
            <w:r>
              <w:rPr>
                <w:sz w:val="20"/>
                <w:szCs w:val="20"/>
              </w:rPr>
              <w:t xml:space="preserve">20,37%</w:t>
            </w:r>
          </w:p>
        </w:tc>
        <w:tc>
          <w:tcPr>
            <w:tcW w:type="dxa" w:w="3616"/>
            <w:vAlign w:val="center"/>
          </w:tcPr>
          <w:p>
            <w:pPr>
              <w:spacing w:before="20" w:after="20" w:line="260" w:lineRule="auto"/>
              <w:ind w:firstLine="0"/>
              <w:jc w:val="left"/>
            </w:pPr>
            <w:r>
              <w:rPr>
                <w:sz w:val="20"/>
                <w:szCs w:val="20"/>
              </w:rPr>
              <w:t xml:space="preserve">Quy mô của nhóm có khuyến mãi</w:t>
            </w:r>
          </w:p>
        </w:tc>
      </w:tr>
      <w:tr>
        <w:trPr>
          <w:cantSplit/>
        </w:trPr>
        <w:tc>
          <w:tcPr>
            <w:tcW w:type="dxa" w:w="2697"/>
            <w:vAlign w:val="center"/>
          </w:tcPr>
          <w:p>
            <w:pPr>
              <w:spacing w:before="20" w:after="20" w:line="260" w:lineRule="auto"/>
              <w:ind w:firstLine="0"/>
              <w:jc w:val="left"/>
            </w:pPr>
            <w:r>
              <w:rPr>
                <w:sz w:val="20"/>
                <w:szCs w:val="20"/>
              </w:rPr>
              <w:t xml:space="preserve">Số ngày có quan sát / số ngày lịch</w:t>
            </w:r>
          </w:p>
        </w:tc>
        <w:tc>
          <w:tcPr>
            <w:tcW w:type="dxa" w:w="2758"/>
            <w:vAlign w:val="center"/>
          </w:tcPr>
          <w:p>
            <w:pPr>
              <w:spacing w:before="20" w:after="20" w:line="260" w:lineRule="auto"/>
              <w:ind w:firstLine="0"/>
              <w:jc w:val="center"/>
            </w:pPr>
            <w:r>
              <w:rPr>
                <w:sz w:val="20"/>
                <w:szCs w:val="20"/>
              </w:rPr>
              <w:t xml:space="preserve">1.684 / 1.688</w:t>
            </w:r>
          </w:p>
        </w:tc>
        <w:tc>
          <w:tcPr>
            <w:tcW w:type="dxa" w:w="3616"/>
            <w:vAlign w:val="center"/>
          </w:tcPr>
          <w:p>
            <w:pPr>
              <w:spacing w:before="20" w:after="20" w:line="260" w:lineRule="auto"/>
              <w:ind w:firstLine="0"/>
              <w:jc w:val="left"/>
            </w:pPr>
            <w:r>
              <w:rPr>
                <w:sz w:val="20"/>
                <w:szCs w:val="20"/>
              </w:rPr>
              <w:t xml:space="preserve">Chuỗi tổng thiếu bốn ngày</w:t>
            </w:r>
          </w:p>
        </w:tc>
      </w:tr>
      <w:tr>
        <w:trPr>
          <w:cantSplit/>
        </w:trPr>
        <w:tc>
          <w:tcPr>
            <w:tcW w:type="dxa" w:w="2697"/>
            <w:vAlign w:val="center"/>
          </w:tcPr>
          <w:p>
            <w:pPr>
              <w:spacing w:before="20" w:after="20" w:line="260" w:lineRule="auto"/>
              <w:ind w:firstLine="0"/>
              <w:jc w:val="left"/>
            </w:pPr>
            <w:r>
              <w:rPr>
                <w:sz w:val="20"/>
                <w:szCs w:val="20"/>
              </w:rPr>
              <w:t xml:space="preserve">Ngày vắng mặt (cửa hàng đóng cửa)</w:t>
            </w:r>
          </w:p>
        </w:tc>
        <w:tc>
          <w:tcPr>
            <w:tcW w:type="dxa" w:w="2758"/>
            <w:vAlign w:val="center"/>
          </w:tcPr>
          <w:p>
            <w:pPr>
              <w:spacing w:before="20" w:after="20" w:line="260" w:lineRule="auto"/>
              <w:ind w:firstLine="0"/>
              <w:jc w:val="left"/>
            </w:pPr>
            <w:r>
              <w:rPr>
                <w:sz w:val="20"/>
                <w:szCs w:val="20"/>
              </w:rPr>
              <w:t xml:space="preserve">25/12/2013; 25/12/2014; 25/12/2015; 25/12/2016</w:t>
            </w:r>
          </w:p>
        </w:tc>
        <w:tc>
          <w:tcPr>
            <w:tcW w:type="dxa" w:w="3616"/>
            <w:vAlign w:val="center"/>
          </w:tcPr>
          <w:p>
            <w:pPr>
              <w:spacing w:before="20" w:after="20" w:line="260" w:lineRule="auto"/>
              <w:ind w:firstLine="0"/>
              <w:jc w:val="left"/>
            </w:pPr>
            <w:r>
              <w:rPr>
                <w:sz w:val="20"/>
                <w:szCs w:val="20"/>
              </w:rPr>
              <w:t xml:space="preserve">Được nội suy khi phân rã STL; được bổ sung vào lịch với cờ closed = 1 ở bước 03</w:t>
            </w:r>
          </w:p>
        </w:tc>
      </w:tr>
    </w:tbl>
    <w:p>
      <w:pPr>
        <w:spacing w:before="40" w:after="160"/>
        <w:ind w:firstLine="0"/>
      </w:pPr>
      <w:r>
        <w:rPr>
          <w:i/>
          <w:sz w:val="22"/>
          <w:szCs w:val="22"/>
        </w:rPr>
        <w:t xml:space="preserve">Nguồn: data_quality.csv và daily_aggregate.csv (bước 01); REPORT_READY/tables/01_data_quality.csv.</w:t>
      </w:r>
    </w:p>
    <w:p>
      <w:pPr>
        <w:keepLines w:val="0"/>
        <w:spacing w:after="120"/>
        <w:ind w:firstLine="567"/>
      </w:pPr>
      <w:r>
        <w:t xml:space="preserve">Một phép đối chiếu đơn giản cho thêm thông tin về cấu trúc panel. Chuỗi tổng trong daily_aggregate.csv có 1.684 ngày có quan sát trên 1.688 ngày lịch, và 1.782 × 1.684 đúng bằng 3.000.888. Kết hợp với việc không có bản ghi trùng, panel là cân bằng trên các ngày có dữ liệu: mọi chuỗi có mặt ở mọi ngày có dữ liệu, và bốn ngày vắng mặt là chung cho toàn hệ thống, đều là ngày 25/12 của các năm 2013–2016, khi các cửa hàng đóng cửa. Khoảng trống này có hai hệ quả mà thiết kế xử lý tường minh: bước Robust STL điền bốn ngày trước khi phân rã (mục 3.4), và bước 03 chèn bốn ngày này vào lịch của từng chuỗi với sales = 0, onpromotion = 0 và cờ closed = 1, để mọi độ trễ là độ trễ theo ngày lịch (mục 3.5).</w:t>
      </w:r>
    </w:p>
    <w:p>
      <w:pPr>
        <w:keepLines w:val="0"/>
        <w:spacing w:after="120"/>
        <w:ind w:firstLine="567"/>
      </w:pPr>
      <w:r>
        <w:t xml:space="preserve">Hình 3.1 trực quan hóa quy mô dữ liệu sau kiểm tra theo bốn đại lượng: quan sát, cửa hàng, nhóm sản phẩm và chuỗi. Vì bốn đại lượng chênh nhau nhiều bậc độ lớn, hình dùng đơn vị khác nhau cho từng cột: số quan sát được biểu diễn theo triệu, số chuỗi theo trăm, còn số cửa hàng và số nhóm sản phẩm giữ nguyên đơn vị, và nhãn trên mỗi cột ghi giá trị thực 3.000.888, 54, 33 và 1.782. Hình vì vậy cần được đọc theo nhãn số chứ không theo chiều cao cột; điều nó nhấn mạnh là bài toán có số chuỗi vừa phải nhưng số dòng rất lớn. Hơn ba triệu dòng đủ để một mô hình toàn cục học quan hệ chung thay vì duy trì 1.782 mô hình riêng. Quy mô dòng này cũng giải thích vì sao Random Forest, mô hình có chi phí huấn luyện lớn nhất, được giới hạn mẫu ở mục 3.7.</w:t>
      </w:r>
    </w:p>
    <w:p>
      <w:pPr>
        <w:jc w:val="center"/>
      </w:pPr>
      <w:r>
        <w:drawing>
          <wp:inline xmlns:a="http://schemas.openxmlformats.org/drawingml/2006/main" xmlns:pic="http://schemas.openxmlformats.org/drawingml/2006/picture">
            <wp:extent cx="5580000" cy="2830434"/>
            <wp:docPr id="5001" name="Picture 5001"/>
            <wp:cNvGraphicFramePr>
              <a:graphicFrameLocks noChangeAspect="1"/>
            </wp:cNvGraphicFramePr>
            <a:graphic>
              <a:graphicData uri="http://schemas.openxmlformats.org/drawingml/2006/picture">
                <pic:pic>
                  <pic:nvPicPr>
                    <pic:cNvPr id="0" name="F01_data_scale_453.png"/>
                    <pic:cNvPicPr/>
                  </pic:nvPicPr>
                  <pic:blipFill>
                    <a:blip r:embed="rId100"/>
                    <a:stretch>
                      <a:fillRect/>
                    </a:stretch>
                  </pic:blipFill>
                  <pic:spPr>
                    <a:xfrm>
                      <a:off x="0" y="0"/>
                      <a:ext cx="5580000" cy="2830434"/>
                    </a:xfrm>
                    <a:prstGeom prst="rect"/>
                  </pic:spPr>
                </pic:pic>
              </a:graphicData>
            </a:graphic>
          </wp:inline>
        </w:drawing>
      </w:r>
    </w:p>
    <w:p>
      <w:pPr>
        <w:keepNext w:val="0"/>
        <w:spacing w:after="160"/>
        <w:ind w:firstLine="0"/>
        <w:jc w:val="center"/>
      </w:pPr>
      <w:r>
        <w:t xml:space="preserve">Hình 3.1. Quy mô dữ liệu sau kiểm tra: số quan sát (triệu), cửa hàng, nhóm sản phẩm và chuỗi Store × Family (trăm)</w:t>
      </w:r>
    </w:p>
    <w:p>
      <w:pPr>
        <w:spacing w:before="0" w:after="160"/>
        <w:ind w:firstLine="0"/>
        <w:jc w:val="center"/>
      </w:pPr>
      <w:r>
        <w:rPr>
          <w:i/>
          <w:sz w:val="22"/>
          <w:szCs w:val="22"/>
        </w:rPr>
        <w:t xml:space="preserve">Nguồn: REPORT_READY/figures/F01_data_scale.png</w:t>
      </w:r>
    </w:p>
    <w:p>
      <w:pPr>
        <w:pStyle w:val="Heading3"/>
        <w:keepNext/>
      </w:pPr>
      <w:r>
        <w:t xml:space="preserve">3.2.3. Phân phối biến mục tiêu và hàm ý đối với thước đo đánh giá</w:t>
      </w:r>
    </w:p>
    <w:p>
      <w:pPr>
        <w:keepLines w:val="0"/>
        <w:spacing w:after="120"/>
        <w:ind w:firstLine="567"/>
      </w:pPr>
      <w:r>
        <w:t xml:space="preserve">Phân phối của biến mục tiêu được kiểm tra vì nó ảnh hưởng trực tiếp đến lựa chọn thước đo. Có 31,30% số dòng có sales bằng 0, trong khi 20,37% số dòng có onpromotion lớn hơn 0. Gần một phần ba số quan sát bằng không là dấu hiệu của cầu gián đoạn (intermittent demand), dạng cầu cần cách tiếp cận riêng (Croston, 1972) và được phân loại theo khoảng cách trung bình giữa các lần phát sinh nhu cầu cùng độ biến thiên của quy mô nhu cầu (Syntetos và cộng sự, 2005). Trong panel toàn cục, các chuỗi gián đoạn cùng tồn tại với các chuỗi doanh số lớn như GROCERY I hay BEVERAGES, nên phân phối chung vừa tập trung tại 0 vừa có đuôi phải dài, một đặc điểm điển hình của dự báo bán lẻ ở cấp cửa hàng (Fildes và cộng sự, 2022). Trên tập kiểm tra cuối, 14,58% số dòng vẫn có sales bằng 0.</w:t>
      </w:r>
    </w:p>
    <w:p>
      <w:pPr>
        <w:keepLines w:val="0"/>
        <w:spacing w:after="120"/>
        <w:ind w:firstLine="567"/>
      </w:pPr>
      <w:r>
        <w:t xml:space="preserve">Tỷ lệ doanh số bằng 0 cao làm các thước đo phần trăm tính riêng từng quan sát dễ mất ổn định. Theo mã nguồn, sMAPE là trung bình của 2|y − ŷ|/(|y| + |ŷ|): mọi quan sát có y = 0 và ŷ &gt; 0 đóng góp số hạng cố định bằng 2 bất kể sai số tuyệt đối, còn quan sát có cả y và ŷ bằng 0 được tính sai số 0 nhưng vẫn nằm trong mẫu số trung bình. Hyndman và Koehler (2006) đã phân tích các hạn chế này của MAPE và sMAPE khi giá trị gần 0. Ngược lại, WAPE ở (3.4) đặt mẫu số là tổng doanh số thực tế, nên xác định được khi tổng này dương, và tự nhiên đặt trọng số lớn hơn cho các chuỗi quy mô lớn, vốn quan trọng hơn về vận hành. Đây là căn cứ để WAPE được chọn làm tiêu chí xếp hạng chính, còn sMAPE và RMSLE chỉ là thước đo bổ sung.</w:t>
      </w:r>
    </w:p>
    <w:p>
      <w:pPr>
        <w:tabs>
          <w:tab w:val="center" w:pos="4535"/>
          <w:tab w:val="right" w:pos="9071"/>
        </w:tabs>
        <w:spacing w:before="60" w:after="60"/>
        <w:ind w:firstLine="0"/>
      </w:pPr>
      <w:r>
        <w:tab/>
      </w:r>
      <m:oMath xmlns:a="http://schemas.openxmlformats.org/drawingml/2006/main" xmlns:pic="http://schemas.openxmlformats.org/drawingml/2006/picture">
        <m:r>
          <m:rPr>
            <m:sty m:val="p"/>
          </m:rPr>
          <m:t>W</m:t>
        </m:r>
        <m:r>
          <m:rPr>
            <m:sty m:val="p"/>
          </m:rPr>
          <m:t>A</m:t>
        </m:r>
        <m:r>
          <m:rPr>
            <m:sty m:val="p"/>
          </m:rPr>
          <m:t>P</m:t>
        </m:r>
        <m:r>
          <m:rPr>
            <m:sty m:val="p"/>
          </m:rPr>
          <m:t>E</m:t>
        </m:r>
        <m:r>
          <m:rPr>
            <m:sty m:val="p"/>
          </m:rPr>
          <m:t>=</m:t>
        </m:r>
        <m:f>
          <m:fPr>
            <m:type m:val="bar"/>
          </m:fPr>
          <m:num>
            <m:nary>
              <m:naryPr>
                <m:chr m:val="∑"/>
                <m:limLoc m:val="undOvr"/>
                <m:subHide m:val="off"/>
                <m:supHide m:val="on"/>
              </m:naryPr>
              <m:sub>
                <m:r>
                  <m:t>i</m:t>
                </m:r>
              </m:sub>
              <m:sup>
                <m:r>
                  <m:t>​</m:t>
                </m:r>
              </m:sup>
              <m:e>
                <m:nary>
                  <m:naryPr>
                    <m:chr m:val="∑"/>
                    <m:limLoc m:val="undOvr"/>
                    <m:subHide m:val="off"/>
                    <m:supHide m:val="on"/>
                  </m:naryPr>
                  <m:sub>
                    <m:r>
                      <m:t>t</m:t>
                    </m:r>
                  </m:sub>
                  <m:sup>
                    <m:r>
                      <m:t>​</m:t>
                    </m:r>
                  </m:sup>
                  <m:e>
                    <m:r>
                      <m:rPr>
                        <m:sty m:val="p"/>
                      </m:rPr>
                      <m:t>|</m:t>
                    </m:r>
                  </m:e>
                </m:nary>
              </m:e>
            </m:nary>
            <m:sSub>
              <m:e>
                <m:r>
                  <m:t>y</m:t>
                </m:r>
              </m:e>
              <m:sub>
                <m:r>
                  <m:t>i</m:t>
                </m:r>
                <m:r>
                  <m:rPr>
                    <m:sty m:val="p"/>
                  </m:rPr>
                  <m:t>,</m:t>
                </m:r>
                <m:r>
                  <m:t>t</m:t>
                </m:r>
              </m:sub>
            </m:sSub>
            <m:r>
              <m:rPr>
                <m:sty m:val="p"/>
              </m:rPr>
              <m:t>−</m:t>
            </m:r>
            <m:sSub>
              <m:e>
                <m:acc>
                  <m:accPr>
                    <m:chr m:val="̂"/>
                  </m:accPr>
                  <m:e>
                    <m:r>
                      <m:t>y</m:t>
                    </m:r>
                  </m:e>
                </m:acc>
              </m:e>
              <m:sub>
                <m:r>
                  <m:t>i</m:t>
                </m:r>
                <m:r>
                  <m:rPr>
                    <m:sty m:val="p"/>
                  </m:rPr>
                  <m:t>,</m:t>
                </m:r>
                <m:r>
                  <m:t>t</m:t>
                </m:r>
              </m:sub>
            </m:sSub>
            <m:r>
              <m:rPr>
                <m:sty m:val="p"/>
              </m:rPr>
              <m:t>|</m:t>
            </m:r>
          </m:num>
          <m:den>
            <m:nary>
              <m:naryPr>
                <m:chr m:val="∑"/>
                <m:limLoc m:val="undOvr"/>
                <m:subHide m:val="off"/>
                <m:supHide m:val="on"/>
              </m:naryPr>
              <m:sub>
                <m:r>
                  <m:t>i</m:t>
                </m:r>
              </m:sub>
              <m:sup>
                <m:r>
                  <m:t>​</m:t>
                </m:r>
              </m:sup>
              <m:e>
                <m:nary>
                  <m:naryPr>
                    <m:chr m:val="∑"/>
                    <m:limLoc m:val="undOvr"/>
                    <m:subHide m:val="off"/>
                    <m:supHide m:val="on"/>
                  </m:naryPr>
                  <m:sub>
                    <m:r>
                      <m:t>t</m:t>
                    </m:r>
                  </m:sub>
                  <m:sup>
                    <m:r>
                      <m:t>​</m:t>
                    </m:r>
                  </m:sup>
                  <m:e>
                    <m:r>
                      <m:rPr>
                        <m:sty m:val="p"/>
                      </m:rPr>
                      <m:t>|</m:t>
                    </m:r>
                  </m:e>
                </m:nary>
              </m:e>
            </m:nary>
            <m:sSub>
              <m:e>
                <m:r>
                  <m:t>y</m:t>
                </m:r>
              </m:e>
              <m:sub>
                <m:r>
                  <m:t>i</m:t>
                </m:r>
                <m:r>
                  <m:rPr>
                    <m:sty m:val="p"/>
                  </m:rPr>
                  <m:t>,</m:t>
                </m:r>
                <m:r>
                  <m:t>t</m:t>
                </m:r>
              </m:sub>
            </m:sSub>
            <m:r>
              <m:rPr>
                <m:sty m:val="p"/>
              </m:rPr>
              <m:t>|</m:t>
            </m:r>
          </m:den>
        </m:f>
        <m:r>
          <m:rPr>
            <m:sty m:val="p"/>
          </m:rPr>
          <m:t>×</m:t>
        </m:r>
        <m:r>
          <m:t>100</m:t>
        </m:r>
        <m:r>
          <m:rPr>
            <m:sty m:val="p"/>
          </m:rPr>
          <m:t>%</m:t>
        </m:r>
      </m:oMath>
      <w:r>
        <w:tab/>
        <w:t>(3.4)</w:t>
      </w:r>
    </w:p>
    <w:p>
      <w:pPr>
        <w:pStyle w:val="Heading2"/>
        <w:keepNext/>
      </w:pPr>
      <w:r>
        <w:t xml:space="preserve">3.3. Phân tích khám phá dữ liệu</w:t>
      </w:r>
    </w:p>
    <w:p>
      <w:pPr>
        <w:pStyle w:val="Heading3"/>
        <w:keepNext/>
      </w:pPr>
      <w:r>
        <w:t xml:space="preserve">3.3.1. Chuỗi doanh số tổng theo ngày</w:t>
      </w:r>
    </w:p>
    <w:p>
      <w:pPr>
        <w:keepLines w:val="0"/>
        <w:spacing w:after="120"/>
        <w:ind w:firstLine="567"/>
      </w:pPr>
      <w:r>
        <w:t xml:space="preserve">Phân tích khám phá dữ liệu (exploratory data analysis – EDA) được thực hiện ở bước 02, ở cấp toàn hệ thống và theo trạng thái khuyến mãi, nhằm nhận diện xu hướng, mùa vụ và độ phân tán trước khi xây dựng mô hình. Chuỗi doanh số tổng theo ngày được tạo bằng cách cộng sales trên mọi cửa hàng và nhóm sản phẩm, như ở (3.5); các tệp daily_aggregate.csv của bước 01 và daily_sales.csv của bước 02 cùng lưu ba cột date, sales và onpromotion, trong đó onpromotion cũng là tổng theo ngày. Kết quả tổng hợp chỉ có chức năng mô tả: phép cộng làm các dao động riêng lẻ bù trừ nhau và để các chuỗi quy mô lớn chi phối hình dạng của tổng.</w:t>
      </w:r>
    </w:p>
    <w:p>
      <w:pPr>
        <w:tabs>
          <w:tab w:val="center" w:pos="4535"/>
          <w:tab w:val="right" w:pos="9071"/>
        </w:tabs>
        <w:spacing w:before="60" w:after="60"/>
        <w:ind w:firstLine="0"/>
      </w:pPr>
      <w:r>
        <w:tab/>
      </w:r>
      <m:oMath xmlns:a="http://schemas.openxmlformats.org/drawingml/2006/main" xmlns:pic="http://schemas.openxmlformats.org/drawingml/2006/picture">
        <m:sSub>
          <m:e>
            <m:r>
              <m:t>Y</m:t>
            </m:r>
          </m:e>
          <m:sub>
            <m:r>
              <m:t>t</m:t>
            </m:r>
          </m:sub>
        </m:sSub>
        <m:r>
          <m:rPr>
            <m:sty m:val="p"/>
          </m:rPr>
          <m:t>=</m:t>
        </m:r>
        <m:nary>
          <m:naryPr>
            <m:chr m:val="∑"/>
            <m:limLoc m:val="undOvr"/>
            <m:subHide m:val="off"/>
            <m:supHide m:val="on"/>
          </m:naryPr>
          <m:sub>
            <m:r>
              <m:t>i</m:t>
            </m:r>
            <m:r>
              <m:rPr>
                <m:sty m:val="p"/>
              </m:rPr>
              <m:t>∈</m:t>
            </m:r>
            <m:r>
              <m:rPr>
                <m:scr m:val="script"/>
                <m:sty m:val="p"/>
              </m:rPr>
              <m:t>I</m:t>
            </m:r>
          </m:sub>
          <m:sup>
            <m:r>
              <m:t>​</m:t>
            </m:r>
          </m:sup>
          <m:e>
            <m:sSub>
              <m:e>
                <m:r>
                  <m:t>y</m:t>
                </m:r>
              </m:e>
              <m:sub>
                <m:r>
                  <m:t>i</m:t>
                </m:r>
                <m:r>
                  <m:rPr>
                    <m:sty m:val="p"/>
                  </m:rPr>
                  <m:t>,</m:t>
                </m:r>
                <m:r>
                  <m:t>t</m:t>
                </m:r>
              </m:sub>
            </m:sSub>
          </m:e>
        </m:nary>
        <m:r>
          <m:rPr>
            <m:sty m:val="p"/>
          </m:rPr>
          <m:t>=</m:t>
        </m:r>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f</m:t>
                </m:r>
                <m:r>
                  <m:rPr>
                    <m:sty m:val="p"/>
                  </m:rPr>
                  <m:t>∈</m:t>
                </m:r>
                <m:r>
                  <m:rPr>
                    <m:scr m:val="script"/>
                    <m:sty m:val="p"/>
                  </m:rPr>
                  <m:t>F</m:t>
                </m:r>
              </m:sub>
              <m:sup>
                <m:r>
                  <m:t>​</m:t>
                </m:r>
              </m:sup>
              <m:e>
                <m:sSub>
                  <m:e>
                    <m:r>
                      <m:t>y</m:t>
                    </m:r>
                  </m:e>
                  <m:sub>
                    <m:d>
                      <m:dPr>
                        <m:begChr m:val="("/>
                        <m:sepChr m:val=""/>
                        <m:endChr m:val=")"/>
                        <m:grow/>
                      </m:dPr>
                      <m:e>
                        <m:r>
                          <m:t>s</m:t>
                        </m:r>
                        <m:r>
                          <m:rPr>
                            <m:sty m:val="p"/>
                          </m:rPr>
                          <m:t>,</m:t>
                        </m:r>
                        <m:r>
                          <m:t>f</m:t>
                        </m:r>
                      </m:e>
                    </m:d>
                    <m:r>
                      <m:rPr>
                        <m:sty m:val="p"/>
                      </m:rPr>
                      <m:t>,</m:t>
                    </m:r>
                    <m:r>
                      <m:t>t</m:t>
                    </m:r>
                  </m:sub>
                </m:sSub>
              </m:e>
            </m:nary>
          </m:e>
        </m:nary>
      </m:oMath>
      <w:r>
        <w:tab/>
        <w:t>(3.5)</w:t>
      </w:r>
    </w:p>
    <w:p>
      <w:pPr>
        <w:keepLines w:val="0"/>
        <w:spacing w:after="120"/>
        <w:ind w:firstLine="567"/>
      </w:pPr>
      <w:r>
        <w:t xml:space="preserve">Hình 3.2 biểu diễn Y(t) trên toàn giai đoạn 2013–2017, gồm đường doanh số ngày và đường trung bình trượt 28 ngày giúp làm rõ mức nền. Ba đặc điểm hiện ra rõ. Thứ nhất, chuỗi có xu hướng tăng: đường trung bình trượt tương đối phẳng trong năm 2013, dao động mạnh với nhiều bước lên xuống trong 2014 và cuối 2014, tụt xuống đầu năm 2015 rồi tăng lên một mức cao hơn từ giữa 2015 và dao động quanh mức đó trong 2016–2017. Tính lại từ daily_aggregate.csv, doanh số tổng trung bình mỗi ngày là 385.767 trong năm 2013 và 855.582 trong phần năm 2017 có dữ liệu, tức gấp khoảng 2,22 lần. Thứ hai, doanh số ngày dao động dày đặc với biên độ lớn quanh đường trung bình trượt, gợi ý một chu kỳ ngắn được kiểm tra ở mục 3.3.2. Thứ ba, đầu mỗi năm có một điểm tụt sát 0 vào ngày 01/01, ngày có tổng doanh số thấp nhất của từng năm, cùng một số đỉnh cục bộ vượt hẳn mức thông thường, đặc biệt quanh cuối năm.</w:t>
      </w:r>
    </w:p>
    <w:p>
      <w:pPr>
        <w:jc w:val="center"/>
      </w:pPr>
      <w:r>
        <w:drawing>
          <wp:inline xmlns:a="http://schemas.openxmlformats.org/drawingml/2006/main" xmlns:pic="http://schemas.openxmlformats.org/drawingml/2006/picture">
            <wp:extent cx="5580000" cy="1972727"/>
            <wp:docPr id="5002" name="Picture 5002"/>
            <wp:cNvGraphicFramePr>
              <a:graphicFrameLocks noChangeAspect="1"/>
            </wp:cNvGraphicFramePr>
            <a:graphic>
              <a:graphicData uri="http://schemas.openxmlformats.org/drawingml/2006/picture">
                <pic:pic>
                  <pic:nvPicPr>
                    <pic:cNvPr id="0" name="F02_daily_sales_465.png"/>
                    <pic:cNvPicPr/>
                  </pic:nvPicPr>
                  <pic:blipFill>
                    <a:blip r:embed="rId101"/>
                    <a:stretch>
                      <a:fillRect/>
                    </a:stretch>
                  </pic:blipFill>
                  <pic:spPr>
                    <a:xfrm>
                      <a:off x="0" y="0"/>
                      <a:ext cx="5580000" cy="1972727"/>
                    </a:xfrm>
                    <a:prstGeom prst="rect"/>
                  </pic:spPr>
                </pic:pic>
              </a:graphicData>
            </a:graphic>
          </wp:inline>
        </w:drawing>
      </w:r>
    </w:p>
    <w:p>
      <w:pPr>
        <w:keepNext w:val="0"/>
        <w:spacing w:after="160"/>
        <w:ind w:firstLine="0"/>
        <w:jc w:val="center"/>
      </w:pPr>
      <w:r>
        <w:t xml:space="preserve">Hình 3.2. Doanh số tổng hợp theo ngày của toàn hệ thống và trung bình trượt 28 ngày, 01/01/2013 – 15/08/2017</w:t>
      </w:r>
    </w:p>
    <w:p>
      <w:pPr>
        <w:spacing w:before="0" w:after="160"/>
        <w:ind w:firstLine="0"/>
        <w:jc w:val="center"/>
      </w:pPr>
      <w:r>
        <w:rPr>
          <w:i/>
          <w:sz w:val="22"/>
          <w:szCs w:val="22"/>
        </w:rPr>
        <w:t xml:space="preserve">Nguồn: REPORT_READY/figures/F02_daily_sales.png</w:t>
      </w:r>
    </w:p>
    <w:p>
      <w:pPr>
        <w:keepLines w:val="0"/>
        <w:spacing w:after="120"/>
        <w:ind w:firstLine="567"/>
      </w:pPr>
      <w:r>
        <w:t xml:space="preserve">Các đặc điểm này có hàm ý trực tiếp cho thiết kế. Xu hướng tăng và các bước chuyển mức cho thấy giả định một mức nhu cầu cố định, dạng Y(t) = μ + ε(t), là không phù hợp; mô hình cần thông tin về mức bán gần đây, đó là vai trò của độ trễ và thống kê trượt ở mục 3.5. Việc mức bán năm 2017 cao hơn hẳn năm 2013 cũng lý giải vì sao các cửa sổ đánh giá được đặt ở cuối chuỗi, gần điều kiện vận hành nhất. Các điểm 01/01 và các đỉnh đột biến là lý do để STL được chạy ở chế độ bền vững. Tuy vậy, hình chỉ phản ánh tổng toàn hệ thống và không cho phép kết luận về xu hướng của một cửa hàng hay nhóm sản phẩm cụ thể.</w:t>
      </w:r>
    </w:p>
    <w:p>
      <w:pPr>
        <w:pStyle w:val="Heading3"/>
        <w:keepNext/>
      </w:pPr>
      <w:r>
        <w:t xml:space="preserve">3.3.2. Mẫu hình theo thứ trong tuần</w:t>
      </w:r>
    </w:p>
    <w:p>
      <w:pPr>
        <w:keepLines w:val="0"/>
        <w:spacing w:after="120"/>
        <w:ind w:firstLine="567"/>
      </w:pPr>
      <w:r>
        <w:t xml:space="preserve">Hình 3.3 trình bày doanh số tổng trung bình theo thứ trong tuần. Mẫu hình rất rõ: hai ngày cuối tuần, được tô đậm trên hình, có doanh số trung bình cao nhất, trong đó Chủ nhật cao nhất và thứ Bảy đứng thứ hai; các ngày trong tuần thấp hơn hẳn, và thứ Năm là ngày thấp nhất. Theo daily_aggregate.csv, doanh số tổng trung bình của Chủ nhật là 825.218 và của thứ Bảy là 772.206, trong khi thứ Hai là 617.543, thứ Ba 569.926, thứ Tư 593.245, thứ Năm 505.269 và thứ Sáu 579.574. Chủ nhật vì vậy gấp khoảng 1,63 lần thứ Năm, và trung bình của thứ Bảy và Chủ nhật cao hơn khoảng 1,39 lần trung bình của năm ngày làm việc. Chênh lệch giữa các ngày thứ Hai đến thứ Sáu cho thấy cấu trúc tuần không chỉ là phân đôi giữa ngày thường và cuối tuần.</w:t>
      </w:r>
    </w:p>
    <w:p>
      <w:pPr>
        <w:jc w:val="center"/>
      </w:pPr>
      <w:r>
        <w:drawing>
          <wp:inline xmlns:a="http://schemas.openxmlformats.org/drawingml/2006/main" xmlns:pic="http://schemas.openxmlformats.org/drawingml/2006/picture">
            <wp:extent cx="5580000" cy="2877187"/>
            <wp:docPr id="5003" name="Picture 5003"/>
            <wp:cNvGraphicFramePr>
              <a:graphicFrameLocks noChangeAspect="1"/>
            </wp:cNvGraphicFramePr>
            <a:graphic>
              <a:graphicData uri="http://schemas.openxmlformats.org/drawingml/2006/picture">
                <pic:pic>
                  <pic:nvPicPr>
                    <pic:cNvPr id="0" name="F03_weekday_pattern_471.png"/>
                    <pic:cNvPicPr/>
                  </pic:nvPicPr>
                  <pic:blipFill>
                    <a:blip r:embed="rId102"/>
                    <a:stretch>
                      <a:fillRect/>
                    </a:stretch>
                  </pic:blipFill>
                  <pic:spPr>
                    <a:xfrm>
                      <a:off x="0" y="0"/>
                      <a:ext cx="5580000" cy="2877187"/>
                    </a:xfrm>
                    <a:prstGeom prst="rect"/>
                  </pic:spPr>
                </pic:pic>
              </a:graphicData>
            </a:graphic>
          </wp:inline>
        </w:drawing>
      </w:r>
    </w:p>
    <w:p>
      <w:pPr>
        <w:keepNext w:val="0"/>
        <w:spacing w:after="160"/>
        <w:ind w:firstLine="0"/>
        <w:jc w:val="center"/>
      </w:pPr>
      <w:r>
        <w:t xml:space="preserve">Hình 3.3. Doanh số tổng trung bình theo thứ trong tuần (T2 – CN), 2013–2017</w:t>
      </w:r>
    </w:p>
    <w:p>
      <w:pPr>
        <w:spacing w:before="0" w:after="160"/>
        <w:ind w:firstLine="0"/>
        <w:jc w:val="center"/>
      </w:pPr>
      <w:r>
        <w:rPr>
          <w:i/>
          <w:sz w:val="22"/>
          <w:szCs w:val="22"/>
        </w:rPr>
        <w:t xml:space="preserve">Nguồn: REPORT_READY/figures/F03_weekday_pattern.png</w:t>
      </w:r>
    </w:p>
    <w:p>
      <w:pPr>
        <w:keepLines w:val="0"/>
        <w:spacing w:after="120"/>
        <w:ind w:firstLine="567"/>
      </w:pPr>
      <w:r>
        <w:t xml:space="preserve">Nếu nhu cầu không có mùa vụ tuần, kỳ vọng có điều kiện của Y(t) theo thứ trong tuần phải không đổi; hình cho thấy điều ngược lại một cách trực quan, dù luận văn không tiến hành kiểm định thống kê chính thức. Mẫu hình tuần là căn cứ cho bốn quyết định thiết kế: đưa dow và is_weekend vào tập đặc trưng; chọn phần lớn độ trễ là bội số của 7 (lag_21, lag_28, lag_35, lag_42, lag_56) để giữ vị trí trong chu kỳ tuần; dùng period = 7 cho phân rã STL; và xây dựng Seasonal Naive theo tuần làm đường cơ sở, trong đó mỗi ngày mục tiêu lấy doanh số của cùng thứ trong tuần cuối cùng trước gốc dự báo. Đáng chú ý, trên tập kiểm tra cuối, như Chương 4 trình bày, bốn ngày cuối tuần 05–06/08 và 12–13/08/2017 đều bị mô hình dự báo cao hơn thực tế (từ 5,94% đến 16,27%), trong đó 12–13/08 là hai ngày lệch lớn nhất, với tổng dự báo vượt thực tế 10,42% so với 0,74% ở mười hai ngày còn lại.</w:t>
      </w:r>
    </w:p>
    <w:p>
      <w:pPr>
        <w:pStyle w:val="Heading3"/>
        <w:keepNext/>
      </w:pPr>
      <w:r>
        <w:t xml:space="preserve">3.3.3. Doanh số theo trạng thái khuyến mãi</w:t>
      </w:r>
    </w:p>
    <w:p>
      <w:pPr>
        <w:keepLines w:val="0"/>
        <w:spacing w:after="120"/>
        <w:ind w:firstLine="567"/>
      </w:pPr>
      <w:r>
        <w:t xml:space="preserve">Đối với khuyến mãi, dữ liệu được chia theo điều kiện onpromotion &gt; 0 thành hai nhóm; Bảng 3.3 trình bày kết quả của tệp promotion_descriptive.csv. Nhóm không có khuyến mãi gồm 2.389.559 dòng với sales trung bình 158,247 và trung vị 3,0; nhóm có khuyến mãi gồm 611.329 dòng với sales trung bình 1.137,694 và trung vị 373,0. Trung bình của nhóm có khuyến mãi gấp khoảng 7,19 lần nhóm còn lại, còn tỷ số giữa hai trung vị lên tới khoảng 124,33 lần. Chênh lệch lớn giữa trung bình và trung vị ở cả hai nhóm cho thấy phân phối sales lệch phải mạnh.</w:t>
      </w:r>
    </w:p>
    <w:p>
      <w:pPr>
        <w:keepNext/>
        <w:spacing w:before="120" w:after="60"/>
        <w:ind w:firstLine="0"/>
        <w:jc w:val="center"/>
      </w:pPr>
      <w:r>
        <w:t xml:space="preserve">Bảng 3.3. Thống kê mô tả doanh số theo trạng thái khuyến mãi (toàn bộ train.csv)</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621"/>
        <w:gridCol w:w="1348"/>
        <w:gridCol w:w="1620"/>
        <w:gridCol w:w="1798"/>
        <w:gridCol w:w="1684"/>
      </w:tblGrid>
      <w:tr>
        <w:trPr>
          <w:tblHeader/>
          <w:cantSplit/>
        </w:trPr>
        <w:tc>
          <w:tcPr>
            <w:tcW w:type="dxa" w:w="2621"/>
            <w:shd w:val="clear" w:color="auto" w:fill="D9E2F3"/>
            <w:vAlign w:val="center"/>
          </w:tcPr>
          <w:p>
            <w:pPr>
              <w:spacing w:before="20" w:after="20" w:line="260" w:lineRule="auto"/>
              <w:ind w:firstLine="0"/>
              <w:jc w:val="center"/>
            </w:pPr>
            <w:r>
              <w:rPr>
                <w:b/>
                <w:sz w:val="20"/>
                <w:szCs w:val="20"/>
              </w:rPr>
              <w:t xml:space="preserve">Trạng thái</w:t>
            </w:r>
          </w:p>
        </w:tc>
        <w:tc>
          <w:tcPr>
            <w:tcW w:type="dxa" w:w="1348"/>
            <w:shd w:val="clear" w:color="auto" w:fill="D9E2F3"/>
            <w:vAlign w:val="center"/>
          </w:tcPr>
          <w:p>
            <w:pPr>
              <w:spacing w:before="20" w:after="20" w:line="260" w:lineRule="auto"/>
              <w:ind w:firstLine="0"/>
              <w:jc w:val="center"/>
            </w:pPr>
            <w:r>
              <w:rPr>
                <w:b/>
                <w:sz w:val="20"/>
                <w:szCs w:val="20"/>
              </w:rPr>
              <w:t xml:space="preserve">Số dòng</w:t>
            </w:r>
          </w:p>
        </w:tc>
        <w:tc>
          <w:tcPr>
            <w:tcW w:type="dxa" w:w="1620"/>
            <w:shd w:val="clear" w:color="auto" w:fill="D9E2F3"/>
            <w:vAlign w:val="center"/>
          </w:tcPr>
          <w:p>
            <w:pPr>
              <w:spacing w:before="20" w:after="20" w:line="260" w:lineRule="auto"/>
              <w:ind w:firstLine="0"/>
              <w:jc w:val="center"/>
            </w:pPr>
            <w:r>
              <w:rPr>
                <w:b/>
                <w:sz w:val="20"/>
                <w:szCs w:val="20"/>
              </w:rPr>
              <w:t xml:space="preserve">Tỷ trọng dòng</w:t>
            </w:r>
          </w:p>
        </w:tc>
        <w:tc>
          <w:tcPr>
            <w:tcW w:type="dxa" w:w="1798"/>
            <w:shd w:val="clear" w:color="auto" w:fill="D9E2F3"/>
            <w:vAlign w:val="center"/>
          </w:tcPr>
          <w:p>
            <w:pPr>
              <w:spacing w:before="20" w:after="20" w:line="260" w:lineRule="auto"/>
              <w:ind w:firstLine="0"/>
              <w:jc w:val="center"/>
            </w:pPr>
            <w:r>
              <w:rPr>
                <w:b/>
                <w:sz w:val="20"/>
                <w:szCs w:val="20"/>
              </w:rPr>
              <w:t xml:space="preserve">Sales trung bình</w:t>
            </w:r>
          </w:p>
        </w:tc>
        <w:tc>
          <w:tcPr>
            <w:tcW w:type="dxa" w:w="1684"/>
            <w:shd w:val="clear" w:color="auto" w:fill="D9E2F3"/>
            <w:vAlign w:val="center"/>
          </w:tcPr>
          <w:p>
            <w:pPr>
              <w:spacing w:before="20" w:after="20" w:line="260" w:lineRule="auto"/>
              <w:ind w:firstLine="0"/>
              <w:jc w:val="center"/>
            </w:pPr>
            <w:r>
              <w:rPr>
                <w:b/>
                <w:sz w:val="20"/>
                <w:szCs w:val="20"/>
              </w:rPr>
              <w:t xml:space="preserve">Sales trung vị</w:t>
            </w:r>
          </w:p>
        </w:tc>
      </w:tr>
      <w:tr>
        <w:trPr>
          <w:cantSplit/>
        </w:trPr>
        <w:tc>
          <w:tcPr>
            <w:tcW w:type="dxa" w:w="2621"/>
            <w:vAlign w:val="center"/>
          </w:tcPr>
          <w:p>
            <w:pPr>
              <w:spacing w:before="20" w:after="20" w:line="260" w:lineRule="auto"/>
              <w:ind w:firstLine="0"/>
              <w:jc w:val="left"/>
            </w:pPr>
            <w:r>
              <w:rPr>
                <w:sz w:val="20"/>
                <w:szCs w:val="20"/>
              </w:rPr>
              <w:t xml:space="preserve">Không khuyến mãi (onpromotion = 0)</w:t>
            </w:r>
          </w:p>
        </w:tc>
        <w:tc>
          <w:tcPr>
            <w:tcW w:type="dxa" w:w="1348"/>
            <w:vAlign w:val="center"/>
          </w:tcPr>
          <w:p>
            <w:pPr>
              <w:spacing w:before="20" w:after="20" w:line="260" w:lineRule="auto"/>
              <w:ind w:firstLine="0"/>
              <w:jc w:val="center"/>
            </w:pPr>
            <w:r>
              <w:rPr>
                <w:sz w:val="20"/>
                <w:szCs w:val="20"/>
              </w:rPr>
              <w:t xml:space="preserve">2.389.559</w:t>
            </w:r>
          </w:p>
        </w:tc>
        <w:tc>
          <w:tcPr>
            <w:tcW w:type="dxa" w:w="1620"/>
            <w:vAlign w:val="center"/>
          </w:tcPr>
          <w:p>
            <w:pPr>
              <w:spacing w:before="20" w:after="20" w:line="260" w:lineRule="auto"/>
              <w:ind w:firstLine="0"/>
              <w:jc w:val="center"/>
            </w:pPr>
            <w:r>
              <w:rPr>
                <w:sz w:val="20"/>
                <w:szCs w:val="20"/>
              </w:rPr>
              <w:t xml:space="preserve">79,63%</w:t>
            </w:r>
          </w:p>
        </w:tc>
        <w:tc>
          <w:tcPr>
            <w:tcW w:type="dxa" w:w="1798"/>
            <w:vAlign w:val="center"/>
          </w:tcPr>
          <w:p>
            <w:pPr>
              <w:spacing w:before="20" w:after="20" w:line="260" w:lineRule="auto"/>
              <w:ind w:firstLine="0"/>
              <w:jc w:val="center"/>
            </w:pPr>
            <w:r>
              <w:rPr>
                <w:sz w:val="20"/>
                <w:szCs w:val="20"/>
              </w:rPr>
              <w:t xml:space="preserve">158,247</w:t>
            </w:r>
          </w:p>
        </w:tc>
        <w:tc>
          <w:tcPr>
            <w:tcW w:type="dxa" w:w="1684"/>
            <w:vAlign w:val="center"/>
          </w:tcPr>
          <w:p>
            <w:pPr>
              <w:spacing w:before="20" w:after="20" w:line="260" w:lineRule="auto"/>
              <w:ind w:firstLine="0"/>
              <w:jc w:val="center"/>
            </w:pPr>
            <w:r>
              <w:rPr>
                <w:sz w:val="20"/>
                <w:szCs w:val="20"/>
              </w:rPr>
              <w:t xml:space="preserve">3,0</w:t>
            </w:r>
          </w:p>
        </w:tc>
      </w:tr>
      <w:tr>
        <w:trPr>
          <w:cantSplit/>
        </w:trPr>
        <w:tc>
          <w:tcPr>
            <w:tcW w:type="dxa" w:w="2621"/>
            <w:vAlign w:val="center"/>
          </w:tcPr>
          <w:p>
            <w:pPr>
              <w:spacing w:before="20" w:after="20" w:line="260" w:lineRule="auto"/>
              <w:ind w:firstLine="0"/>
              <w:jc w:val="left"/>
            </w:pPr>
            <w:r>
              <w:rPr>
                <w:sz w:val="20"/>
                <w:szCs w:val="20"/>
              </w:rPr>
              <w:t xml:space="preserve">Có khuyến mãi (onpromotion &gt; 0)</w:t>
            </w:r>
          </w:p>
        </w:tc>
        <w:tc>
          <w:tcPr>
            <w:tcW w:type="dxa" w:w="1348"/>
            <w:vAlign w:val="center"/>
          </w:tcPr>
          <w:p>
            <w:pPr>
              <w:spacing w:before="20" w:after="20" w:line="260" w:lineRule="auto"/>
              <w:ind w:firstLine="0"/>
              <w:jc w:val="center"/>
            </w:pPr>
            <w:r>
              <w:rPr>
                <w:sz w:val="20"/>
                <w:szCs w:val="20"/>
              </w:rPr>
              <w:t xml:space="preserve">611.329</w:t>
            </w:r>
          </w:p>
        </w:tc>
        <w:tc>
          <w:tcPr>
            <w:tcW w:type="dxa" w:w="1620"/>
            <w:vAlign w:val="center"/>
          </w:tcPr>
          <w:p>
            <w:pPr>
              <w:spacing w:before="20" w:after="20" w:line="260" w:lineRule="auto"/>
              <w:ind w:firstLine="0"/>
              <w:jc w:val="center"/>
            </w:pPr>
            <w:r>
              <w:rPr>
                <w:sz w:val="20"/>
                <w:szCs w:val="20"/>
              </w:rPr>
              <w:t xml:space="preserve">20,37%</w:t>
            </w:r>
          </w:p>
        </w:tc>
        <w:tc>
          <w:tcPr>
            <w:tcW w:type="dxa" w:w="1798"/>
            <w:vAlign w:val="center"/>
          </w:tcPr>
          <w:p>
            <w:pPr>
              <w:spacing w:before="20" w:after="20" w:line="260" w:lineRule="auto"/>
              <w:ind w:firstLine="0"/>
              <w:jc w:val="center"/>
            </w:pPr>
            <w:r>
              <w:rPr>
                <w:sz w:val="20"/>
                <w:szCs w:val="20"/>
              </w:rPr>
              <w:t xml:space="preserve">1.137,694</w:t>
            </w:r>
          </w:p>
        </w:tc>
        <w:tc>
          <w:tcPr>
            <w:tcW w:type="dxa" w:w="1684"/>
            <w:vAlign w:val="center"/>
          </w:tcPr>
          <w:p>
            <w:pPr>
              <w:spacing w:before="20" w:after="20" w:line="260" w:lineRule="auto"/>
              <w:ind w:firstLine="0"/>
              <w:jc w:val="center"/>
            </w:pPr>
            <w:r>
              <w:rPr>
                <w:sz w:val="20"/>
                <w:szCs w:val="20"/>
              </w:rPr>
              <w:t xml:space="preserve">373,0</w:t>
            </w:r>
          </w:p>
        </w:tc>
      </w:tr>
      <w:tr>
        <w:trPr>
          <w:cantSplit/>
        </w:trPr>
        <w:tc>
          <w:tcPr>
            <w:tcW w:type="dxa" w:w="2621"/>
            <w:vAlign w:val="center"/>
          </w:tcPr>
          <w:p>
            <w:pPr>
              <w:spacing w:before="20" w:after="20" w:line="260" w:lineRule="auto"/>
              <w:ind w:firstLine="0"/>
              <w:jc w:val="left"/>
            </w:pPr>
            <w:r>
              <w:rPr>
                <w:sz w:val="20"/>
                <w:szCs w:val="20"/>
              </w:rPr>
              <w:t xml:space="preserve">Tỷ số có / không khuyến mãi</w:t>
            </w:r>
          </w:p>
        </w:tc>
        <w:tc>
          <w:tcPr>
            <w:tcW w:type="dxa" w:w="1348"/>
            <w:vAlign w:val="center"/>
          </w:tcPr>
          <w:p>
            <w:pPr>
              <w:spacing w:before="20" w:after="20" w:line="260" w:lineRule="auto"/>
              <w:ind w:firstLine="0"/>
              <w:jc w:val="left"/>
            </w:pPr>
            <w:r>
              <w:rPr>
                <w:sz w:val="20"/>
                <w:szCs w:val="20"/>
              </w:rPr>
              <w:t xml:space="preserve">–</w:t>
            </w:r>
          </w:p>
        </w:tc>
        <w:tc>
          <w:tcPr>
            <w:tcW w:type="dxa" w:w="1620"/>
            <w:vAlign w:val="center"/>
          </w:tcPr>
          <w:p>
            <w:pPr>
              <w:spacing w:before="20" w:after="20" w:line="260" w:lineRule="auto"/>
              <w:ind w:firstLine="0"/>
              <w:jc w:val="left"/>
            </w:pPr>
            <w:r>
              <w:rPr>
                <w:sz w:val="20"/>
                <w:szCs w:val="20"/>
              </w:rPr>
              <w:t xml:space="preserve">–</w:t>
            </w:r>
          </w:p>
        </w:tc>
        <w:tc>
          <w:tcPr>
            <w:tcW w:type="dxa" w:w="1798"/>
            <w:vAlign w:val="center"/>
          </w:tcPr>
          <w:p>
            <w:pPr>
              <w:spacing w:before="20" w:after="20" w:line="260" w:lineRule="auto"/>
              <w:ind w:firstLine="0"/>
              <w:jc w:val="left"/>
            </w:pPr>
            <w:r>
              <w:rPr>
                <w:sz w:val="20"/>
                <w:szCs w:val="20"/>
              </w:rPr>
              <w:t xml:space="preserve">≈ 7,19 lần</w:t>
            </w:r>
          </w:p>
        </w:tc>
        <w:tc>
          <w:tcPr>
            <w:tcW w:type="dxa" w:w="1684"/>
            <w:vAlign w:val="center"/>
          </w:tcPr>
          <w:p>
            <w:pPr>
              <w:spacing w:before="20" w:after="20" w:line="260" w:lineRule="auto"/>
              <w:ind w:firstLine="0"/>
              <w:jc w:val="left"/>
            </w:pPr>
            <w:r>
              <w:rPr>
                <w:sz w:val="20"/>
                <w:szCs w:val="20"/>
              </w:rPr>
              <w:t xml:space="preserve">≈ 124,33 lần</w:t>
            </w:r>
          </w:p>
        </w:tc>
      </w:tr>
    </w:tbl>
    <w:p>
      <w:pPr>
        <w:spacing w:before="40" w:after="160"/>
        <w:ind w:firstLine="0"/>
      </w:pPr>
      <w:r>
        <w:rPr>
          <w:i/>
          <w:sz w:val="22"/>
          <w:szCs w:val="22"/>
        </w:rPr>
        <w:t xml:space="preserve">Nguồn: promotion_descriptive.csv (bước 02); REPORT_READY/tables/02_promotion_descriptive.csv; tỷ trọng và tỷ số do tác giả tính từ tệp này. Đây là thống kê mô tả, không phải hiệu ứng nhân quả.</w:t>
      </w:r>
    </w:p>
    <w:p>
      <w:pPr>
        <w:keepLines w:val="0"/>
        <w:spacing w:after="120"/>
        <w:ind w:firstLine="567"/>
      </w:pPr>
      <w:r>
        <w:t xml:space="preserve">Sự khác biệt giữa hai nhóm chỉ là quan hệ mô tả. Trong khung kết quả tiềm năng (Imbens và Rubin, 2015), với D = 1 khi onpromotion &gt; 0, chênh lệch trung bình quan sát được bằng hiệu ứng trên nhóm được khuyến mãi cộng với sai lệch lựa chọn, như ở (3.6). Ít nhất hai nguồn sai lệch lựa chọn hiện diện rõ. Thứ nhất, khuyến mãi có thể được bố trí ưu tiên cho các nhóm sản phẩm và cửa hàng có nhu cầu cao, nên nhóm có khuyến mãi vốn đã có Y(0) cao hơn. Thứ hai là thời gian: theo daily_aggregate.csv, tổng onpromotion theo ngày bằng 0 suốt năm 2013 và chỉ bắt đầu dương từ 01/04/2014. Mọi dòng có khuyến mãi đều thuộc giai đoạn mức bán nền đã cao hơn, như Hình 3.2 cho thấy, nên một phần chênh lệch 7,19 lần phản ánh xu hướng tăng theo thời gian chứ không phải khuyến mãi.</w:t>
      </w:r>
    </w:p>
    <w:p>
      <w:pPr>
        <w:tabs>
          <w:tab w:val="center" w:pos="4535"/>
          <w:tab w:val="right" w:pos="9071"/>
        </w:tabs>
        <w:spacing w:before="60" w:after="60"/>
        <w:ind w:firstLine="0"/>
      </w:pPr>
      <w:r>
        <w:tab/>
      </w:r>
      <m:oMath xmlns:a="http://schemas.openxmlformats.org/drawingml/2006/main" xmlns:pic="http://schemas.openxmlformats.org/drawingml/2006/picture">
        <m:r>
          <m:rPr>
            <m:scr m:val="double-struck"/>
            <m:sty m:val="p"/>
          </m:rPr>
          <m:t>E</m:t>
        </m:r>
        <m:d>
          <m:dPr>
            <m:begChr m:val="["/>
            <m:sepChr m:val=""/>
            <m:endChr m:val="]"/>
            <m:grow/>
          </m:dPr>
          <m:e>
            <m:r>
              <m:t>Y</m:t>
            </m:r>
            <m:r>
              <m:rPr>
                <m:sty m:val="p"/>
              </m:rPr>
              <m:t>∣</m:t>
            </m:r>
            <m:r>
              <m:t>D</m:t>
            </m:r>
            <m:r>
              <m:rPr>
                <m:sty m:val="p"/>
              </m:rPr>
              <m:t>=</m:t>
            </m:r>
            <m:r>
              <m:t>1</m:t>
            </m:r>
          </m:e>
        </m:d>
        <m:r>
          <m:rPr>
            <m:sty m:val="p"/>
          </m:rPr>
          <m:t>−</m:t>
        </m:r>
        <m:r>
          <m:rPr>
            <m:scr m:val="double-struck"/>
            <m:sty m:val="p"/>
          </m:rPr>
          <m:t>E</m:t>
        </m:r>
        <m:d>
          <m:dPr>
            <m:begChr m:val="["/>
            <m:sepChr m:val=""/>
            <m:endChr m:val="]"/>
            <m:grow/>
          </m:dPr>
          <m:e>
            <m:r>
              <m:t>Y</m:t>
            </m:r>
            <m:r>
              <m:rPr>
                <m:sty m:val="p"/>
              </m:rPr>
              <m:t>∣</m:t>
            </m:r>
            <m:r>
              <m:t>D</m:t>
            </m:r>
            <m:r>
              <m:rPr>
                <m:sty m:val="p"/>
              </m:rPr>
              <m:t>=</m:t>
            </m:r>
            <m:r>
              <m:t>0</m:t>
            </m:r>
          </m:e>
        </m:d>
        <m:r>
          <m:rPr>
            <m:sty m:val="p"/>
          </m:rPr>
          <m:t>=</m:t>
        </m:r>
        <m:limLow>
          <m:e>
            <m:limLow>
              <m:e>
                <m:r>
                  <m:rPr>
                    <m:scr m:val="double-struck"/>
                    <m:sty m:val="p"/>
                  </m:rPr>
                  <m:t>E</m:t>
                </m:r>
                <m:d>
                  <m:dPr>
                    <m:begChr m:val="["/>
                    <m:sepChr m:val=""/>
                    <m:endChr m:val="]"/>
                    <m:grow/>
                  </m:dPr>
                  <m:e>
                    <m:r>
                      <m:t>Y</m:t>
                    </m:r>
                    <m:d>
                      <m:dPr>
                        <m:begChr m:val="("/>
                        <m:sepChr m:val=""/>
                        <m:endChr m:val=")"/>
                        <m:grow/>
                      </m:dPr>
                      <m:e>
                        <m:r>
                          <m:t>1</m:t>
                        </m:r>
                      </m:e>
                    </m:d>
                    <m:r>
                      <m:rPr>
                        <m:sty m:val="p"/>
                      </m:rPr>
                      <m:t>−</m:t>
                    </m:r>
                    <m:r>
                      <m:t>Y</m:t>
                    </m:r>
                    <m:d>
                      <m:dPr>
                        <m:begChr m:val="("/>
                        <m:sepChr m:val=""/>
                        <m:endChr m:val=")"/>
                        <m:grow/>
                      </m:dPr>
                      <m:e>
                        <m:r>
                          <m:t>0</m:t>
                        </m:r>
                      </m:e>
                    </m:d>
                    <m:r>
                      <m:rPr>
                        <m:sty m:val="p"/>
                      </m:rPr>
                      <m:t>∣</m:t>
                    </m:r>
                    <m:r>
                      <m:t>D</m:t>
                    </m:r>
                    <m:r>
                      <m:rPr>
                        <m:sty m:val="p"/>
                      </m:rPr>
                      <m:t>=</m:t>
                    </m:r>
                    <m:r>
                      <m:t>1</m:t>
                    </m:r>
                  </m:e>
                </m:d>
              </m:e>
              <m:lim>
                <m:r>
                  <m:rPr>
                    <m:sty m:val="p"/>
                  </m:rPr>
                  <m:t>⏟</m:t>
                </m:r>
              </m:lim>
            </m:limLow>
          </m:e>
          <m:lim>
            <m:r>
              <m:rPr>
                <m:nor/>
              </m:rPr>
              <m:t>hiệu ứng trên nhóm được khuyến mãi</m:t>
            </m:r>
          </m:lim>
        </m:limLow>
        <m:r>
          <m:rPr>
            <m:sty m:val="p"/>
          </m:rPr>
          <m:t>+</m:t>
        </m:r>
        <m:limLow>
          <m:e>
            <m:limLow>
              <m:e>
                <m:r>
                  <m:rPr>
                    <m:scr m:val="double-struck"/>
                    <m:sty m:val="p"/>
                  </m:rPr>
                  <m:t>E</m:t>
                </m:r>
                <m:d>
                  <m:dPr>
                    <m:begChr m:val="["/>
                    <m:sepChr m:val=""/>
                    <m:endChr m:val="]"/>
                    <m:grow/>
                  </m:dPr>
                  <m:e>
                    <m:r>
                      <m:t>Y</m:t>
                    </m:r>
                    <m:d>
                      <m:dPr>
                        <m:begChr m:val="("/>
                        <m:sepChr m:val=""/>
                        <m:endChr m:val=")"/>
                        <m:grow/>
                      </m:dPr>
                      <m:e>
                        <m:r>
                          <m:t>0</m:t>
                        </m:r>
                      </m:e>
                    </m:d>
                    <m:r>
                      <m:rPr>
                        <m:sty m:val="p"/>
                      </m:rPr>
                      <m:t>∣</m:t>
                    </m:r>
                    <m:r>
                      <m:t>D</m:t>
                    </m:r>
                    <m:r>
                      <m:rPr>
                        <m:sty m:val="p"/>
                      </m:rPr>
                      <m:t>=</m:t>
                    </m:r>
                    <m:r>
                      <m:t>1</m:t>
                    </m:r>
                  </m:e>
                </m:d>
                <m:r>
                  <m:rPr>
                    <m:sty m:val="p"/>
                  </m:rPr>
                  <m:t>−</m:t>
                </m:r>
                <m:r>
                  <m:rPr>
                    <m:scr m:val="double-struck"/>
                    <m:sty m:val="p"/>
                  </m:rPr>
                  <m:t>E</m:t>
                </m:r>
                <m:d>
                  <m:dPr>
                    <m:begChr m:val="["/>
                    <m:sepChr m:val=""/>
                    <m:endChr m:val="]"/>
                    <m:grow/>
                  </m:dPr>
                  <m:e>
                    <m:r>
                      <m:t>Y</m:t>
                    </m:r>
                    <m:d>
                      <m:dPr>
                        <m:begChr m:val="("/>
                        <m:sepChr m:val=""/>
                        <m:endChr m:val=")"/>
                        <m:grow/>
                      </m:dPr>
                      <m:e>
                        <m:r>
                          <m:t>0</m:t>
                        </m:r>
                      </m:e>
                    </m:d>
                    <m:r>
                      <m:rPr>
                        <m:sty m:val="p"/>
                      </m:rPr>
                      <m:t>∣</m:t>
                    </m:r>
                    <m:r>
                      <m:t>D</m:t>
                    </m:r>
                    <m:r>
                      <m:rPr>
                        <m:sty m:val="p"/>
                      </m:rPr>
                      <m:t>=</m:t>
                    </m:r>
                    <m:r>
                      <m:t>0</m:t>
                    </m:r>
                  </m:e>
                </m:d>
              </m:e>
              <m:lim>
                <m:r>
                  <m:rPr>
                    <m:sty m:val="p"/>
                  </m:rPr>
                  <m:t>⏟</m:t>
                </m:r>
              </m:lim>
            </m:limLow>
          </m:e>
          <m:lim>
            <m:r>
              <m:rPr>
                <m:nor/>
              </m:rPr>
              <m:t>sai lệch lựa chọn</m:t>
            </m:r>
          </m:lim>
        </m:limLow>
      </m:oMath>
      <w:r>
        <w:tab/>
        <w:t>(3.6)</w:t>
      </w:r>
    </w:p>
    <w:p>
      <w:pPr>
        <w:keepLines w:val="0"/>
        <w:spacing w:after="120"/>
        <w:ind w:firstLine="567"/>
      </w:pPr>
      <w:r>
        <w:t xml:space="preserve">Dữ liệu Favorita không có cơ chế phân bổ khuyến mãi ngẫu nhiên, biến công cụ hay thông tin giá để triệt tiêu số hạng sai lệch lựa chọn, nên không thể tách phần chênh lệch thuộc về tác động thật của khuyến mãi. Shmueli (2010) phân biệt mô hình dùng để dự báo với mô hình dùng để giải thích nhân quả; một biến có sức dự báo cao chưa hẳn là một đòn bẩy can thiệp. Ma và cộng sự (2016) cũng cho thấy thông tin khuyến mãi trong bán lẻ gồm cả tác động trong và giữa các nhóm hàng, điều một biến đếm như onpromotion không thể hiện hết. Vì vậy, onpromotion được giữ trong tập đặc trưng vì sức dự báo của nó, còn mọi thay đổi dự báo khi điều chỉnh onpromotion ở bước 06 chỉ được gọi là phản ứng dự báo có điều kiện (conditional predictive response), không phải mức tăng nhân quả (causal uplift).</w:t>
      </w:r>
    </w:p>
    <w:p>
      <w:pPr>
        <w:pStyle w:val="Heading2"/>
        <w:keepNext/>
      </w:pPr>
      <w:r>
        <w:t xml:space="preserve">3.4. Phân rã Robust STL</w:t>
      </w:r>
    </w:p>
    <w:p>
      <w:pPr>
        <w:pStyle w:val="Heading3"/>
        <w:keepNext/>
      </w:pPr>
      <w:r>
        <w:t xml:space="preserve">3.4.1. Chuẩn bị chuỗi và mô hình phân rã</w:t>
      </w:r>
    </w:p>
    <w:p>
      <w:pPr>
        <w:keepLines w:val="0"/>
        <w:spacing w:after="120"/>
        <w:ind w:firstLine="567"/>
      </w:pPr>
      <w:r>
        <w:t xml:space="preserve">Robust STL được dùng ở bước 02 như công cụ phân tích cấu trúc của chuỗi tổng trước bước mô hình hóa. Thuật toán STL yêu cầu chuỗi có tần suất đều, trong khi chuỗi tổng thiếu bốn ngày 25/12. Mã nguồn xử lý khoảng trống này bằng hai thao tác: asfreq('D') chèn các ngày lịch còn thiếu với giá trị rỗng, đưa chuỗi từ 1.684 lên 1.688 điểm; sau đó interpolate() nội suy tuyến tính giá trị của bốn ngày đó từ hai ngày kề bên. Chuỗi đã điền được phân rã bằng STL(period=7, robust=True) của thư viện statsmodels thành ba thành phần xu hướng (trend), mùa vụ (seasonal) và phần dư (residual) theo dạng cộng ở (3.7), trong đó thành phần mùa vụ lặp lại xấp xỉ sau mỗi 7 ngày nhưng được phép thay đổi dần theo thời gian. Kết quả được lưu trong stl_weekly.csv.</w:t>
      </w:r>
    </w:p>
    <w:p>
      <w:pPr>
        <w:tabs>
          <w:tab w:val="center" w:pos="4535"/>
          <w:tab w:val="right" w:pos="9071"/>
        </w:tabs>
        <w:spacing w:before="60" w:after="60"/>
        <w:ind w:firstLine="0"/>
      </w:pPr>
      <w:r>
        <w:tab/>
      </w:r>
      <m:oMath xmlns:a="http://schemas.openxmlformats.org/drawingml/2006/main" xmlns:pic="http://schemas.openxmlformats.org/drawingml/2006/picture">
        <m:sSub>
          <m:e>
            <m:r>
              <m:t>Y</m:t>
            </m:r>
          </m:e>
          <m:sub>
            <m:r>
              <m:t>t</m:t>
            </m:r>
          </m:sub>
        </m:sSub>
        <m:r>
          <m:rPr>
            <m:sty m:val="p"/>
          </m:rPr>
          <m:t>=</m:t>
        </m:r>
        <m:sSub>
          <m:e>
            <m:r>
              <m:t>T</m:t>
            </m:r>
          </m:e>
          <m:sub>
            <m:r>
              <m:t>t</m:t>
            </m:r>
          </m:sub>
        </m:sSub>
        <m:r>
          <m:rPr>
            <m:sty m:val="p"/>
          </m:rPr>
          <m:t>+</m:t>
        </m:r>
        <m:sSub>
          <m:e>
            <m:r>
              <m:t>S</m:t>
            </m:r>
          </m:e>
          <m:sub>
            <m:r>
              <m:t>t</m:t>
            </m:r>
          </m:sub>
        </m:sSub>
        <m:r>
          <m:rPr>
            <m:sty m:val="p"/>
          </m:rPr>
          <m:t>+</m:t>
        </m:r>
        <m:sSub>
          <m:e>
            <m:r>
              <m:t>R</m:t>
            </m:r>
          </m:e>
          <m:sub>
            <m:r>
              <m:t>t</m:t>
            </m:r>
          </m:sub>
        </m:sSub>
        <m:r>
          <m:rPr>
            <m:sty m:val="p"/>
          </m:rPr>
          <m:t>,</m:t>
        </m:r>
        <m:r>
          <m:t>  </m:t>
        </m:r>
        <m:sSub>
          <m:e>
            <m:r>
              <m:t>S</m:t>
            </m:r>
          </m:e>
          <m:sub>
            <m:r>
              <m:t>t</m:t>
            </m:r>
          </m:sub>
        </m:sSub>
        <m:r>
          <m:rPr>
            <m:sty m:val="p"/>
          </m:rPr>
          <m:t>≈</m:t>
        </m:r>
        <m:sSub>
          <m:e>
            <m:r>
              <m:t>S</m:t>
            </m:r>
          </m:e>
          <m:sub>
            <m:r>
              <m:t>t</m:t>
            </m:r>
            <m:r>
              <m:rPr>
                <m:sty m:val="p"/>
              </m:rPr>
              <m:t>−</m:t>
            </m:r>
            <m:r>
              <m:t>7</m:t>
            </m:r>
          </m:sub>
        </m:sSub>
        <m:r>
          <m:rPr>
            <m:sty m:val="p"/>
          </m:rPr>
          <m:t>,</m:t>
        </m:r>
        <m:r>
          <m:t>  </m:t>
        </m:r>
        <m:r>
          <m:t>t</m:t>
        </m:r>
        <m:r>
          <m:rPr>
            <m:sty m:val="p"/>
          </m:rPr>
          <m:t>=</m:t>
        </m:r>
        <m:r>
          <m:t>1</m:t>
        </m:r>
        <m:r>
          <m:rPr>
            <m:sty m:val="p"/>
          </m:rPr>
          <m:t>,</m:t>
        </m:r>
        <m:r>
          <m:rPr>
            <m:sty m:val="p"/>
          </m:rPr>
          <m:t>…</m:t>
        </m:r>
        <m:r>
          <m:rPr>
            <m:sty m:val="p"/>
          </m:rPr>
          <m:t>,</m:t>
        </m:r>
        <m:r>
          <m:t>1688</m:t>
        </m:r>
      </m:oMath>
      <w:r>
        <w:tab/>
        <w:t>(3.7)</w:t>
      </w:r>
    </w:p>
    <w:p>
      <w:pPr>
        <w:keepLines w:val="0"/>
        <w:spacing w:after="120"/>
        <w:ind w:firstLine="567"/>
      </w:pPr>
      <w:r>
        <w:t xml:space="preserve">Bốn giá trị nội suy không phải doanh số thật mà là điểm nối giúp thuật toán chạy trên lưới ngày đều; chúng chỉ tồn tại trong chuỗi dùng để phân rã và không được ghi ngược vào dữ liệu huấn luyện. Cần phân biệt cách xử lý này với cách bước 03 xử lý cùng bốn ngày đó: để tạo đặc trưng, ngày 25/12 được ghi nhận đúng bản chất là ngày đóng cửa, với sales = 0 và cờ closed = 1, rồi bị loại khỏi huấn luyện và đánh giá. Với phân rã, giá trị 0 ở ngày đóng cửa sẽ tạo thêm bốn gai âm giả trong phần dư, nên nội suy hợp lý hơn; với đặc trưng độ trễ, điều cần bảo toàn là khoảng cách ngày lịch. Vì bốn ngày chỉ chiếm phần rất nhỏ trong 1.688 điểm, nội suy ít có khả năng làm thay đổi hình dạng tổng thể của các thành phần.</w:t>
      </w:r>
    </w:p>
    <w:p>
      <w:pPr>
        <w:pStyle w:val="Heading3"/>
        <w:keepNext/>
      </w:pPr>
      <w:r>
        <w:t xml:space="preserve">3.4.2. Cơ chế bền vững</w:t>
      </w:r>
    </w:p>
    <w:p>
      <w:pPr>
        <w:keepLines w:val="0"/>
        <w:spacing w:after="120"/>
        <w:ind w:firstLine="567"/>
      </w:pPr>
      <w:r>
        <w:t xml:space="preserve">Cơ chế bền vững xuất phát từ cấu trúc hai vòng lặp của STL (Cleveland và cộng sự, 1990). Vòng lặp trong luân phiên làm trơn thành phần mùa vụ và xu hướng bằng hồi quy cục bộ (loess); vòng lặp ngoài tính trọng số bền vững cho từng thời điểm từ độ lớn phần dư theo hàm bisquare ở (3.8) rồi đưa trở lại vòng lặp trong. Thời điểm có phần dư vượt sáu lần trung vị độ lớn phần dư nhận trọng số 0, còn các thời điểm điển hình giữ trọng số gần 1. Nhờ vậy, các đột biến do ngày lễ hay sự kiện bất thường ít làm lệch xu hướng và mùa vụ, một ưu điểm của STL so với phân rã cổ điển mà Hyndman và Athanasopoulos (2021) nêu ra.</w:t>
      </w:r>
    </w:p>
    <w:p>
      <w:pPr>
        <w:tabs>
          <w:tab w:val="center" w:pos="4535"/>
          <w:tab w:val="right" w:pos="9071"/>
        </w:tabs>
        <w:spacing w:before="60" w:after="60"/>
        <w:ind w:firstLine="0"/>
      </w:pPr>
      <w:r>
        <w:tab/>
      </w:r>
      <m:oMath xmlns:a="http://schemas.openxmlformats.org/drawingml/2006/main" xmlns:pic="http://schemas.openxmlformats.org/drawingml/2006/picture">
        <m:sSub>
          <m:e>
            <m:r>
              <m:t>ρ</m:t>
            </m:r>
          </m:e>
          <m:sub>
            <m:r>
              <m:t>t</m:t>
            </m:r>
          </m:sub>
        </m:sSub>
        <m:r>
          <m:rPr>
            <m:sty m:val="p"/>
          </m:rPr>
          <m:t>=</m:t>
        </m:r>
        <m:r>
          <m:t>B</m:t>
        </m:r>
        <m:r>
          <m:t>​</m:t>
        </m:r>
        <m:d>
          <m:dPr>
            <m:begChr m:val="("/>
            <m:sepChr m:val=""/>
            <m:endChr m:val=")"/>
            <m:grow/>
          </m:dPr>
          <m:e>
            <m:f>
              <m:fPr>
                <m:type m:val="bar"/>
              </m:fPr>
              <m:num>
                <m:d>
                  <m:dPr>
                    <m:begChr m:val="|"/>
                    <m:sepChr m:val=""/>
                    <m:endChr m:val="|"/>
                    <m:grow/>
                  </m:dPr>
                  <m:e>
                    <m:sSub>
                      <m:e>
                        <m:r>
                          <m:t>R</m:t>
                        </m:r>
                      </m:e>
                      <m:sub>
                        <m:r>
                          <m:t>t</m:t>
                        </m:r>
                      </m:sub>
                    </m:sSub>
                  </m:e>
                </m:d>
              </m:num>
              <m:den>
                <m:r>
                  <m:t>6</m:t>
                </m:r>
                <m:r>
                  <m:rPr>
                    <m:sty m:val="p"/>
                  </m:rPr>
                  <m:t>⋅</m:t>
                </m:r>
                <m:sSub>
                  <m:e>
                    <m:r>
                      <m:rPr>
                        <m:sty m:val="p"/>
                      </m:rPr>
                      <m:t>median</m:t>
                    </m:r>
                  </m:e>
                  <m:sub>
                    <m:r>
                      <m:t>u</m:t>
                    </m:r>
                  </m:sub>
                </m:sSub>
                <m:d>
                  <m:dPr>
                    <m:begChr m:val="|"/>
                    <m:sepChr m:val=""/>
                    <m:endChr m:val="|"/>
                    <m:grow/>
                  </m:dPr>
                  <m:e>
                    <m:sSub>
                      <m:e>
                        <m:r>
                          <m:t>R</m:t>
                        </m:r>
                      </m:e>
                      <m:sub>
                        <m:r>
                          <m:t>u</m:t>
                        </m:r>
                      </m:sub>
                    </m:sSub>
                  </m:e>
                </m:d>
              </m:den>
            </m:f>
          </m:e>
        </m:d>
        <m:r>
          <m:rPr>
            <m:sty m:val="p"/>
          </m:rPr>
          <m:t>,</m:t>
        </m:r>
        <m:r>
          <m:t>  </m:t>
        </m:r>
        <m:r>
          <m:t>B</m:t>
        </m:r>
        <m:d>
          <m:dPr>
            <m:begChr m:val="("/>
            <m:sepChr m:val=""/>
            <m:endChr m:val=")"/>
            <m:grow/>
          </m:dPr>
          <m:e>
            <m:r>
              <m:t>u</m:t>
            </m:r>
          </m:e>
        </m:d>
        <m:r>
          <m:rPr>
            <m:sty m:val="p"/>
          </m:rPr>
          <m:t>=</m:t>
        </m:r>
        <m:d>
          <m:dPr>
            <m:begChr m:val="{"/>
            <m:sepChr m:val=""/>
            <m:endChr m:val=""/>
            <m:grow/>
          </m:dPr>
          <m:e>
            <m:m>
              <m:mPr>
                <m:baseJc m:val="center"/>
                <m:plcHide m:val="on"/>
                <m:mcs>
                  <m:mc>
                    <m:mcPr>
                      <m:count m:val="1"/>
                      <m:mcJc m:val="left"/>
                    </m:mcPr>
                  </m:mc>
                  <m:mc>
                    <m:mcPr>
                      <m:count m:val="1"/>
                      <m:mcJc m:val="left"/>
                    </m:mcPr>
                  </m:mc>
                </m:mcs>
              </m:mPr>
              <m:mr>
                <m:e>
                  <m:sSup>
                    <m:e>
                      <m:d>
                        <m:dPr>
                          <m:begChr m:val="("/>
                          <m:sepChr m:val=""/>
                          <m:endChr m:val=")"/>
                          <m:grow/>
                        </m:dPr>
                        <m:e>
                          <m:r>
                            <m:t>1</m:t>
                          </m:r>
                          <m:r>
                            <m:rPr>
                              <m:sty m:val="p"/>
                            </m:rPr>
                            <m:t>−</m:t>
                          </m:r>
                          <m:sSup>
                            <m:e>
                              <m:r>
                                <m:t>u</m:t>
                              </m:r>
                            </m:e>
                            <m:sup>
                              <m:r>
                                <m:t>2</m:t>
                              </m:r>
                            </m:sup>
                          </m:sSup>
                        </m:e>
                      </m:d>
                    </m:e>
                    <m:sup>
                      <m:r>
                        <m:t>2</m:t>
                      </m:r>
                    </m:sup>
                  </m:sSup>
                  <m:r>
                    <m:rPr>
                      <m:sty m:val="p"/>
                    </m:rPr>
                    <m:t>,</m:t>
                  </m:r>
                </m:e>
                <m:e>
                  <m:r>
                    <m:t>0</m:t>
                  </m:r>
                  <m:r>
                    <m:rPr>
                      <m:sty m:val="p"/>
                    </m:rPr>
                    <m:t>≤</m:t>
                  </m:r>
                  <m:r>
                    <m:t>u</m:t>
                  </m:r>
                  <m:r>
                    <m:rPr>
                      <m:sty m:val="p"/>
                    </m:rPr>
                    <m:t>&lt;</m:t>
                  </m:r>
                  <m:r>
                    <m:t>1</m:t>
                  </m:r>
                </m:e>
              </m:mr>
              <m:mr>
                <m:e>
                  <m:r>
                    <m:t>0</m:t>
                  </m:r>
                  <m:r>
                    <m:rPr>
                      <m:sty m:val="p"/>
                    </m:rPr>
                    <m:t>,</m:t>
                  </m:r>
                </m:e>
                <m:e>
                  <m:r>
                    <m:t>u</m:t>
                  </m:r>
                  <m:r>
                    <m:rPr>
                      <m:sty m:val="p"/>
                    </m:rPr>
                    <m:t>≥</m:t>
                  </m:r>
                  <m:r>
                    <m:t>1</m:t>
                  </m:r>
                </m:e>
              </m:mr>
            </m:m>
          </m:e>
        </m:d>
      </m:oMath>
      <w:r>
        <w:tab/>
        <w:t>(3.8)</w:t>
      </w:r>
    </w:p>
    <w:p>
      <w:pPr>
        <w:keepLines w:val="0"/>
        <w:spacing w:after="120"/>
        <w:ind w:firstLine="567"/>
      </w:pPr>
      <w:r>
        <w:t xml:space="preserve">Trọng số bền vững không được lưu trong stl_weekly.csv, nên tác giả tính lại bằng cách chạy cùng cấu hình trên daily_aggregate.csv; phần dư tái lập trùng với cột resid của stl_weekly.csv đến sai số làm tròn. Kết quả cho thấy 256 trong 1.688 ngày, khoảng 15,17%, nhận trọng số bền vững bằng 0. Con số này lớn hơn nhiều so với vài ngày 01/01 dễ thấy trên Hình 3.2. Ở chế độ bền vững, các ngày này bị đẩy gần như toàn bộ vào phần dư thay vì kéo lệch xu hướng và mùa vụ. Đây vừa là ưu điểm, vừa là lời nhắc rằng phần dư của Robust STL không phải nhiễu trắng mà chứa thông tin có hệ thống về ngày lễ và sự kiện, loại thông tin mà các đặc trưng như is_national_holiday, day và month cố gắng nắm bắt.</w:t>
      </w:r>
    </w:p>
    <w:p>
      <w:pPr>
        <w:pStyle w:val="Heading3"/>
        <w:keepNext/>
      </w:pPr>
      <w:r>
        <w:t xml:space="preserve">3.4.3. Diễn giải các thành phần phân rã</w:t>
      </w:r>
    </w:p>
    <w:p>
      <w:pPr>
        <w:keepLines w:val="0"/>
        <w:spacing w:after="120"/>
        <w:ind w:firstLine="567"/>
      </w:pPr>
      <w:r>
        <w:t xml:space="preserve">Hình 3.4 trình bày bốn khung của phân rã: chuỗi quan sát, xu hướng, mùa vụ và phần dư. Khung xu hướng xác nhận mức nền tăng từ năm 2013 đến 2017 nhưng không tăng đều: năm 2013 gần như phẳng; năm 2014 có nhiều đoạn tăng vọt rồi tụt lại; cuối 2014 xu hướng lên đỉnh rồi tụt rõ vào đầu năm 2015, trước khi tăng lên mức cao hơn từ giữa 2015 và dao động quanh mức đó. Ở cuối mỗi năm, xu hướng có một đỉnh ngắn, phù hợp với mùa mua sắm cuối năm, và đỉnh cuối 2016 là đỉnh cao nhất của khung. Khung mùa vụ cho thấy dao động tuần đều đặn, với biên độ tăng dần theo thời gian và thay đổi theo từng đoạn trong năm. Khung phần dư phần lớn dao động quanh 0, nhưng có những gai lớn cả hai chiều; gai âm lớn nhất rơi vào các ngày 01/01, nơi doanh số thực gần như bằng 0 trong khi xu hướng và mùa vụ dự kiến mức bán bình thường.</w:t>
      </w:r>
    </w:p>
    <w:p>
      <w:pPr>
        <w:jc w:val="center"/>
      </w:pPr>
      <w:r>
        <w:drawing>
          <wp:inline xmlns:a="http://schemas.openxmlformats.org/drawingml/2006/main" xmlns:pic="http://schemas.openxmlformats.org/drawingml/2006/picture">
            <wp:extent cx="5580000" cy="4170909"/>
            <wp:docPr id="5004" name="Picture 5004"/>
            <wp:cNvGraphicFramePr>
              <a:graphicFrameLocks noChangeAspect="1"/>
            </wp:cNvGraphicFramePr>
            <a:graphic>
              <a:graphicData uri="http://schemas.openxmlformats.org/drawingml/2006/picture">
                <pic:pic>
                  <pic:nvPicPr>
                    <pic:cNvPr id="0" name="F05_robust_stl_494.png"/>
                    <pic:cNvPicPr/>
                  </pic:nvPicPr>
                  <pic:blipFill>
                    <a:blip r:embed="rId103"/>
                    <a:stretch>
                      <a:fillRect/>
                    </a:stretch>
                  </pic:blipFill>
                  <pic:spPr>
                    <a:xfrm>
                      <a:off x="0" y="0"/>
                      <a:ext cx="5580000" cy="4170909"/>
                    </a:xfrm>
                    <a:prstGeom prst="rect"/>
                  </pic:spPr>
                </pic:pic>
              </a:graphicData>
            </a:graphic>
          </wp:inline>
        </w:drawing>
      </w:r>
    </w:p>
    <w:p>
      <w:pPr>
        <w:keepNext w:val="0"/>
        <w:spacing w:after="160"/>
        <w:ind w:firstLine="0"/>
        <w:jc w:val="center"/>
      </w:pPr>
      <w:r>
        <w:t xml:space="preserve">Hình 3.4. Phân rã Robust STL (period = 7) của chuỗi doanh số tổng theo ngày: quan sát, xu hướng, mùa vụ và phần dư</w:t>
      </w:r>
    </w:p>
    <w:p>
      <w:pPr>
        <w:spacing w:before="0" w:after="160"/>
        <w:ind w:firstLine="0"/>
        <w:jc w:val="center"/>
      </w:pPr>
      <w:r>
        <w:rPr>
          <w:i/>
          <w:sz w:val="22"/>
          <w:szCs w:val="22"/>
        </w:rPr>
        <w:t xml:space="preserve">Nguồn: REPORT_READY/figures/F05_robust_stl.png</w:t>
      </w:r>
    </w:p>
    <w:p>
      <w:pPr>
        <w:keepLines w:val="0"/>
        <w:spacing w:after="120"/>
        <w:ind w:firstLine="567"/>
      </w:pPr>
      <w:r>
        <w:t xml:space="preserve">Để lượng hóa quan sát trực quan, có thể dùng thước đo độ mạnh của xu hướng và mùa vụ mà Hyndman và Athanasopoulos (2021) trình bày cho phân rã STL, định nghĩa ở (3.9). Tính từ các cột trend, seasonal và resid của stl_weekly.csv, độ mạnh xu hướng F(T) khoảng 0,83 và độ mạnh mùa vụ tuần F(S) khoảng 0,63 trên thang từ 0 đến 1. Cả hai thành phần đều mạnh, nhưng phần dư vẫn đủ lớn để một quy luật lặp tuần đơn thuần không thể giải thích toàn bộ biến động. Biên độ mùa vụ tăng cùng mức nền còn gợi ý tính mùa vụ gần với dạng nhân tính; các mô hình cây ở mục 3.7 có thể học tương tác giữa dow và mức bán gần đây mà không cần chọn trước dạng cộng hay nhân.</w:t>
      </w:r>
    </w:p>
    <w:p>
      <w:pPr>
        <w:tabs>
          <w:tab w:val="center" w:pos="4535"/>
          <w:tab w:val="right" w:pos="9071"/>
        </w:tabs>
        <w:spacing w:before="60" w:after="60"/>
        <w:ind w:firstLine="0"/>
      </w:pPr>
      <w:r>
        <w:tab/>
      </w:r>
      <m:oMath xmlns:a="http://schemas.openxmlformats.org/drawingml/2006/main" xmlns:pic="http://schemas.openxmlformats.org/drawingml/2006/picture">
        <m:sSub>
          <m:e>
            <m:r>
              <m:t>F</m:t>
            </m:r>
          </m:e>
          <m:sub>
            <m:r>
              <m:t>T</m:t>
            </m:r>
          </m:sub>
        </m:sSub>
        <m:r>
          <m:rPr>
            <m:sty m:val="p"/>
          </m:rPr>
          <m:t>=</m:t>
        </m:r>
        <m:r>
          <m:rPr>
            <m:sty m:val="p"/>
          </m:rPr>
          <m:t>max</m:t>
        </m:r>
        <m:r>
          <m:t>​</m:t>
        </m:r>
        <m:d>
          <m:dPr>
            <m:begChr m:val="("/>
            <m:sepChr m:val=""/>
            <m:endChr m:val=")"/>
            <m:grow/>
          </m:dPr>
          <m:e>
            <m:r>
              <m:t>0</m:t>
            </m:r>
            <m:r>
              <m:rPr>
                <m:sty m:val="p"/>
              </m:rPr>
              <m:t>,</m:t>
            </m:r>
            <m:r>
              <m:t> </m:t>
            </m:r>
            <m:r>
              <m:t>1</m:t>
            </m:r>
            <m:r>
              <m:rPr>
                <m:sty m:val="p"/>
              </m:rPr>
              <m:t>−</m:t>
            </m:r>
            <m:f>
              <m:fPr>
                <m:type m:val="bar"/>
              </m:fPr>
              <m:num>
                <m:r>
                  <m:rPr>
                    <m:sty m:val="p"/>
                  </m:rPr>
                  <m:t>Var</m:t>
                </m:r>
                <m:d>
                  <m:dPr>
                    <m:begChr m:val="("/>
                    <m:sepChr m:val=""/>
                    <m:endChr m:val=")"/>
                    <m:grow/>
                  </m:dPr>
                  <m:e>
                    <m:sSub>
                      <m:e>
                        <m:r>
                          <m:t>R</m:t>
                        </m:r>
                      </m:e>
                      <m:sub>
                        <m:r>
                          <m:t>t</m:t>
                        </m:r>
                      </m:sub>
                    </m:sSub>
                  </m:e>
                </m:d>
              </m:num>
              <m:den>
                <m:r>
                  <m:rPr>
                    <m:sty m:val="p"/>
                  </m:rPr>
                  <m:t>Var</m:t>
                </m:r>
                <m:d>
                  <m:dPr>
                    <m:begChr m:val="("/>
                    <m:sepChr m:val=""/>
                    <m:endChr m:val=")"/>
                    <m:grow/>
                  </m:dPr>
                  <m:e>
                    <m:sSub>
                      <m:e>
                        <m:r>
                          <m:t>T</m:t>
                        </m:r>
                      </m:e>
                      <m:sub>
                        <m:r>
                          <m:t>t</m:t>
                        </m:r>
                      </m:sub>
                    </m:sSub>
                    <m:r>
                      <m:rPr>
                        <m:sty m:val="p"/>
                      </m:rPr>
                      <m:t>+</m:t>
                    </m:r>
                    <m:sSub>
                      <m:e>
                        <m:r>
                          <m:t>R</m:t>
                        </m:r>
                      </m:e>
                      <m:sub>
                        <m:r>
                          <m:t>t</m:t>
                        </m:r>
                      </m:sub>
                    </m:sSub>
                  </m:e>
                </m:d>
              </m:den>
            </m:f>
          </m:e>
        </m:d>
        <m:r>
          <m:rPr>
            <m:sty m:val="p"/>
          </m:rPr>
          <m:t>,</m:t>
        </m:r>
        <m:r>
          <m:t>  </m:t>
        </m:r>
        <m:sSub>
          <m:e>
            <m:r>
              <m:t>F</m:t>
            </m:r>
          </m:e>
          <m:sub>
            <m:r>
              <m:t>S</m:t>
            </m:r>
          </m:sub>
        </m:sSub>
        <m:r>
          <m:rPr>
            <m:sty m:val="p"/>
          </m:rPr>
          <m:t>=</m:t>
        </m:r>
        <m:r>
          <m:rPr>
            <m:sty m:val="p"/>
          </m:rPr>
          <m:t>max</m:t>
        </m:r>
        <m:r>
          <m:t>​</m:t>
        </m:r>
        <m:d>
          <m:dPr>
            <m:begChr m:val="("/>
            <m:sepChr m:val=""/>
            <m:endChr m:val=")"/>
            <m:grow/>
          </m:dPr>
          <m:e>
            <m:r>
              <m:t>0</m:t>
            </m:r>
            <m:r>
              <m:rPr>
                <m:sty m:val="p"/>
              </m:rPr>
              <m:t>,</m:t>
            </m:r>
            <m:r>
              <m:t> </m:t>
            </m:r>
            <m:r>
              <m:t>1</m:t>
            </m:r>
            <m:r>
              <m:rPr>
                <m:sty m:val="p"/>
              </m:rPr>
              <m:t>−</m:t>
            </m:r>
            <m:f>
              <m:fPr>
                <m:type m:val="bar"/>
              </m:fPr>
              <m:num>
                <m:r>
                  <m:rPr>
                    <m:sty m:val="p"/>
                  </m:rPr>
                  <m:t>Var</m:t>
                </m:r>
                <m:d>
                  <m:dPr>
                    <m:begChr m:val="("/>
                    <m:sepChr m:val=""/>
                    <m:endChr m:val=")"/>
                    <m:grow/>
                  </m:dPr>
                  <m:e>
                    <m:sSub>
                      <m:e>
                        <m:r>
                          <m:t>R</m:t>
                        </m:r>
                      </m:e>
                      <m:sub>
                        <m:r>
                          <m:t>t</m:t>
                        </m:r>
                      </m:sub>
                    </m:sSub>
                  </m:e>
                </m:d>
              </m:num>
              <m:den>
                <m:r>
                  <m:rPr>
                    <m:sty m:val="p"/>
                  </m:rPr>
                  <m:t>Var</m:t>
                </m:r>
                <m:d>
                  <m:dPr>
                    <m:begChr m:val="("/>
                    <m:sepChr m:val=""/>
                    <m:endChr m:val=")"/>
                    <m:grow/>
                  </m:dPr>
                  <m:e>
                    <m:sSub>
                      <m:e>
                        <m:r>
                          <m:t>S</m:t>
                        </m:r>
                      </m:e>
                      <m:sub>
                        <m:r>
                          <m:t>t</m:t>
                        </m:r>
                      </m:sub>
                    </m:sSub>
                    <m:r>
                      <m:rPr>
                        <m:sty m:val="p"/>
                      </m:rPr>
                      <m:t>+</m:t>
                    </m:r>
                    <m:sSub>
                      <m:e>
                        <m:r>
                          <m:t>R</m:t>
                        </m:r>
                      </m:e>
                      <m:sub>
                        <m:r>
                          <m:t>t</m:t>
                        </m:r>
                      </m:sub>
                    </m:sSub>
                  </m:e>
                </m:d>
              </m:den>
            </m:f>
          </m:e>
        </m:d>
      </m:oMath>
      <w:r>
        <w:tab/>
        <w:t>(3.9)</w:t>
      </w:r>
    </w:p>
    <w:p>
      <w:pPr>
        <w:pStyle w:val="Heading3"/>
        <w:keepNext/>
      </w:pPr>
      <w:r>
        <w:t xml:space="preserve">3.4.4. Ranh giới sử dụng của phân rã</w:t>
      </w:r>
    </w:p>
    <w:p>
      <w:pPr>
        <w:keepLines w:val="0"/>
        <w:spacing w:after="120"/>
        <w:ind w:firstLine="567"/>
      </w:pPr>
      <w:r>
        <w:t xml:space="preserve">Robust STL không được dùng để tạo biến mục tiêu đã khử mùa vụ, và các thành phần phân rã không được đưa vào đầu vào của năm mô hình. Lý do là kỹ thuật chứ không chỉ quy ước: loess là phép làm trơn hai phía, nên thành phần ước lượng tại ngày t phụ thuộc cả vào các quan sát sau t, và phân rã được thực hiện một lần trên toàn chuỗi đến 15/08/2017. Nếu dùng các thành phần này làm đặc trưng, mô hình sẽ gián tiếp nhìn thấy doanh số của chính các cửa sổ đánh giá. Mô hình được huấn luyện và đánh giá trên sales gốc, nên các thước đo phản ánh trực tiếp sai số trên bài toán bán lẻ ban đầu.</w:t>
      </w:r>
    </w:p>
    <w:p>
      <w:pPr>
        <w:keepLines w:val="0"/>
        <w:spacing w:after="120"/>
        <w:ind w:firstLine="567"/>
      </w:pPr>
      <w:r>
        <w:t xml:space="preserve">Giới hạn thứ hai là phân rã được thực hiện trên doanh số tổng, vốn bị chi phối bởi các nhóm sản phẩm quy mô lớn; khi cộng gộp, các biến động riêng lẻ có thể triệt tiêu lẫn nhau. Vì vậy, Hình 3.4 không được dùng để khẳng định mọi tổ hợp Store × Family đều có cùng biên độ mùa vụ hay cùng xu hướng. Trong phạm vi luận văn, phân rã có chức năng biện minh cho thiết kế đặc trưng và đường cơ sở, còn hành vi ở cấp vi mô được kiểm tra qua chẩn đoán sai số theo cửa hàng, nhóm sản phẩm, chuỗi và mức nhu cầu ở Chương 4.</w:t>
      </w:r>
    </w:p>
    <w:p>
      <w:pPr>
        <w:pStyle w:val="Heading2"/>
        <w:keepNext/>
      </w:pPr>
      <w:r>
        <w:t xml:space="preserve">3.5. Thiết kế đặc trưng</w:t>
      </w:r>
    </w:p>
    <w:p>
      <w:pPr>
        <w:pStyle w:val="Heading3"/>
        <w:keepNext/>
      </w:pPr>
      <w:r>
        <w:t xml:space="preserve">3.5.1. Cấu trúc vectơ đặc trưng</w:t>
      </w:r>
    </w:p>
    <w:p>
      <w:pPr>
        <w:keepLines w:val="0"/>
        <w:spacing w:after="120"/>
        <w:ind w:firstLine="567"/>
      </w:pPr>
      <w:r>
        <w:t xml:space="preserve">Bước 03 xây dựng tập đặc trưng mô tả năm nguồn thông tin: vị trí của ngày trong lịch, nhận diện chuỗi, biến khuyến mãi, lịch sử doanh số và bối cảnh bên ngoài lấy từ các tệp bổ sung. Có thể viết vectơ đầu vào như (3.10), trong đó c(t) là nhóm lịch, z(i) là nhóm nhận diện và thông tin tĩnh của cửa hàng, p(i,t) là onpromotion, h(i,t) là nhóm lịch sử doanh số và e(i,t) là nhóm ngoại sinh có độ trễ. Tệp feature_list.csv liệt kê 31 đặc trưng; Bảng 3.4 chia chúng thành các nhóm và ghi rõ đặc trưng nào thực sự đi vào mô hình. Điểm quan trọng nhất của bảng là lag_7 và lag_14 được tạo ra nhưng bị loại khỏi đầu vào của bốn mô hình học máy bằng một dòng lệnh tường minh ở bước 04, nên các mô hình này dùng 29 đặc trưng. Hai độ trễ ngắn này, cùng với lag_21, là nguyên liệu của Seasonal Naive cố định gốc dự báo.</w:t>
      </w:r>
    </w:p>
    <w:p>
      <w:pPr>
        <w:tabs>
          <w:tab w:val="center" w:pos="4535"/>
          <w:tab w:val="right" w:pos="9071"/>
        </w:tabs>
        <w:spacing w:before="60" w:after="60"/>
        <w:ind w:firstLine="0"/>
      </w:pPr>
      <w:r>
        <w:tab/>
      </w:r>
      <m:oMath xmlns:a="http://schemas.openxmlformats.org/drawingml/2006/main" xmlns:pic="http://schemas.openxmlformats.org/drawingml/2006/picture">
        <m:sSub>
          <m:e>
            <m:r>
              <m:rPr>
                <m:sty m:val="b"/>
              </m:rPr>
              <m:t>x</m:t>
            </m:r>
          </m:e>
          <m:sub>
            <m:r>
              <m:t>i</m:t>
            </m:r>
            <m:r>
              <m:rPr>
                <m:sty m:val="p"/>
              </m:rPr>
              <m:t>,</m:t>
            </m:r>
            <m:r>
              <m:t>t</m:t>
            </m:r>
          </m:sub>
        </m:sSub>
        <m:r>
          <m:rPr>
            <m:sty m:val="p"/>
          </m:rPr>
          <m:t>=</m:t>
        </m:r>
        <m:d>
          <m:dPr>
            <m:begChr m:val="["/>
            <m:sepChr m:val=""/>
            <m:endChr m:val="]"/>
            <m:grow/>
          </m:dPr>
          <m:e>
            <m:r>
              <m:t> </m:t>
            </m:r>
            <m:sSub>
              <m:e>
                <m:r>
                  <m:rPr>
                    <m:sty m:val="b"/>
                  </m:rPr>
                  <m:t>c</m:t>
                </m:r>
              </m:e>
              <m:sub>
                <m:r>
                  <m:t>t</m:t>
                </m:r>
              </m:sub>
            </m:sSub>
            <m:r>
              <m:rPr>
                <m:sty m:val="p"/>
              </m:rPr>
              <m:t>,</m:t>
            </m:r>
            <m:r>
              <m:t> </m:t>
            </m:r>
            <m:sSub>
              <m:e>
                <m:r>
                  <m:rPr>
                    <m:sty m:val="b"/>
                  </m:rPr>
                  <m:t>z</m:t>
                </m:r>
              </m:e>
              <m:sub>
                <m:r>
                  <m:t>i</m:t>
                </m:r>
              </m:sub>
            </m:sSub>
            <m:r>
              <m:rPr>
                <m:sty m:val="p"/>
              </m:rPr>
              <m:t>,</m:t>
            </m:r>
            <m:r>
              <m:t> </m:t>
            </m:r>
            <m:sSub>
              <m:e>
                <m:r>
                  <m:t>p</m:t>
                </m:r>
              </m:e>
              <m:sub>
                <m:r>
                  <m:t>i</m:t>
                </m:r>
                <m:r>
                  <m:rPr>
                    <m:sty m:val="p"/>
                  </m:rPr>
                  <m:t>,</m:t>
                </m:r>
                <m:r>
                  <m:t>t</m:t>
                </m:r>
              </m:sub>
            </m:sSub>
            <m:r>
              <m:rPr>
                <m:sty m:val="p"/>
              </m:rPr>
              <m:t>,</m:t>
            </m:r>
            <m:r>
              <m:t> </m:t>
            </m:r>
            <m:sSub>
              <m:e>
                <m:r>
                  <m:rPr>
                    <m:sty m:val="b"/>
                  </m:rPr>
                  <m:t>h</m:t>
                </m:r>
              </m:e>
              <m:sub>
                <m:r>
                  <m:t>i</m:t>
                </m:r>
                <m:r>
                  <m:rPr>
                    <m:sty m:val="p"/>
                  </m:rPr>
                  <m:t>,</m:t>
                </m:r>
                <m:r>
                  <m:t>t</m:t>
                </m:r>
              </m:sub>
            </m:sSub>
            <m:r>
              <m:rPr>
                <m:sty m:val="p"/>
              </m:rPr>
              <m:t>,</m:t>
            </m:r>
            <m:r>
              <m:t> </m:t>
            </m:r>
            <m:sSub>
              <m:e>
                <m:r>
                  <m:rPr>
                    <m:sty m:val="b"/>
                  </m:rPr>
                  <m:t>e</m:t>
                </m:r>
              </m:e>
              <m:sub>
                <m:r>
                  <m:t>i</m:t>
                </m:r>
                <m:r>
                  <m:rPr>
                    <m:sty m:val="p"/>
                  </m:rPr>
                  <m:t>,</m:t>
                </m:r>
                <m:r>
                  <m:t>t</m:t>
                </m:r>
              </m:sub>
            </m:sSub>
            <m:r>
              <m:t> </m:t>
            </m:r>
          </m:e>
        </m:d>
        <m:r>
          <m:rPr>
            <m:sty m:val="p"/>
          </m:rPr>
          <m:t>,</m:t>
        </m:r>
        <m:r>
          <m:t>  </m:t>
        </m:r>
        <m:r>
          <m:rPr>
            <m:sty m:val="p"/>
          </m:rPr>
          <m:t>dim</m:t>
        </m:r>
        <m:d>
          <m:dPr>
            <m:begChr m:val="("/>
            <m:sepChr m:val=""/>
            <m:endChr m:val=")"/>
            <m:grow/>
          </m:dPr>
          <m:e>
            <m:sSub>
              <m:e>
                <m:r>
                  <m:rPr>
                    <m:sty m:val="b"/>
                  </m:rPr>
                  <m:t>x</m:t>
                </m:r>
              </m:e>
              <m:sub>
                <m:r>
                  <m:t>i</m:t>
                </m:r>
                <m:r>
                  <m:rPr>
                    <m:sty m:val="p"/>
                  </m:rPr>
                  <m:t>,</m:t>
                </m:r>
                <m:r>
                  <m:t>t</m:t>
                </m:r>
              </m:sub>
            </m:sSub>
          </m:e>
        </m:d>
        <m:r>
          <m:rPr>
            <m:sty m:val="p"/>
          </m:rPr>
          <m:t>=</m:t>
        </m:r>
        <m:r>
          <m:t>31</m:t>
        </m:r>
        <m:r>
          <m:rPr>
            <m:sty m:val="p"/>
          </m:rPr>
          <m:t>−</m:t>
        </m:r>
        <m:r>
          <m:t>2</m:t>
        </m:r>
        <m:r>
          <m:rPr>
            <m:sty m:val="p"/>
          </m:rPr>
          <m:t>=</m:t>
        </m:r>
        <m:r>
          <m:t>29</m:t>
        </m:r>
      </m:oMath>
      <w:r>
        <w:tab/>
        <w:t>(3.10)</w:t>
      </w:r>
    </w:p>
    <w:p>
      <w:pPr>
        <w:keepNext/>
        <w:spacing w:before="120" w:after="60"/>
        <w:ind w:firstLine="0"/>
        <w:jc w:val="center"/>
      </w:pPr>
      <w:r>
        <w:t xml:space="preserve">Bảng 3.4. Danh sách 31 đặc trưng theo nhóm và phạm vi sử dụng trong năm mô hình</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13"/>
        <w:gridCol w:w="2954"/>
        <w:gridCol w:w="952"/>
        <w:gridCol w:w="3352"/>
      </w:tblGrid>
      <w:tr>
        <w:trPr>
          <w:tblHeader/>
          <w:cantSplit/>
        </w:trPr>
        <w:tc>
          <w:tcPr>
            <w:tcW w:type="dxa" w:w="1813"/>
            <w:shd w:val="clear" w:color="auto" w:fill="D9E2F3"/>
            <w:vAlign w:val="center"/>
          </w:tcPr>
          <w:p>
            <w:pPr>
              <w:spacing w:before="20" w:after="20" w:line="260" w:lineRule="auto"/>
              <w:ind w:firstLine="0"/>
              <w:jc w:val="center"/>
            </w:pPr>
            <w:r>
              <w:rPr>
                <w:b/>
                <w:sz w:val="20"/>
                <w:szCs w:val="20"/>
              </w:rPr>
              <w:t xml:space="preserve">Nhóm</w:t>
            </w:r>
          </w:p>
        </w:tc>
        <w:tc>
          <w:tcPr>
            <w:tcW w:type="dxa" w:w="2954"/>
            <w:shd w:val="clear" w:color="auto" w:fill="D9E2F3"/>
            <w:vAlign w:val="center"/>
          </w:tcPr>
          <w:p>
            <w:pPr>
              <w:spacing w:before="20" w:after="20" w:line="260" w:lineRule="auto"/>
              <w:ind w:firstLine="0"/>
              <w:jc w:val="center"/>
            </w:pPr>
            <w:r>
              <w:rPr>
                <w:b/>
                <w:sz w:val="20"/>
                <w:szCs w:val="20"/>
              </w:rPr>
              <w:t xml:space="preserve">Đặc trưng</w:t>
            </w:r>
          </w:p>
        </w:tc>
        <w:tc>
          <w:tcPr>
            <w:tcW w:type="dxa" w:w="952"/>
            <w:shd w:val="clear" w:color="auto" w:fill="D9E2F3"/>
            <w:vAlign w:val="center"/>
          </w:tcPr>
          <w:p>
            <w:pPr>
              <w:spacing w:before="20" w:after="20" w:line="260" w:lineRule="auto"/>
              <w:ind w:firstLine="0"/>
              <w:jc w:val="center"/>
            </w:pPr>
            <w:r>
              <w:rPr>
                <w:b/>
                <w:sz w:val="20"/>
                <w:szCs w:val="20"/>
              </w:rPr>
              <w:t xml:space="preserve">Số lượng</w:t>
            </w:r>
          </w:p>
        </w:tc>
        <w:tc>
          <w:tcPr>
            <w:tcW w:type="dxa" w:w="3352"/>
            <w:shd w:val="clear" w:color="auto" w:fill="D9E2F3"/>
            <w:vAlign w:val="center"/>
          </w:tcPr>
          <w:p>
            <w:pPr>
              <w:spacing w:before="20" w:after="20" w:line="260" w:lineRule="auto"/>
              <w:ind w:firstLine="0"/>
              <w:jc w:val="center"/>
            </w:pPr>
            <w:r>
              <w:rPr>
                <w:b/>
                <w:sz w:val="20"/>
                <w:szCs w:val="20"/>
              </w:rPr>
              <w:t xml:space="preserve">Phạm vi sử dụng</w:t>
            </w:r>
          </w:p>
        </w:tc>
      </w:tr>
      <w:tr>
        <w:trPr>
          <w:cantSplit/>
        </w:trPr>
        <w:tc>
          <w:tcPr>
            <w:tcW w:type="dxa" w:w="1813"/>
            <w:vAlign w:val="center"/>
          </w:tcPr>
          <w:p>
            <w:pPr>
              <w:spacing w:before="20" w:after="20" w:line="260" w:lineRule="auto"/>
              <w:ind w:firstLine="0"/>
              <w:jc w:val="left"/>
            </w:pPr>
            <w:r>
              <w:rPr>
                <w:sz w:val="20"/>
                <w:szCs w:val="20"/>
              </w:rPr>
              <w:t xml:space="preserve">Khuyến mãi</w:t>
            </w:r>
          </w:p>
        </w:tc>
        <w:tc>
          <w:tcPr>
            <w:tcW w:type="dxa" w:w="2954"/>
            <w:vAlign w:val="center"/>
          </w:tcPr>
          <w:p>
            <w:pPr>
              <w:spacing w:before="20" w:after="20" w:line="260" w:lineRule="auto"/>
              <w:ind w:firstLine="0"/>
              <w:jc w:val="left"/>
            </w:pPr>
            <w:r>
              <w:rPr>
                <w:sz w:val="20"/>
                <w:szCs w:val="20"/>
              </w:rPr>
              <w:t xml:space="preserve">onpromotion</w:t>
            </w:r>
          </w:p>
        </w:tc>
        <w:tc>
          <w:tcPr>
            <w:tcW w:type="dxa" w:w="952"/>
            <w:vAlign w:val="center"/>
          </w:tcPr>
          <w:p>
            <w:pPr>
              <w:spacing w:before="20" w:after="20" w:line="260" w:lineRule="auto"/>
              <w:ind w:firstLine="0"/>
              <w:jc w:val="center"/>
            </w:pPr>
            <w:r>
              <w:rPr>
                <w:sz w:val="20"/>
                <w:szCs w:val="20"/>
              </w:rPr>
              <w:t xml:space="preserve">1</w:t>
            </w:r>
          </w:p>
        </w:tc>
        <w:tc>
          <w:tcPr>
            <w:tcW w:type="dxa" w:w="3352"/>
            <w:vAlign w:val="center"/>
          </w:tcPr>
          <w:p>
            <w:pPr>
              <w:spacing w:before="20" w:after="20" w:line="260" w:lineRule="auto"/>
              <w:ind w:firstLine="0"/>
              <w:jc w:val="left"/>
            </w:pPr>
            <w:r>
              <w:rPr>
                <w:sz w:val="20"/>
                <w:szCs w:val="20"/>
              </w:rPr>
              <w:t xml:space="preserve">Bốn mô hình học máy; biến được thay đổi ở bước 06</w:t>
            </w:r>
          </w:p>
        </w:tc>
      </w:tr>
      <w:tr>
        <w:trPr>
          <w:cantSplit/>
        </w:trPr>
        <w:tc>
          <w:tcPr>
            <w:tcW w:type="dxa" w:w="1813"/>
            <w:vAlign w:val="center"/>
          </w:tcPr>
          <w:p>
            <w:pPr>
              <w:spacing w:before="20" w:after="20" w:line="260" w:lineRule="auto"/>
              <w:ind w:firstLine="0"/>
              <w:jc w:val="left"/>
            </w:pPr>
            <w:r>
              <w:rPr>
                <w:sz w:val="20"/>
                <w:szCs w:val="20"/>
              </w:rPr>
              <w:t xml:space="preserve">Lịch</w:t>
            </w:r>
          </w:p>
        </w:tc>
        <w:tc>
          <w:tcPr>
            <w:tcW w:type="dxa" w:w="2954"/>
            <w:vAlign w:val="center"/>
          </w:tcPr>
          <w:p>
            <w:pPr>
              <w:spacing w:before="20" w:after="20" w:line="260" w:lineRule="auto"/>
              <w:ind w:firstLine="0"/>
              <w:jc w:val="left"/>
            </w:pPr>
            <w:r>
              <w:rPr>
                <w:sz w:val="20"/>
                <w:szCs w:val="20"/>
              </w:rPr>
              <w:t xml:space="preserve">dow, month, day, weekofyear, is_weekend</w:t>
            </w:r>
          </w:p>
        </w:tc>
        <w:tc>
          <w:tcPr>
            <w:tcW w:type="dxa" w:w="952"/>
            <w:vAlign w:val="center"/>
          </w:tcPr>
          <w:p>
            <w:pPr>
              <w:spacing w:before="20" w:after="20" w:line="260" w:lineRule="auto"/>
              <w:ind w:firstLine="0"/>
              <w:jc w:val="center"/>
            </w:pPr>
            <w:r>
              <w:rPr>
                <w:sz w:val="20"/>
                <w:szCs w:val="20"/>
              </w:rPr>
              <w:t xml:space="preserve">5</w:t>
            </w:r>
          </w:p>
        </w:tc>
        <w:tc>
          <w:tcPr>
            <w:tcW w:type="dxa" w:w="3352"/>
            <w:vAlign w:val="center"/>
          </w:tcPr>
          <w:p>
            <w:pPr>
              <w:spacing w:before="20" w:after="20" w:line="260" w:lineRule="auto"/>
              <w:ind w:firstLine="0"/>
              <w:jc w:val="left"/>
            </w:pPr>
            <w:r>
              <w:rPr>
                <w:sz w:val="20"/>
                <w:szCs w:val="20"/>
              </w:rPr>
              <w:t xml:space="preserve">Bốn mô hình học máy</w:t>
            </w:r>
          </w:p>
        </w:tc>
      </w:tr>
      <w:tr>
        <w:trPr>
          <w:cantSplit/>
        </w:trPr>
        <w:tc>
          <w:tcPr>
            <w:tcW w:type="dxa" w:w="1813"/>
            <w:vAlign w:val="center"/>
          </w:tcPr>
          <w:p>
            <w:pPr>
              <w:spacing w:before="20" w:after="20" w:line="260" w:lineRule="auto"/>
              <w:ind w:firstLine="0"/>
              <w:jc w:val="left"/>
            </w:pPr>
            <w:r>
              <w:rPr>
                <w:sz w:val="20"/>
                <w:szCs w:val="20"/>
              </w:rPr>
              <w:t xml:space="preserve">Nhận diện chuỗi</w:t>
            </w:r>
          </w:p>
        </w:tc>
        <w:tc>
          <w:tcPr>
            <w:tcW w:type="dxa" w:w="2954"/>
            <w:vAlign w:val="center"/>
          </w:tcPr>
          <w:p>
            <w:pPr>
              <w:spacing w:before="20" w:after="20" w:line="260" w:lineRule="auto"/>
              <w:ind w:firstLine="0"/>
              <w:jc w:val="left"/>
            </w:pPr>
            <w:r>
              <w:rPr>
                <w:sz w:val="20"/>
                <w:szCs w:val="20"/>
              </w:rPr>
              <w:t xml:space="preserve">store_code, family_code</w:t>
            </w:r>
          </w:p>
        </w:tc>
        <w:tc>
          <w:tcPr>
            <w:tcW w:type="dxa" w:w="952"/>
            <w:vAlign w:val="center"/>
          </w:tcPr>
          <w:p>
            <w:pPr>
              <w:spacing w:before="20" w:after="20" w:line="260" w:lineRule="auto"/>
              <w:ind w:firstLine="0"/>
              <w:jc w:val="center"/>
            </w:pPr>
            <w:r>
              <w:rPr>
                <w:sz w:val="20"/>
                <w:szCs w:val="20"/>
              </w:rPr>
              <w:t xml:space="preserve">2</w:t>
            </w:r>
          </w:p>
        </w:tc>
        <w:tc>
          <w:tcPr>
            <w:tcW w:type="dxa" w:w="3352"/>
            <w:vAlign w:val="center"/>
          </w:tcPr>
          <w:p>
            <w:pPr>
              <w:spacing w:before="20" w:after="20" w:line="260" w:lineRule="auto"/>
              <w:ind w:firstLine="0"/>
              <w:jc w:val="left"/>
            </w:pPr>
            <w:r>
              <w:rPr>
                <w:sz w:val="20"/>
                <w:szCs w:val="20"/>
              </w:rPr>
              <w:t xml:space="preserve">Bốn mô hình học máy</w:t>
            </w:r>
          </w:p>
        </w:tc>
      </w:tr>
      <w:tr>
        <w:trPr>
          <w:cantSplit/>
        </w:trPr>
        <w:tc>
          <w:tcPr>
            <w:tcW w:type="dxa" w:w="1813"/>
            <w:vAlign w:val="center"/>
          </w:tcPr>
          <w:p>
            <w:pPr>
              <w:spacing w:before="20" w:after="20" w:line="260" w:lineRule="auto"/>
              <w:ind w:firstLine="0"/>
              <w:jc w:val="left"/>
            </w:pPr>
            <w:r>
              <w:rPr>
                <w:sz w:val="20"/>
                <w:szCs w:val="20"/>
              </w:rPr>
              <w:t xml:space="preserve">Độ trễ hợp lệ với kỳ 16 ngày</w:t>
            </w:r>
          </w:p>
        </w:tc>
        <w:tc>
          <w:tcPr>
            <w:tcW w:type="dxa" w:w="2954"/>
            <w:vAlign w:val="center"/>
          </w:tcPr>
          <w:p>
            <w:pPr>
              <w:spacing w:before="20" w:after="20" w:line="260" w:lineRule="auto"/>
              <w:ind w:firstLine="0"/>
              <w:jc w:val="left"/>
            </w:pPr>
            <w:r>
              <w:rPr>
                <w:sz w:val="20"/>
                <w:szCs w:val="20"/>
              </w:rPr>
              <w:t xml:space="preserve">lag_16, lag_21, lag_28, lag_32, lag_35, lag_42, lag_56</w:t>
            </w:r>
          </w:p>
        </w:tc>
        <w:tc>
          <w:tcPr>
            <w:tcW w:type="dxa" w:w="952"/>
            <w:vAlign w:val="center"/>
          </w:tcPr>
          <w:p>
            <w:pPr>
              <w:spacing w:before="20" w:after="20" w:line="260" w:lineRule="auto"/>
              <w:ind w:firstLine="0"/>
              <w:jc w:val="center"/>
            </w:pPr>
            <w:r>
              <w:rPr>
                <w:sz w:val="20"/>
                <w:szCs w:val="20"/>
              </w:rPr>
              <w:t xml:space="preserve">7</w:t>
            </w:r>
          </w:p>
        </w:tc>
        <w:tc>
          <w:tcPr>
            <w:tcW w:type="dxa" w:w="3352"/>
            <w:vAlign w:val="center"/>
          </w:tcPr>
          <w:p>
            <w:pPr>
              <w:spacing w:before="20" w:after="20" w:line="260" w:lineRule="auto"/>
              <w:ind w:firstLine="0"/>
              <w:jc w:val="left"/>
            </w:pPr>
            <w:r>
              <w:rPr>
                <w:sz w:val="20"/>
                <w:szCs w:val="20"/>
              </w:rPr>
              <w:t xml:space="preserve">Bốn mô hình học máy; lag_21 còn được Seasonal Naive dùng cho ngày 15–16 của kỳ</w:t>
            </w:r>
          </w:p>
        </w:tc>
      </w:tr>
      <w:tr>
        <w:trPr>
          <w:cantSplit/>
        </w:trPr>
        <w:tc>
          <w:tcPr>
            <w:tcW w:type="dxa" w:w="1813"/>
            <w:vAlign w:val="center"/>
          </w:tcPr>
          <w:p>
            <w:pPr>
              <w:spacing w:before="20" w:after="20" w:line="260" w:lineRule="auto"/>
              <w:ind w:firstLine="0"/>
              <w:jc w:val="left"/>
            </w:pPr>
            <w:r>
              <w:rPr>
                <w:sz w:val="20"/>
                <w:szCs w:val="20"/>
              </w:rPr>
              <w:t xml:space="preserve">Độ trễ ngắn</w:t>
            </w:r>
          </w:p>
        </w:tc>
        <w:tc>
          <w:tcPr>
            <w:tcW w:type="dxa" w:w="2954"/>
            <w:vAlign w:val="center"/>
          </w:tcPr>
          <w:p>
            <w:pPr>
              <w:spacing w:before="20" w:after="20" w:line="260" w:lineRule="auto"/>
              <w:ind w:firstLine="0"/>
              <w:jc w:val="left"/>
            </w:pPr>
            <w:r>
              <w:rPr>
                <w:sz w:val="20"/>
                <w:szCs w:val="20"/>
              </w:rPr>
              <w:t xml:space="preserve">lag_7, lag_14</w:t>
            </w:r>
          </w:p>
        </w:tc>
        <w:tc>
          <w:tcPr>
            <w:tcW w:type="dxa" w:w="952"/>
            <w:vAlign w:val="center"/>
          </w:tcPr>
          <w:p>
            <w:pPr>
              <w:spacing w:before="20" w:after="20" w:line="260" w:lineRule="auto"/>
              <w:ind w:firstLine="0"/>
              <w:jc w:val="center"/>
            </w:pPr>
            <w:r>
              <w:rPr>
                <w:sz w:val="20"/>
                <w:szCs w:val="20"/>
              </w:rPr>
              <w:t xml:space="preserve">2</w:t>
            </w:r>
          </w:p>
        </w:tc>
        <w:tc>
          <w:tcPr>
            <w:tcW w:type="dxa" w:w="3352"/>
            <w:vAlign w:val="center"/>
          </w:tcPr>
          <w:p>
            <w:pPr>
              <w:spacing w:before="20" w:after="20" w:line="260" w:lineRule="auto"/>
              <w:ind w:firstLine="0"/>
              <w:jc w:val="left"/>
            </w:pPr>
            <w:r>
              <w:rPr>
                <w:sz w:val="20"/>
                <w:szCs w:val="20"/>
              </w:rPr>
              <w:t xml:space="preserve">Không vào mô hình học máy; Seasonal Naive dùng lag_7 cho ngày 1–7 và lag_14 cho ngày 8–14 của kỳ</w:t>
            </w:r>
          </w:p>
        </w:tc>
      </w:tr>
      <w:tr>
        <w:trPr>
          <w:cantSplit/>
        </w:trPr>
        <w:tc>
          <w:tcPr>
            <w:tcW w:type="dxa" w:w="1813"/>
            <w:vAlign w:val="center"/>
          </w:tcPr>
          <w:p>
            <w:pPr>
              <w:spacing w:before="20" w:after="20" w:line="260" w:lineRule="auto"/>
              <w:ind w:firstLine="0"/>
              <w:jc w:val="left"/>
            </w:pPr>
            <w:r>
              <w:rPr>
                <w:sz w:val="20"/>
                <w:szCs w:val="20"/>
              </w:rPr>
              <w:t xml:space="preserve">Thống kê trượt (dịch 16 ngày)</w:t>
            </w:r>
          </w:p>
        </w:tc>
        <w:tc>
          <w:tcPr>
            <w:tcW w:type="dxa" w:w="2954"/>
            <w:vAlign w:val="center"/>
          </w:tcPr>
          <w:p>
            <w:pPr>
              <w:spacing w:before="20" w:after="20" w:line="260" w:lineRule="auto"/>
              <w:ind w:firstLine="0"/>
              <w:jc w:val="left"/>
            </w:pPr>
            <w:r>
              <w:rPr>
                <w:sz w:val="20"/>
                <w:szCs w:val="20"/>
              </w:rPr>
              <w:t xml:space="preserve">roll_mean_7, roll_mean_14, roll_mean_28, roll_std_7, roll_std_14, roll_std_28</w:t>
            </w:r>
          </w:p>
        </w:tc>
        <w:tc>
          <w:tcPr>
            <w:tcW w:type="dxa" w:w="952"/>
            <w:vAlign w:val="center"/>
          </w:tcPr>
          <w:p>
            <w:pPr>
              <w:spacing w:before="20" w:after="20" w:line="260" w:lineRule="auto"/>
              <w:ind w:firstLine="0"/>
              <w:jc w:val="center"/>
            </w:pPr>
            <w:r>
              <w:rPr>
                <w:sz w:val="20"/>
                <w:szCs w:val="20"/>
              </w:rPr>
              <w:t xml:space="preserve">6</w:t>
            </w:r>
          </w:p>
        </w:tc>
        <w:tc>
          <w:tcPr>
            <w:tcW w:type="dxa" w:w="3352"/>
            <w:vAlign w:val="center"/>
          </w:tcPr>
          <w:p>
            <w:pPr>
              <w:spacing w:before="20" w:after="20" w:line="260" w:lineRule="auto"/>
              <w:ind w:firstLine="0"/>
              <w:jc w:val="left"/>
            </w:pPr>
            <w:r>
              <w:rPr>
                <w:sz w:val="20"/>
                <w:szCs w:val="20"/>
              </w:rPr>
              <w:t xml:space="preserve">Bốn mô hình học máy</w:t>
            </w:r>
          </w:p>
        </w:tc>
      </w:tr>
      <w:tr>
        <w:trPr>
          <w:cantSplit/>
        </w:trPr>
        <w:tc>
          <w:tcPr>
            <w:tcW w:type="dxa" w:w="1813"/>
            <w:vAlign w:val="center"/>
          </w:tcPr>
          <w:p>
            <w:pPr>
              <w:spacing w:before="20" w:after="20" w:line="260" w:lineRule="auto"/>
              <w:ind w:firstLine="0"/>
              <w:jc w:val="left"/>
            </w:pPr>
            <w:r>
              <w:rPr>
                <w:sz w:val="20"/>
                <w:szCs w:val="20"/>
              </w:rPr>
              <w:t xml:space="preserve">Thông tin tĩnh cửa hàng</w:t>
            </w:r>
          </w:p>
        </w:tc>
        <w:tc>
          <w:tcPr>
            <w:tcW w:type="dxa" w:w="2954"/>
            <w:vAlign w:val="center"/>
          </w:tcPr>
          <w:p>
            <w:pPr>
              <w:spacing w:before="20" w:after="20" w:line="260" w:lineRule="auto"/>
              <w:ind w:firstLine="0"/>
              <w:jc w:val="left"/>
            </w:pPr>
            <w:r>
              <w:rPr>
                <w:sz w:val="20"/>
                <w:szCs w:val="20"/>
              </w:rPr>
              <w:t xml:space="preserve">city_code, state_code, type_code, cluster</w:t>
            </w:r>
          </w:p>
        </w:tc>
        <w:tc>
          <w:tcPr>
            <w:tcW w:type="dxa" w:w="952"/>
            <w:vAlign w:val="center"/>
          </w:tcPr>
          <w:p>
            <w:pPr>
              <w:spacing w:before="20" w:after="20" w:line="260" w:lineRule="auto"/>
              <w:ind w:firstLine="0"/>
              <w:jc w:val="center"/>
            </w:pPr>
            <w:r>
              <w:rPr>
                <w:sz w:val="20"/>
                <w:szCs w:val="20"/>
              </w:rPr>
              <w:t xml:space="preserve">4</w:t>
            </w:r>
          </w:p>
        </w:tc>
        <w:tc>
          <w:tcPr>
            <w:tcW w:type="dxa" w:w="3352"/>
            <w:vAlign w:val="center"/>
          </w:tcPr>
          <w:p>
            <w:pPr>
              <w:spacing w:before="20" w:after="20" w:line="260" w:lineRule="auto"/>
              <w:ind w:firstLine="0"/>
              <w:jc w:val="left"/>
            </w:pPr>
            <w:r>
              <w:rPr>
                <w:sz w:val="20"/>
                <w:szCs w:val="20"/>
              </w:rPr>
              <w:t xml:space="preserve">Bốn mô hình học máy</w:t>
            </w:r>
          </w:p>
        </w:tc>
      </w:tr>
      <w:tr>
        <w:trPr>
          <w:cantSplit/>
        </w:trPr>
        <w:tc>
          <w:tcPr>
            <w:tcW w:type="dxa" w:w="1813"/>
            <w:vAlign w:val="center"/>
          </w:tcPr>
          <w:p>
            <w:pPr>
              <w:spacing w:before="20" w:after="20" w:line="260" w:lineRule="auto"/>
              <w:ind w:firstLine="0"/>
              <w:jc w:val="left"/>
            </w:pPr>
            <w:r>
              <w:rPr>
                <w:sz w:val="20"/>
                <w:szCs w:val="20"/>
              </w:rPr>
              <w:t xml:space="preserve">Ngoại sinh có độ trễ</w:t>
            </w:r>
          </w:p>
        </w:tc>
        <w:tc>
          <w:tcPr>
            <w:tcW w:type="dxa" w:w="2954"/>
            <w:vAlign w:val="center"/>
          </w:tcPr>
          <w:p>
            <w:pPr>
              <w:spacing w:before="20" w:after="20" w:line="260" w:lineRule="auto"/>
              <w:ind w:firstLine="0"/>
              <w:jc w:val="left"/>
            </w:pPr>
            <w:r>
              <w:rPr>
                <w:sz w:val="20"/>
                <w:szCs w:val="20"/>
              </w:rPr>
              <w:t xml:space="preserve">oil_price_lag16, transactions_lag16, transactions_roll28_lag16</w:t>
            </w:r>
          </w:p>
        </w:tc>
        <w:tc>
          <w:tcPr>
            <w:tcW w:type="dxa" w:w="952"/>
            <w:vAlign w:val="center"/>
          </w:tcPr>
          <w:p>
            <w:pPr>
              <w:spacing w:before="20" w:after="20" w:line="260" w:lineRule="auto"/>
              <w:ind w:firstLine="0"/>
              <w:jc w:val="center"/>
            </w:pPr>
            <w:r>
              <w:rPr>
                <w:sz w:val="20"/>
                <w:szCs w:val="20"/>
              </w:rPr>
              <w:t xml:space="preserve">3</w:t>
            </w:r>
          </w:p>
        </w:tc>
        <w:tc>
          <w:tcPr>
            <w:tcW w:type="dxa" w:w="3352"/>
            <w:vAlign w:val="center"/>
          </w:tcPr>
          <w:p>
            <w:pPr>
              <w:spacing w:before="20" w:after="20" w:line="260" w:lineRule="auto"/>
              <w:ind w:firstLine="0"/>
              <w:jc w:val="left"/>
            </w:pPr>
            <w:r>
              <w:rPr>
                <w:sz w:val="20"/>
                <w:szCs w:val="20"/>
              </w:rPr>
              <w:t xml:space="preserve">Bốn mô hình học máy</w:t>
            </w:r>
          </w:p>
        </w:tc>
      </w:tr>
      <w:tr>
        <w:trPr>
          <w:cantSplit/>
        </w:trPr>
        <w:tc>
          <w:tcPr>
            <w:tcW w:type="dxa" w:w="1813"/>
            <w:vAlign w:val="center"/>
          </w:tcPr>
          <w:p>
            <w:pPr>
              <w:spacing w:before="20" w:after="20" w:line="260" w:lineRule="auto"/>
              <w:ind w:firstLine="0"/>
              <w:jc w:val="left"/>
            </w:pPr>
            <w:r>
              <w:rPr>
                <w:sz w:val="20"/>
                <w:szCs w:val="20"/>
              </w:rPr>
              <w:t xml:space="preserve">Lịch lễ quốc gia</w:t>
            </w:r>
          </w:p>
        </w:tc>
        <w:tc>
          <w:tcPr>
            <w:tcW w:type="dxa" w:w="2954"/>
            <w:vAlign w:val="center"/>
          </w:tcPr>
          <w:p>
            <w:pPr>
              <w:spacing w:before="20" w:after="20" w:line="260" w:lineRule="auto"/>
              <w:ind w:firstLine="0"/>
              <w:jc w:val="left"/>
            </w:pPr>
            <w:r>
              <w:rPr>
                <w:sz w:val="20"/>
                <w:szCs w:val="20"/>
              </w:rPr>
              <w:t xml:space="preserve">is_national_holiday</w:t>
            </w:r>
          </w:p>
        </w:tc>
        <w:tc>
          <w:tcPr>
            <w:tcW w:type="dxa" w:w="952"/>
            <w:vAlign w:val="center"/>
          </w:tcPr>
          <w:p>
            <w:pPr>
              <w:spacing w:before="20" w:after="20" w:line="260" w:lineRule="auto"/>
              <w:ind w:firstLine="0"/>
              <w:jc w:val="center"/>
            </w:pPr>
            <w:r>
              <w:rPr>
                <w:sz w:val="20"/>
                <w:szCs w:val="20"/>
              </w:rPr>
              <w:t xml:space="preserve">1</w:t>
            </w:r>
          </w:p>
        </w:tc>
        <w:tc>
          <w:tcPr>
            <w:tcW w:type="dxa" w:w="3352"/>
            <w:vAlign w:val="center"/>
          </w:tcPr>
          <w:p>
            <w:pPr>
              <w:spacing w:before="20" w:after="20" w:line="260" w:lineRule="auto"/>
              <w:ind w:firstLine="0"/>
              <w:jc w:val="left"/>
            </w:pPr>
            <w:r>
              <w:rPr>
                <w:sz w:val="20"/>
                <w:szCs w:val="20"/>
              </w:rPr>
              <w:t xml:space="preserve">Bốn mô hình học máy</w:t>
            </w:r>
          </w:p>
        </w:tc>
      </w:tr>
      <w:tr>
        <w:trPr>
          <w:cantSplit/>
        </w:trPr>
        <w:tc>
          <w:tcPr>
            <w:tcW w:type="dxa" w:w="1813"/>
            <w:vAlign w:val="center"/>
          </w:tcPr>
          <w:p>
            <w:pPr>
              <w:spacing w:before="20" w:after="20" w:line="260" w:lineRule="auto"/>
              <w:ind w:firstLine="0"/>
              <w:jc w:val="left"/>
            </w:pPr>
            <w:r>
              <w:rPr>
                <w:sz w:val="20"/>
                <w:szCs w:val="20"/>
              </w:rPr>
              <w:t xml:space="preserve">Tổng</w:t>
            </w:r>
          </w:p>
        </w:tc>
        <w:tc>
          <w:tcPr>
            <w:tcW w:type="dxa" w:w="2954"/>
            <w:vAlign w:val="center"/>
          </w:tcPr>
          <w:p>
            <w:pPr>
              <w:spacing w:before="20" w:after="20" w:line="260" w:lineRule="auto"/>
              <w:ind w:firstLine="0"/>
              <w:jc w:val="left"/>
            </w:pPr>
            <w:r>
              <w:rPr>
                <w:sz w:val="20"/>
                <w:szCs w:val="20"/>
              </w:rPr>
              <w:t xml:space="preserve">31 đặc trưng được tạo</w:t>
            </w:r>
          </w:p>
        </w:tc>
        <w:tc>
          <w:tcPr>
            <w:tcW w:type="dxa" w:w="952"/>
            <w:vAlign w:val="center"/>
          </w:tcPr>
          <w:p>
            <w:pPr>
              <w:spacing w:before="20" w:after="20" w:line="260" w:lineRule="auto"/>
              <w:ind w:firstLine="0"/>
              <w:jc w:val="center"/>
            </w:pPr>
            <w:r>
              <w:rPr>
                <w:sz w:val="20"/>
                <w:szCs w:val="20"/>
              </w:rPr>
              <w:t xml:space="preserve">31</w:t>
            </w:r>
          </w:p>
        </w:tc>
        <w:tc>
          <w:tcPr>
            <w:tcW w:type="dxa" w:w="3352"/>
            <w:vAlign w:val="center"/>
          </w:tcPr>
          <w:p>
            <w:pPr>
              <w:spacing w:before="20" w:after="20" w:line="260" w:lineRule="auto"/>
              <w:ind w:firstLine="0"/>
              <w:jc w:val="left"/>
            </w:pPr>
            <w:r>
              <w:rPr>
                <w:sz w:val="20"/>
                <w:szCs w:val="20"/>
              </w:rPr>
              <w:t xml:space="preserve">29 đặc trưng vào Ridge, Random Forest, XGBoost, LightGBM; Seasonal Naive dùng lag_7, lag_14, lag_21</w:t>
            </w:r>
          </w:p>
        </w:tc>
      </w:tr>
    </w:tbl>
    <w:p>
      <w:pPr>
        <w:spacing w:before="40" w:after="160"/>
        <w:ind w:firstLine="0"/>
      </w:pPr>
      <w:r>
        <w:rPr>
          <w:i/>
          <w:sz w:val="22"/>
          <w:szCs w:val="22"/>
        </w:rPr>
        <w:t xml:space="preserve">Nguồn: feature_list.csv (REPORT_READY/tables/03_feature_list.csv), 03_feature_engineering.py và 04_train_compare_5_models.py; phân nhóm của tác giả.</w:t>
      </w:r>
    </w:p>
    <w:p>
      <w:pPr>
        <w:keepLines w:val="0"/>
        <w:spacing w:after="120"/>
        <w:ind w:firstLine="567"/>
      </w:pPr>
      <w:r>
        <w:t xml:space="preserve">Nhóm lịch được suy ra từ cột date: dow là thứ trong tuần theo quy ước 0 là thứ Hai và 6 là Chủ nhật; is_weekend bằng 1 khi dow ≥ 5; month, day và weekofyear lần lượt là tháng, ngày trong tháng và tuần ISO. Nhóm nhận diện gồm store_code, lấy trực tiếp từ store_nbr, và family_code, mã số nguyên của nhóm sản phẩm theo thứ tự bảng chữ cái của tên nhóm (pd.Categorical(family).codes); cả hai được đưa vào mô hình dưới dạng số nguyên chứ không mã hóa one-hot. Với mô hình cây, cách mã hóa này đủ để tách các cửa hàng hoặc nhóm qua nhiều lần tách; với Ridge, nó áp đặt quan hệ tuyến tính theo thứ tự mã vốn không có ý nghĩa kinh tế. Biến onpromotion được giữ như một biến điều kiện, là biến mà lớp kịch bản ở bước 06 thay đổi.</w:t>
      </w:r>
    </w:p>
    <w:p>
      <w:pPr>
        <w:pStyle w:val="Heading3"/>
        <w:keepNext/>
      </w:pPr>
      <w:r>
        <w:t xml:space="preserve">3.5.2. Lịch ngày đầy đủ, độ trễ và thống kê trượt của doanh số</w:t>
      </w:r>
    </w:p>
    <w:p>
      <w:pPr>
        <w:keepLines w:val="0"/>
        <w:spacing w:after="120"/>
        <w:ind w:firstLine="567"/>
      </w:pPr>
      <w:r>
        <w:t xml:space="preserve">Trước khi tạo bất kỳ đặc trưng lịch sử nào, bước 03 dựng lưới đầy đủ gồm mọi tổ hợp cửa hàng × nhóm sản phẩm × ngày lịch từ 01/01/2013 đến 15/08/2017, rồi ghép doanh số gốc vào lưới đó. Những dòng không có trong train.csv, tức bốn ngày 25/12, nhận sales = 0, onpromotion = 0 và cờ closed = 1. Nhờ vậy, một bước dịch trong từng chuỗi luôn đúng bằng một ngày lịch, kể cả quanh Giáng sinh. Các ngày đóng cửa chỉ đóng vai trò giữ chỗ trên lưới: giá trị 0 của chúng có thể xuất hiện trong độ trễ hay thống kê trượt của các ngày sau, phản ánh đúng việc cửa hàng không bán hàng hôm đó, nhưng bản thân chúng bị loại khỏi tập huấn luyện và đánh giá. Lý do của thiết kế này là độ trễ và thống kê trượt phải là độ trễ theo ngày lịch: nếu dịch theo thứ tự dòng trên dữ liệu gốc, thì quanh các ngày vắng một bước dịch không tương ứng với một ngày lịch, chẳng hạn phép dịch bảy dòng ở những ngày ngay sau 25/12 sẽ lùi tới tám ngày lịch và tham chiếu một thứ khác trong tuần.</w:t>
      </w:r>
    </w:p>
    <w:p>
      <w:pPr>
        <w:keepLines w:val="0"/>
        <w:spacing w:after="120"/>
        <w:ind w:firstLine="567"/>
      </w:pPr>
      <w:r>
        <w:t xml:space="preserve">Nhóm lịch sử gồm chín độ trễ lag_7, lag_14, lag_16, lag_21, lag_28, lag_32, lag_35, lag_42 và lag_56, cùng trung bình trượt và độ lệch chuẩn trượt (rolling mean, rolling standard deviation) trên các cửa sổ 7, 14 và 28 ngày, định nghĩa ở (3.11) và (3.12). Phần lớn độ trễ là bội số của 7 nên giữ vị trí trong chu kỳ tuần; lag_16 và lag_32 gắn với độ dài kỳ dự báo. Các thống kê trượt được tính trên chuỗi đã dịch 16 ngày, theo cú pháp shift(16).rolling(w) trong từng chuỗi, nên cửa sổ gần nhất kết thúc tại t − 16. Trung bình trượt cung cấp mức bán nền gần đây, còn độ lệch chuẩn trượt cho biết chuỗi ổn định hay biến động mạnh. Vì lưới ngày đã đầy đủ, ký hiệu t − k trong (3.11) mang đúng nghĩa k ngày lịch trước ngày t.</w:t>
      </w:r>
    </w:p>
    <w:p>
      <w:pPr>
        <w:tabs>
          <w:tab w:val="center" w:pos="4535"/>
          <w:tab w:val="right" w:pos="9071"/>
        </w:tabs>
        <w:spacing w:before="60" w:after="60"/>
        <w:ind w:firstLine="0"/>
      </w:pPr>
      <w:r>
        <w:tab/>
      </w:r>
      <m:oMath xmlns:a="http://schemas.openxmlformats.org/drawingml/2006/main" xmlns:pic="http://schemas.openxmlformats.org/drawingml/2006/picture">
        <m:sSub>
          <m:e>
            <m:r>
              <m:rPr>
                <m:sty m:val="p"/>
              </m:rPr>
              <m:t>l</m:t>
            </m:r>
            <m:r>
              <m:rPr>
                <m:sty m:val="p"/>
              </m:rPr>
              <m:t>a</m:t>
            </m:r>
            <m:r>
              <m:rPr>
                <m:sty m:val="p"/>
              </m:rPr>
              <m:t>g</m:t>
            </m:r>
          </m:e>
          <m:sub>
            <m:r>
              <m:t>k</m:t>
            </m:r>
          </m:sub>
        </m:sSub>
        <m:d>
          <m:dPr>
            <m:begChr m:val="("/>
            <m:sepChr m:val=""/>
            <m:endChr m:val=")"/>
            <m:grow/>
          </m:dPr>
          <m:e>
            <m:r>
              <m:t>i</m:t>
            </m:r>
            <m:r>
              <m:rPr>
                <m:sty m:val="p"/>
              </m:rPr>
              <m:t>,</m:t>
            </m:r>
            <m:r>
              <m:t>t</m:t>
            </m:r>
          </m:e>
        </m:d>
        <m:r>
          <m:rPr>
            <m:sty m:val="p"/>
          </m:rPr>
          <m:t>=</m:t>
        </m:r>
        <m:sSub>
          <m:e>
            <m:r>
              <m:t>y</m:t>
            </m:r>
          </m:e>
          <m:sub>
            <m:r>
              <m:t>i</m:t>
            </m:r>
            <m:r>
              <m:rPr>
                <m:sty m:val="p"/>
              </m:rPr>
              <m:t>,</m:t>
            </m:r>
            <m:r>
              <m:t> </m:t>
            </m:r>
            <m:r>
              <m:t>t</m:t>
            </m:r>
            <m:r>
              <m:rPr>
                <m:sty m:val="p"/>
              </m:rPr>
              <m:t>−</m:t>
            </m:r>
            <m:r>
              <m:t>k</m:t>
            </m:r>
          </m:sub>
        </m:sSub>
        <m:r>
          <m:rPr>
            <m:sty m:val="p"/>
          </m:rPr>
          <m:t>,</m:t>
        </m:r>
        <m:r>
          <m:t>  </m:t>
        </m:r>
        <m:r>
          <m:t>k</m:t>
        </m:r>
        <m:r>
          <m:rPr>
            <m:sty m:val="p"/>
          </m:rPr>
          <m:t>∈</m:t>
        </m:r>
        <m:r>
          <m:rPr>
            <m:sty m:val="p"/>
          </m:rPr>
          <m:t>{</m:t>
        </m:r>
        <m:r>
          <m:t>7</m:t>
        </m:r>
        <m:r>
          <m:rPr>
            <m:sty m:val="p"/>
          </m:rPr>
          <m:t>,</m:t>
        </m:r>
        <m:r>
          <m:t>14</m:t>
        </m:r>
        <m:r>
          <m:rPr>
            <m:sty m:val="p"/>
          </m:rPr>
          <m:t>,</m:t>
        </m:r>
        <m:r>
          <m:t>16</m:t>
        </m:r>
        <m:r>
          <m:rPr>
            <m:sty m:val="p"/>
          </m:rPr>
          <m:t>,</m:t>
        </m:r>
        <m:r>
          <m:t>21</m:t>
        </m:r>
        <m:r>
          <m:rPr>
            <m:sty m:val="p"/>
          </m:rPr>
          <m:t>,</m:t>
        </m:r>
        <m:r>
          <m:t>28</m:t>
        </m:r>
        <m:r>
          <m:rPr>
            <m:sty m:val="p"/>
          </m:rPr>
          <m:t>,</m:t>
        </m:r>
        <m:r>
          <m:t>32</m:t>
        </m:r>
        <m:r>
          <m:rPr>
            <m:sty m:val="p"/>
          </m:rPr>
          <m:t>,</m:t>
        </m:r>
        <m:r>
          <m:t>35</m:t>
        </m:r>
        <m:r>
          <m:rPr>
            <m:sty m:val="p"/>
          </m:rPr>
          <m:t>,</m:t>
        </m:r>
        <m:r>
          <m:t>42</m:t>
        </m:r>
        <m:r>
          <m:rPr>
            <m:sty m:val="p"/>
          </m:rPr>
          <m:t>,</m:t>
        </m:r>
        <m:r>
          <m:t>56</m:t>
        </m:r>
        <m:r>
          <m:rPr>
            <m:sty m:val="p"/>
          </m:rPr>
          <m:t>}</m:t>
        </m:r>
      </m:oMath>
      <w:r>
        <w:tab/>
        <w:t>(3.11)</w:t>
      </w:r>
    </w:p>
    <w:p>
      <w:pPr>
        <w:tabs>
          <w:tab w:val="center" w:pos="4535"/>
          <w:tab w:val="right" w:pos="9071"/>
        </w:tabs>
        <w:spacing w:before="60" w:after="60"/>
        <w:ind w:firstLine="0"/>
      </w:pPr>
      <w:r>
        <w:tab/>
      </w:r>
      <m:oMath xmlns:a="http://schemas.openxmlformats.org/drawingml/2006/main" xmlns:pic="http://schemas.openxmlformats.org/drawingml/2006/picture">
        <m:sSub>
          <m:e>
            <m:r>
              <m:rPr>
                <m:sty m:val="p"/>
              </m:rPr>
              <m:t>r</m:t>
            </m:r>
            <m:r>
              <m:rPr>
                <m:sty m:val="p"/>
              </m:rPr>
              <m:t>o</m:t>
            </m:r>
            <m:r>
              <m:rPr>
                <m:sty m:val="p"/>
              </m:rPr>
              <m:t>l</m:t>
            </m:r>
            <m:r>
              <m:rPr>
                <m:sty m:val="p"/>
              </m:rPr>
              <m:t>l</m:t>
            </m:r>
            <m:r>
              <m:rPr>
                <m:sty m:val="p"/>
              </m:rPr>
              <m:t>_</m:t>
            </m:r>
            <m:r>
              <m:rPr>
                <m:sty m:val="p"/>
              </m:rPr>
              <m:t>m</m:t>
            </m:r>
            <m:r>
              <m:rPr>
                <m:sty m:val="p"/>
              </m:rPr>
              <m:t>e</m:t>
            </m:r>
            <m:r>
              <m:rPr>
                <m:sty m:val="p"/>
              </m:rPr>
              <m:t>a</m:t>
            </m:r>
            <m:r>
              <m:rPr>
                <m:sty m:val="p"/>
              </m:rPr>
              <m:t>n</m:t>
            </m:r>
          </m:e>
          <m:sub>
            <m:r>
              <m:t>w</m:t>
            </m:r>
          </m:sub>
        </m:sSub>
        <m:d>
          <m:dPr>
            <m:begChr m:val="("/>
            <m:sepChr m:val=""/>
            <m:endChr m:val=")"/>
            <m:grow/>
          </m:dPr>
          <m:e>
            <m:r>
              <m:t>i</m:t>
            </m:r>
            <m:r>
              <m:rPr>
                <m:sty m:val="p"/>
              </m:rPr>
              <m:t>,</m:t>
            </m:r>
            <m:r>
              <m:t>t</m:t>
            </m:r>
          </m:e>
        </m:d>
        <m:r>
          <m:rPr>
            <m:sty m:val="p"/>
          </m:rPr>
          <m:t>=</m:t>
        </m:r>
        <m:f>
          <m:fPr>
            <m:type m:val="bar"/>
          </m:fPr>
          <m:num>
            <m:r>
              <m:t>1</m:t>
            </m:r>
          </m:num>
          <m:den>
            <m:r>
              <m:t>w</m:t>
            </m:r>
          </m:den>
        </m:f>
        <m:nary>
          <m:naryPr>
            <m:chr m:val="∑"/>
            <m:limLoc m:val="undOvr"/>
            <m:subHide m:val="off"/>
            <m:supHide m:val="off"/>
          </m:naryPr>
          <m:sub>
            <m:r>
              <m:t>j</m:t>
            </m:r>
            <m:r>
              <m:rPr>
                <m:sty m:val="p"/>
              </m:rPr>
              <m:t>=</m:t>
            </m:r>
            <m:r>
              <m:t>0</m:t>
            </m:r>
          </m:sub>
          <m:sup>
            <m:r>
              <m:t>w</m:t>
            </m:r>
            <m:r>
              <m:rPr>
                <m:sty m:val="p"/>
              </m:rPr>
              <m:t>−</m:t>
            </m:r>
            <m:r>
              <m:t>1</m:t>
            </m:r>
          </m:sup>
          <m:e>
            <m:sSub>
              <m:e>
                <m:r>
                  <m:t>y</m:t>
                </m:r>
              </m:e>
              <m:sub>
                <m:r>
                  <m:t>i</m:t>
                </m:r>
                <m:r>
                  <m:rPr>
                    <m:sty m:val="p"/>
                  </m:rPr>
                  <m:t>,</m:t>
                </m:r>
                <m:r>
                  <m:t> </m:t>
                </m:r>
                <m:r>
                  <m:t>t</m:t>
                </m:r>
                <m:r>
                  <m:rPr>
                    <m:sty m:val="p"/>
                  </m:rPr>
                  <m:t>−</m:t>
                </m:r>
                <m:r>
                  <m:t>H</m:t>
                </m:r>
                <m:r>
                  <m:rPr>
                    <m:sty m:val="p"/>
                  </m:rPr>
                  <m:t>−</m:t>
                </m:r>
                <m:r>
                  <m:t>j</m:t>
                </m:r>
              </m:sub>
            </m:sSub>
          </m:e>
        </m:nary>
        <m:r>
          <m:rPr>
            <m:sty m:val="p"/>
          </m:rPr>
          <m:t>,</m:t>
        </m:r>
        <m:r>
          <m:t>  </m:t>
        </m:r>
        <m:sSub>
          <m:e>
            <m:r>
              <m:rPr>
                <m:sty m:val="p"/>
              </m:rPr>
              <m:t>r</m:t>
            </m:r>
            <m:r>
              <m:rPr>
                <m:sty m:val="p"/>
              </m:rPr>
              <m:t>o</m:t>
            </m:r>
            <m:r>
              <m:rPr>
                <m:sty m:val="p"/>
              </m:rPr>
              <m:t>l</m:t>
            </m:r>
            <m:r>
              <m:rPr>
                <m:sty m:val="p"/>
              </m:rPr>
              <m:t>l</m:t>
            </m:r>
            <m:r>
              <m:rPr>
                <m:sty m:val="p"/>
              </m:rPr>
              <m:t>_</m:t>
            </m:r>
            <m:r>
              <m:rPr>
                <m:sty m:val="p"/>
              </m:rPr>
              <m:t>s</m:t>
            </m:r>
            <m:r>
              <m:rPr>
                <m:sty m:val="p"/>
              </m:rPr>
              <m:t>t</m:t>
            </m:r>
            <m:r>
              <m:rPr>
                <m:sty m:val="p"/>
              </m:rPr>
              <m:t>d</m:t>
            </m:r>
          </m:e>
          <m:sub>
            <m:r>
              <m:t>w</m:t>
            </m:r>
          </m:sub>
        </m:sSub>
        <m:d>
          <m:dPr>
            <m:begChr m:val="("/>
            <m:sepChr m:val=""/>
            <m:endChr m:val=")"/>
            <m:grow/>
          </m:dPr>
          <m:e>
            <m:r>
              <m:t>i</m:t>
            </m:r>
            <m:r>
              <m:rPr>
                <m:sty m:val="p"/>
              </m:rPr>
              <m:t>,</m:t>
            </m:r>
            <m:r>
              <m:t>t</m:t>
            </m:r>
          </m:e>
        </m:d>
        <m:r>
          <m:rPr>
            <m:sty m:val="p"/>
          </m:rPr>
          <m:t>=</m:t>
        </m:r>
        <m:rad>
          <m:radPr>
            <m:degHide m:val="on"/>
          </m:radPr>
          <m:deg/>
          <m:e>
            <m:f>
              <m:fPr>
                <m:type m:val="bar"/>
              </m:fPr>
              <m:num>
                <m:r>
                  <m:t>1</m:t>
                </m:r>
              </m:num>
              <m:den>
                <m:r>
                  <m:t>w</m:t>
                </m:r>
                <m:r>
                  <m:rPr>
                    <m:sty m:val="p"/>
                  </m:rPr>
                  <m:t>−</m:t>
                </m:r>
                <m:r>
                  <m:t>1</m:t>
                </m:r>
              </m:den>
            </m:f>
            <m:nary>
              <m:naryPr>
                <m:chr m:val="∑"/>
                <m:limLoc m:val="undOvr"/>
                <m:subHide m:val="off"/>
                <m:supHide m:val="off"/>
              </m:naryPr>
              <m:sub>
                <m:r>
                  <m:t>j</m:t>
                </m:r>
                <m:r>
                  <m:rPr>
                    <m:sty m:val="p"/>
                  </m:rPr>
                  <m:t>=</m:t>
                </m:r>
                <m:r>
                  <m:t>0</m:t>
                </m:r>
              </m:sub>
              <m:sup>
                <m:r>
                  <m:t>w</m:t>
                </m:r>
                <m:r>
                  <m:rPr>
                    <m:sty m:val="p"/>
                  </m:rPr>
                  <m:t>−</m:t>
                </m:r>
                <m:r>
                  <m:t>1</m:t>
                </m:r>
              </m:sup>
              <m:e>
                <m:r>
                  <m:rPr>
                    <m:sty m:val="p"/>
                  </m:rPr>
                  <m:t>(</m:t>
                </m:r>
              </m:e>
            </m:nary>
            <m:sSub>
              <m:e>
                <m:r>
                  <m:t>y</m:t>
                </m:r>
              </m:e>
              <m:sub>
                <m:r>
                  <m:t>i</m:t>
                </m:r>
                <m:r>
                  <m:rPr>
                    <m:sty m:val="p"/>
                  </m:rPr>
                  <m:t>,</m:t>
                </m:r>
                <m:r>
                  <m:t> </m:t>
                </m:r>
                <m:r>
                  <m:t>t</m:t>
                </m:r>
                <m:r>
                  <m:rPr>
                    <m:sty m:val="p"/>
                  </m:rPr>
                  <m:t>−</m:t>
                </m:r>
                <m:r>
                  <m:t>H</m:t>
                </m:r>
                <m:r>
                  <m:rPr>
                    <m:sty m:val="p"/>
                  </m:rPr>
                  <m:t>−</m:t>
                </m:r>
                <m:r>
                  <m:t>j</m:t>
                </m:r>
              </m:sub>
            </m:sSub>
            <m:r>
              <m:rPr>
                <m:sty m:val="p"/>
              </m:rPr>
              <m:t>−</m:t>
            </m:r>
            <m:sSub>
              <m:e>
                <m:r>
                  <m:rPr>
                    <m:sty m:val="p"/>
                  </m:rPr>
                  <m:t>r</m:t>
                </m:r>
                <m:r>
                  <m:rPr>
                    <m:sty m:val="p"/>
                  </m:rPr>
                  <m:t>o</m:t>
                </m:r>
                <m:r>
                  <m:rPr>
                    <m:sty m:val="p"/>
                  </m:rPr>
                  <m:t>l</m:t>
                </m:r>
                <m:r>
                  <m:rPr>
                    <m:sty m:val="p"/>
                  </m:rPr>
                  <m:t>l</m:t>
                </m:r>
                <m:r>
                  <m:rPr>
                    <m:sty m:val="p"/>
                  </m:rPr>
                  <m:t>_</m:t>
                </m:r>
                <m:r>
                  <m:rPr>
                    <m:sty m:val="p"/>
                  </m:rPr>
                  <m:t>m</m:t>
                </m:r>
                <m:r>
                  <m:rPr>
                    <m:sty m:val="p"/>
                  </m:rPr>
                  <m:t>e</m:t>
                </m:r>
                <m:r>
                  <m:rPr>
                    <m:sty m:val="p"/>
                  </m:rPr>
                  <m:t>a</m:t>
                </m:r>
                <m:r>
                  <m:rPr>
                    <m:sty m:val="p"/>
                  </m:rPr>
                  <m:t>n</m:t>
                </m:r>
              </m:e>
              <m:sub>
                <m:r>
                  <m:t>w</m:t>
                </m:r>
              </m:sub>
            </m:sSub>
            <m:d>
              <m:dPr>
                <m:begChr m:val="("/>
                <m:sepChr m:val=""/>
                <m:endChr m:val=")"/>
                <m:grow/>
              </m:dPr>
              <m:e>
                <m:r>
                  <m:t>i</m:t>
                </m:r>
                <m:r>
                  <m:rPr>
                    <m:sty m:val="p"/>
                  </m:rPr>
                  <m:t>,</m:t>
                </m:r>
                <m:r>
                  <m:t>t</m:t>
                </m:r>
              </m:e>
            </m:d>
            <m:sSup>
              <m:e>
                <m:r>
                  <m:rPr>
                    <m:sty m:val="p"/>
                  </m:rPr>
                  <m:t>)</m:t>
                </m:r>
              </m:e>
              <m:sup>
                <m:r>
                  <m:t>2</m:t>
                </m:r>
              </m:sup>
            </m:sSup>
          </m:e>
        </m:rad>
        <m:r>
          <m:rPr>
            <m:sty m:val="p"/>
          </m:rPr>
          <m:t>,</m:t>
        </m:r>
        <m:r>
          <m:t>  </m:t>
        </m:r>
        <m:r>
          <m:t>w</m:t>
        </m:r>
        <m:r>
          <m:rPr>
            <m:sty m:val="p"/>
          </m:rPr>
          <m:t>∈</m:t>
        </m:r>
        <m:r>
          <m:rPr>
            <m:sty m:val="p"/>
          </m:rPr>
          <m:t>{</m:t>
        </m:r>
        <m:r>
          <m:t>7</m:t>
        </m:r>
        <m:r>
          <m:rPr>
            <m:sty m:val="p"/>
          </m:rPr>
          <m:t>,</m:t>
        </m:r>
        <m:r>
          <m:t>14</m:t>
        </m:r>
        <m:r>
          <m:rPr>
            <m:sty m:val="p"/>
          </m:rPr>
          <m:t>,</m:t>
        </m:r>
        <m:r>
          <m:t>28</m:t>
        </m:r>
        <m:r>
          <m:rPr>
            <m:sty m:val="p"/>
          </m:rPr>
          <m:t>}</m:t>
        </m:r>
      </m:oMath>
      <w:r>
        <w:tab/>
        <w:t>(3.12)</w:t>
      </w:r>
    </w:p>
    <w:p>
      <w:pPr>
        <w:pStyle w:val="Heading3"/>
        <w:keepNext/>
      </w:pPr>
      <w:r>
        <w:t xml:space="preserve">3.5.3. Bốn nguồn dữ liệu bổ sung và quy tắc tạo đặc trưng</w:t>
      </w:r>
    </w:p>
    <w:p>
      <w:pPr>
        <w:keepLines w:val="0"/>
        <w:spacing w:after="120"/>
        <w:ind w:firstLine="567"/>
      </w:pPr>
      <w:r>
        <w:t xml:space="preserve">Bốn tệp bổ sung được tích hợp theo cùng một nguyên tắc sẵn có: mỗi biến hoặc là tĩnh, hoặc biết trước, hoặc được trễ ít nhất 16 ngày lịch, đúng như quy tắc “known/static or lagged &gt;=16 calendar days” ghi trong optional_features_used.csv. Bảng 3.5 mô tả quy tắc tạo đặc trưng trong mã nguồn cho từng tệp. Từ stores.csv, ba thuộc tính city, state và type được mã hóa thành số nguyên city_code, state_code và type_code, còn cluster được giữ nguyên; các biến này ghép theo store_nbr và không đổi theo thời gian. Từ holidays_events.csv, cờ is_national_holiday bằng 1 cho các ngày có bản ghi cấp National, không bị chuyển (transferred) và không thuộc loại Work Day, ghép theo ngày cho mọi cửa hàng. Work Day bị loại vì đó là ngày làm bù, bản chất ngược với ngày nghỉ lễ. Lịch lễ quốc gia biết trước tại thời điểm lập dự báo nên không cần trễ; các ngày lễ cấp vùng và địa phương không được dùng vì chúng không áp dụng cho mọi cửa hàng.</w:t>
      </w:r>
    </w:p>
    <w:p>
      <w:pPr>
        <w:keepNext/>
        <w:spacing w:before="120" w:after="60"/>
        <w:ind w:firstLine="0"/>
        <w:jc w:val="center"/>
      </w:pPr>
      <w:r>
        <w:t xml:space="preserve">Bảng 3.5. Bốn nguồn dữ liệu bổ sung, đặc trưng tạo ra và quy tắc bảo đảm tính sẵn có</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379"/>
        <w:gridCol w:w="2123"/>
        <w:gridCol w:w="3467"/>
        <w:gridCol w:w="2102"/>
      </w:tblGrid>
      <w:tr>
        <w:trPr>
          <w:tblHeader/>
          <w:cantSplit/>
        </w:trPr>
        <w:tc>
          <w:tcPr>
            <w:tcW w:type="dxa" w:w="1379"/>
            <w:shd w:val="clear" w:color="auto" w:fill="D9E2F3"/>
            <w:vAlign w:val="center"/>
          </w:tcPr>
          <w:p>
            <w:pPr>
              <w:spacing w:before="20" w:after="20" w:line="260" w:lineRule="auto"/>
              <w:ind w:firstLine="0"/>
              <w:jc w:val="center"/>
            </w:pPr>
            <w:r>
              <w:rPr>
                <w:b/>
                <w:sz w:val="20"/>
                <w:szCs w:val="20"/>
              </w:rPr>
              <w:t xml:space="preserve">Tệp nguồn</w:t>
            </w:r>
          </w:p>
        </w:tc>
        <w:tc>
          <w:tcPr>
            <w:tcW w:type="dxa" w:w="2123"/>
            <w:shd w:val="clear" w:color="auto" w:fill="D9E2F3"/>
            <w:vAlign w:val="center"/>
          </w:tcPr>
          <w:p>
            <w:pPr>
              <w:spacing w:before="20" w:after="20" w:line="260" w:lineRule="auto"/>
              <w:ind w:firstLine="0"/>
              <w:jc w:val="center"/>
            </w:pPr>
            <w:r>
              <w:rPr>
                <w:b/>
                <w:sz w:val="20"/>
                <w:szCs w:val="20"/>
              </w:rPr>
              <w:t xml:space="preserve">Đặc trưng</w:t>
            </w:r>
          </w:p>
        </w:tc>
        <w:tc>
          <w:tcPr>
            <w:tcW w:type="dxa" w:w="3467"/>
            <w:shd w:val="clear" w:color="auto" w:fill="D9E2F3"/>
            <w:vAlign w:val="center"/>
          </w:tcPr>
          <w:p>
            <w:pPr>
              <w:spacing w:before="20" w:after="20" w:line="260" w:lineRule="auto"/>
              <w:ind w:firstLine="0"/>
              <w:jc w:val="center"/>
            </w:pPr>
            <w:r>
              <w:rPr>
                <w:b/>
                <w:sz w:val="20"/>
                <w:szCs w:val="20"/>
              </w:rPr>
              <w:t xml:space="preserve">Quy tắc tạo trong mã nguồn</w:t>
            </w:r>
          </w:p>
        </w:tc>
        <w:tc>
          <w:tcPr>
            <w:tcW w:type="dxa" w:w="2102"/>
            <w:shd w:val="clear" w:color="auto" w:fill="D9E2F3"/>
            <w:vAlign w:val="center"/>
          </w:tcPr>
          <w:p>
            <w:pPr>
              <w:spacing w:before="20" w:after="20" w:line="260" w:lineRule="auto"/>
              <w:ind w:firstLine="0"/>
              <w:jc w:val="center"/>
            </w:pPr>
            <w:r>
              <w:rPr>
                <w:b/>
                <w:sz w:val="20"/>
                <w:szCs w:val="20"/>
              </w:rPr>
              <w:t xml:space="preserve">Căn cứ sẵn có</w:t>
            </w:r>
          </w:p>
        </w:tc>
      </w:tr>
      <w:tr>
        <w:trPr>
          <w:cantSplit/>
        </w:trPr>
        <w:tc>
          <w:tcPr>
            <w:tcW w:type="dxa" w:w="1379"/>
            <w:vAlign w:val="center"/>
          </w:tcPr>
          <w:p>
            <w:pPr>
              <w:spacing w:before="20" w:after="20" w:line="260" w:lineRule="auto"/>
              <w:ind w:firstLine="0"/>
              <w:jc w:val="left"/>
            </w:pPr>
            <w:r>
              <w:rPr>
                <w:sz w:val="20"/>
                <w:szCs w:val="20"/>
              </w:rPr>
              <w:t xml:space="preserve">stores.csv</w:t>
            </w:r>
          </w:p>
        </w:tc>
        <w:tc>
          <w:tcPr>
            <w:tcW w:type="dxa" w:w="2123"/>
            <w:vAlign w:val="center"/>
          </w:tcPr>
          <w:p>
            <w:pPr>
              <w:spacing w:before="20" w:after="20" w:line="260" w:lineRule="auto"/>
              <w:ind w:firstLine="0"/>
              <w:jc w:val="left"/>
            </w:pPr>
            <w:r>
              <w:rPr>
                <w:sz w:val="20"/>
                <w:szCs w:val="20"/>
              </w:rPr>
              <w:t xml:space="preserve">city_code, state_code, type_code, cluster</w:t>
            </w:r>
          </w:p>
        </w:tc>
        <w:tc>
          <w:tcPr>
            <w:tcW w:type="dxa" w:w="3467"/>
            <w:vAlign w:val="center"/>
          </w:tcPr>
          <w:p>
            <w:pPr>
              <w:spacing w:before="20" w:after="20" w:line="260" w:lineRule="auto"/>
              <w:ind w:firstLine="0"/>
              <w:jc w:val="left"/>
            </w:pPr>
            <w:r>
              <w:rPr>
                <w:sz w:val="20"/>
                <w:szCs w:val="20"/>
              </w:rPr>
              <w:t xml:space="preserve">Mã hóa city, state, type thành số nguyên; giữ cluster; ghép theo store_nbr</w:t>
            </w:r>
          </w:p>
        </w:tc>
        <w:tc>
          <w:tcPr>
            <w:tcW w:type="dxa" w:w="2102"/>
            <w:vAlign w:val="center"/>
          </w:tcPr>
          <w:p>
            <w:pPr>
              <w:spacing w:before="20" w:after="20" w:line="260" w:lineRule="auto"/>
              <w:ind w:firstLine="0"/>
              <w:jc w:val="left"/>
            </w:pPr>
            <w:r>
              <w:rPr>
                <w:sz w:val="20"/>
                <w:szCs w:val="20"/>
              </w:rPr>
              <w:t xml:space="preserve">Thông tin tĩnh của cửa hàng</w:t>
            </w:r>
          </w:p>
        </w:tc>
      </w:tr>
      <w:tr>
        <w:trPr>
          <w:cantSplit/>
        </w:trPr>
        <w:tc>
          <w:tcPr>
            <w:tcW w:type="dxa" w:w="1379"/>
            <w:vAlign w:val="center"/>
          </w:tcPr>
          <w:p>
            <w:pPr>
              <w:spacing w:before="20" w:after="20" w:line="260" w:lineRule="auto"/>
              <w:ind w:firstLine="0"/>
              <w:jc w:val="left"/>
            </w:pPr>
            <w:r>
              <w:rPr>
                <w:sz w:val="20"/>
                <w:szCs w:val="20"/>
              </w:rPr>
              <w:t xml:space="preserve">oil.csv</w:t>
            </w:r>
          </w:p>
        </w:tc>
        <w:tc>
          <w:tcPr>
            <w:tcW w:type="dxa" w:w="2123"/>
            <w:vAlign w:val="center"/>
          </w:tcPr>
          <w:p>
            <w:pPr>
              <w:spacing w:before="20" w:after="20" w:line="260" w:lineRule="auto"/>
              <w:ind w:firstLine="0"/>
              <w:jc w:val="left"/>
            </w:pPr>
            <w:r>
              <w:rPr>
                <w:sz w:val="20"/>
                <w:szCs w:val="20"/>
              </w:rPr>
              <w:t xml:space="preserve">oil_price_lag16</w:t>
            </w:r>
          </w:p>
        </w:tc>
        <w:tc>
          <w:tcPr>
            <w:tcW w:type="dxa" w:w="3467"/>
            <w:vAlign w:val="center"/>
          </w:tcPr>
          <w:p>
            <w:pPr>
              <w:spacing w:before="20" w:after="20" w:line="260" w:lineRule="auto"/>
              <w:ind w:firstLine="0"/>
              <w:jc w:val="left"/>
            </w:pPr>
            <w:r>
              <w:rPr>
                <w:sz w:val="20"/>
                <w:szCs w:val="20"/>
              </w:rPr>
              <w:t xml:space="preserve">dcoilwtico được đặt lên lịch ngày đầy đủ, điền tiến (và điền lùi ở đầu chuỗi), rồi dịch 16 ngày lịch; ghép theo ngày</w:t>
            </w:r>
          </w:p>
        </w:tc>
        <w:tc>
          <w:tcPr>
            <w:tcW w:type="dxa" w:w="2102"/>
            <w:vAlign w:val="center"/>
          </w:tcPr>
          <w:p>
            <w:pPr>
              <w:spacing w:before="20" w:after="20" w:line="260" w:lineRule="auto"/>
              <w:ind w:firstLine="0"/>
              <w:jc w:val="left"/>
            </w:pPr>
            <w:r>
              <w:rPr>
                <w:sz w:val="20"/>
                <w:szCs w:val="20"/>
              </w:rPr>
              <w:t xml:space="preserve">Trễ đúng 16 ngày lịch</w:t>
            </w:r>
          </w:p>
        </w:tc>
      </w:tr>
      <w:tr>
        <w:trPr>
          <w:cantSplit/>
        </w:trPr>
        <w:tc>
          <w:tcPr>
            <w:tcW w:type="dxa" w:w="1379"/>
            <w:vAlign w:val="center"/>
          </w:tcPr>
          <w:p>
            <w:pPr>
              <w:spacing w:before="20" w:after="20" w:line="260" w:lineRule="auto"/>
              <w:ind w:firstLine="0"/>
              <w:jc w:val="left"/>
            </w:pPr>
            <w:r>
              <w:rPr>
                <w:sz w:val="20"/>
                <w:szCs w:val="20"/>
              </w:rPr>
              <w:t xml:space="preserve">transactions.csv</w:t>
            </w:r>
          </w:p>
        </w:tc>
        <w:tc>
          <w:tcPr>
            <w:tcW w:type="dxa" w:w="2123"/>
            <w:vAlign w:val="center"/>
          </w:tcPr>
          <w:p>
            <w:pPr>
              <w:spacing w:before="20" w:after="20" w:line="260" w:lineRule="auto"/>
              <w:ind w:firstLine="0"/>
              <w:jc w:val="left"/>
            </w:pPr>
            <w:r>
              <w:rPr>
                <w:sz w:val="20"/>
                <w:szCs w:val="20"/>
              </w:rPr>
              <w:t xml:space="preserve">transactions_lag16, transactions_roll28_lag16</w:t>
            </w:r>
          </w:p>
        </w:tc>
        <w:tc>
          <w:tcPr>
            <w:tcW w:type="dxa" w:w="3467"/>
            <w:vAlign w:val="center"/>
          </w:tcPr>
          <w:p>
            <w:pPr>
              <w:spacing w:before="20" w:after="20" w:line="260" w:lineRule="auto"/>
              <w:ind w:firstLine="0"/>
              <w:jc w:val="left"/>
            </w:pPr>
            <w:r>
              <w:rPr>
                <w:sz w:val="20"/>
                <w:szCs w:val="20"/>
              </w:rPr>
              <w:t xml:space="preserve">Với từng cửa hàng: đặt lên lịch ngày, dịch 16 ngày; trung bình trượt 28 ngày (tối thiểu 7 giá trị) trên chuỗi đã dịch; điền tiến trong cửa hàng; sau đó mới ghép theo ngày và cửa hàng</w:t>
            </w:r>
          </w:p>
        </w:tc>
        <w:tc>
          <w:tcPr>
            <w:tcW w:type="dxa" w:w="2102"/>
            <w:vAlign w:val="center"/>
          </w:tcPr>
          <w:p>
            <w:pPr>
              <w:spacing w:before="20" w:after="20" w:line="260" w:lineRule="auto"/>
              <w:ind w:firstLine="0"/>
              <w:jc w:val="left"/>
            </w:pPr>
            <w:r>
              <w:rPr>
                <w:sz w:val="20"/>
                <w:szCs w:val="20"/>
              </w:rPr>
              <w:t xml:space="preserve">Số giao dịch trong quá khứ, trễ 16 ngày lịch</w:t>
            </w:r>
          </w:p>
        </w:tc>
      </w:tr>
      <w:tr>
        <w:trPr>
          <w:cantSplit/>
        </w:trPr>
        <w:tc>
          <w:tcPr>
            <w:tcW w:type="dxa" w:w="1379"/>
            <w:vAlign w:val="center"/>
          </w:tcPr>
          <w:p>
            <w:pPr>
              <w:spacing w:before="20" w:after="20" w:line="260" w:lineRule="auto"/>
              <w:ind w:firstLine="0"/>
              <w:jc w:val="left"/>
            </w:pPr>
            <w:r>
              <w:rPr>
                <w:sz w:val="20"/>
                <w:szCs w:val="20"/>
              </w:rPr>
              <w:t xml:space="preserve">holidays_events.csv</w:t>
            </w:r>
          </w:p>
        </w:tc>
        <w:tc>
          <w:tcPr>
            <w:tcW w:type="dxa" w:w="2123"/>
            <w:vAlign w:val="center"/>
          </w:tcPr>
          <w:p>
            <w:pPr>
              <w:spacing w:before="20" w:after="20" w:line="260" w:lineRule="auto"/>
              <w:ind w:firstLine="0"/>
              <w:jc w:val="left"/>
            </w:pPr>
            <w:r>
              <w:rPr>
                <w:sz w:val="20"/>
                <w:szCs w:val="20"/>
              </w:rPr>
              <w:t xml:space="preserve">is_national_holiday</w:t>
            </w:r>
          </w:p>
        </w:tc>
        <w:tc>
          <w:tcPr>
            <w:tcW w:type="dxa" w:w="3467"/>
            <w:vAlign w:val="center"/>
          </w:tcPr>
          <w:p>
            <w:pPr>
              <w:spacing w:before="20" w:after="20" w:line="260" w:lineRule="auto"/>
              <w:ind w:firstLine="0"/>
              <w:jc w:val="left"/>
            </w:pPr>
            <w:r>
              <w:rPr>
                <w:sz w:val="20"/>
                <w:szCs w:val="20"/>
              </w:rPr>
              <w:t xml:space="preserve">Bằng 1 nếu ngày có bản ghi locale = National, không transferred và type khác Work Day</w:t>
            </w:r>
          </w:p>
        </w:tc>
        <w:tc>
          <w:tcPr>
            <w:tcW w:type="dxa" w:w="2102"/>
            <w:vAlign w:val="center"/>
          </w:tcPr>
          <w:p>
            <w:pPr>
              <w:spacing w:before="20" w:after="20" w:line="260" w:lineRule="auto"/>
              <w:ind w:firstLine="0"/>
              <w:jc w:val="left"/>
            </w:pPr>
            <w:r>
              <w:rPr>
                <w:sz w:val="20"/>
                <w:szCs w:val="20"/>
              </w:rPr>
              <w:t xml:space="preserve">Lịch biết trước</w:t>
            </w:r>
          </w:p>
        </w:tc>
      </w:tr>
    </w:tbl>
    <w:p>
      <w:pPr>
        <w:spacing w:before="40" w:after="160"/>
        <w:ind w:firstLine="0"/>
      </w:pPr>
      <w:r>
        <w:rPr>
          <w:i/>
          <w:sz w:val="22"/>
          <w:szCs w:val="22"/>
        </w:rPr>
        <w:t xml:space="preserve">Nguồn: 03_feature_engineering.py và outputs/03_feature_engineering/optional_features_used.csv; tổng hợp của tác giả.</w:t>
      </w:r>
    </w:p>
    <w:p>
      <w:pPr>
        <w:keepLines w:val="0"/>
        <w:spacing w:after="120"/>
        <w:ind w:firstLine="567"/>
      </w:pPr>
      <w:r>
        <w:t xml:space="preserve">Hai nguồn biến động theo thời gian đòi hỏi độ trễ. Giá dầu dcoilwtico là biến thị trường chỉ quan sát được theo thời gian thực và chỉ có giá trị ở ngày giao dịch. Mã nguồn trước hết đặt chuỗi giá dầu lên lịch ngày đầy đủ và điền tiến, để mỗi ngày lịch mang giá giao dịch gần nhất đã biết, rồi mới dịch 16 ngày lịch để tạo oil_price_lag16. Số giao dịch của cửa hàng chỉ biết sau khi ngày bán kết thúc và biến động cùng chiều với chính doanh số cần dự báo, nên dùng giá trị cùng ngày là rò rỉ trực tiếp. Bước 03 xử lý tệp giao dịch riêng cho từng cửa hàng trên lịch ngày của cửa hàng đó: dịch 16 ngày để tạo transactions_lag16, tính trung bình trượt 28 ngày với tối thiểu 7 giá trị trên chuỗi đã dịch để tạo transactions_roll28_lag16, điền tiến trong phạm vi cửa hàng, và chỉ sau đó mới ghép vào bảng cửa hàng – nhóm – ngày.</w:t>
      </w:r>
    </w:p>
    <w:p>
      <w:pPr>
        <w:keepLines w:val="0"/>
        <w:spacing w:after="120"/>
        <w:ind w:firstLine="567"/>
      </w:pPr>
      <w:r>
        <w:t xml:space="preserve">Thứ tự xử lý này có lý do phương pháp rõ ràng. Với giá dầu, phép dịch phải được thực hiện trên lịch ngày đầy đủ: nếu dịch theo số dòng của các ngày có giao dịch dầu, khoảng cách thời gian thực tế giữa giá được dùng và ngày mục tiêu sẽ thay đổi theo số ngày thị trường nghỉ, và tên biến oil_price_lag16 sẽ không phản ánh đúng độ trễ 16 ngày lịch. Với số giao dịch, phép dịch, phép trượt và phép điền tiến phải diễn ra trong lịch ngày của từng cửa hàng trước khi ghép vào bảng cửa hàng – nhóm – ngày; nếu điền giá trị thiếu trên bảng đã ghép, giá trị ở cuối chuỗi của một nhóm hàng hay của một cửa hàng có thể tràn sang đầu chuỗi của nhóm hoặc cửa hàng kế tiếp. Khi phép điền tiến được giới hạn trong phạm vi từng cửa hàng, các ngày trước khi cửa hàng có dữ liệu giao dịch giữ nguyên giá trị thiếu và bị loại ở bước lọc dòng đủ đặc trưng. Quy tắc này vì vậy quyết định cả tập dòng đưa vào mô hình, như mục 3.5.4 định lượng.</w:t>
      </w:r>
    </w:p>
    <w:p>
      <w:pPr>
        <w:pStyle w:val="Heading3"/>
        <w:keepNext/>
      </w:pPr>
      <w:r>
        <w:t xml:space="preserve">3.5.4. Lọc dòng đầy đủ đặc trưng và hệ quả</w:t>
      </w:r>
    </w:p>
    <w:p>
      <w:pPr>
        <w:keepLines w:val="0"/>
        <w:spacing w:after="120"/>
        <w:ind w:firstLine="567"/>
      </w:pPr>
      <w:r>
        <w:t xml:space="preserve">Sau khi tạo đủ 31 đặc trưng, mã nguồn chỉ giữ những dòng không thiếu bất kỳ đặc trưng nào, kể cả lag_7, lag_14 và lag_56, đồng thời loại các dòng có closed = 1, rồi ghi vào features.parquet. Tệp features.parquet có 2.689.500 dòng, trải trên 1.628 ngày từ 26/02/2013 đến 15/08/2017. Ngày đầu tiên 26/02/2013 là ngày đầu có đủ lag_56 trên lịch ngày đầy đủ, và 1.628 ngày chính là 1.688 ngày lịch trừ 56 ngày đầu và bốn ngày đóng cửa. Nếu mọi chuỗi đều có đủ đặc trưng từ ngày đầu, tệp sẽ có 1.782 × 1.628 = 2.901.096 dòng; phần chênh lệch 211.596 dòng đến từ các cửa hàng bắt đầu hoạt động muộn, vì ở những cửa hàng này các đặc trưng giao dịch còn thiếu cho đến khi có đủ dữ liệu giao dịch trễ. Như vậy, bước lọc dòng đủ đặc trưng loại hai loại dòng: phần đầu của mọi chuỗi chưa đủ độ trễ, và giai đoạn cửa hàng chưa hoạt động, khi doanh số bằng 0 phản ánh việc cửa hàng chưa mở cửa chứ không phải nhu cầu bằng 0. Giữ lại giai đoạn thứ hai sẽ khiến mô hình học một quan hệ giả giữa các giá trị đặc trưng được điền và doanh số bằng 0.</w:t>
      </w:r>
    </w:p>
    <w:p>
      <w:pPr>
        <w:keepLines w:val="0"/>
        <w:spacing w:after="120"/>
        <w:ind w:firstLine="567"/>
      </w:pPr>
      <w:r>
        <w:t xml:space="preserve">Có 8 cửa hàng có ngày đầu tiên trong features.parquet muộn hơn 01/03/2013: cửa hàng 36 từ 31/05/2013, cửa hàng 53 từ 20/06/2014, cửa hàng 20 từ 07/03/2015, cửa hàng 29 từ 11/04/2015, cửa hàng 21 từ 15/08/2015, cửa hàng 42 từ 12/09/2015, cửa hàng 22 từ 31/10/2015 và cửa hàng 52 từ 12/05/2017. Mỗi chuỗi của cửa hàng 52 chỉ còn 96 ngày trong features.parquet, nên mô hình không học từ giai đoạn trước khi cửa hàng này hoạt động, vốn chỉ có doanh số bằng 0. Việc loại các dòng này không làm giảm cỡ mẫu đánh giá, vì ngay cả cửa hàng mở muộn nhất là cửa hàng 52 cũng đã có đủ đặc trưng từ 12/05/2017, trước cửa sổ kiểm định đầu tiên: mỗi cửa sổ kiểm định và tập kiểm tra cuối vẫn gồm đủ 28.512 quan sát, tức 16 ngày × 1.782 chuỗi. Số dòng huấn luyện của lần kiểm định thứ nhất là 2.575.452 và tăng thêm đúng 28.512 dòng qua mỗi lần kiểm định kế tiếp, đến 2.660.988 dòng cho mô hình cuối.</w:t>
      </w:r>
    </w:p>
    <w:p>
      <w:pPr>
        <w:keepLines w:val="0"/>
        <w:spacing w:after="120"/>
        <w:ind w:firstLine="567"/>
      </w:pPr>
      <w:r>
        <w:t xml:space="preserve">Bước lọc cũng có một hệ quả logic đối với Seasonal Naive. Vì features.parquet chỉ chứa các dòng có đủ lag_7, lag_14 và lag_21, dự báo Seasonal Naive luôn xác định trên mọi dòng được đánh giá mà không cần nhánh dự phòng. Việc lag_7 và lag_14 tham gia điều kiện lọc cũng không làm mất thêm dòng, vì lag_56 đòi hỏi lịch sử dài hơn. Cần lưu ý rằng các thống kê mô tả ở mục 3.2 và 3.3 được tính trên toàn bộ train.csv, còn mô hình chỉ học từ các dòng của features.parquet.</w:t>
      </w:r>
    </w:p>
    <w:p>
      <w:pPr>
        <w:pStyle w:val="Heading2"/>
        <w:keepNext/>
      </w:pPr>
      <w:r>
        <w:t xml:space="preserve">3.6. Kiểm soát rò rỉ dữ liệu</w:t>
      </w:r>
    </w:p>
    <w:p>
      <w:pPr>
        <w:pStyle w:val="Heading3"/>
        <w:keepNext/>
      </w:pPr>
      <w:r>
        <w:t xml:space="preserve">3.6.1. Định nghĩa hình thức của rò rỉ dữ liệu theo thời gian</w:t>
      </w:r>
    </w:p>
    <w:p>
      <w:pPr>
        <w:keepLines w:val="0"/>
        <w:spacing w:after="120"/>
        <w:ind w:firstLine="567"/>
      </w:pPr>
      <w:r>
        <w:t xml:space="preserve">Rò rỉ dữ liệu (data leakage) trong dự báo xảy ra khi mô hình sử dụng trực tiếp hoặc gián tiếp thông tin chưa tồn tại tại thời điểm dự báo. Kaufman và cộng sự (2012) hình thức hóa rò rỉ là việc đưa vào mô hình những thông tin sẽ không có mặt khi mô hình được sử dụng thật. Trong bài toán của luận văn, điều này được diễn đạt qua tập thông tin F(T) tại gốc dự báo T ở (3.13), gồm dữ liệu đã quan sát đến hết ngày T và tập K(T) các thông tin biết trước như biến lịch, mã nhận diện, thông tin tĩnh của cửa hàng, lịch lễ quốc gia và, theo giả định ở mục 3.6.5, kế hoạch khuyến mãi. Một đặc trưng dùng để dự báo ngày T + h chỉ hợp lệ khi nó là hàm của F(T).</w:t>
      </w:r>
    </w:p>
    <w:p>
      <w:pPr>
        <w:tabs>
          <w:tab w:val="center" w:pos="4535"/>
          <w:tab w:val="right" w:pos="9071"/>
        </w:tabs>
        <w:spacing w:before="60" w:after="60"/>
        <w:ind w:firstLine="0"/>
      </w:pPr>
      <w:r>
        <w:tab/>
      </w:r>
      <m:oMath xmlns:a="http://schemas.openxmlformats.org/drawingml/2006/main" xmlns:pic="http://schemas.openxmlformats.org/drawingml/2006/picture">
        <m:sSub>
          <m:e>
            <m:r>
              <m:t>x</m:t>
            </m:r>
          </m:e>
          <m:sub>
            <m:r>
              <m:t>j</m:t>
            </m:r>
          </m:sub>
        </m:sSub>
        <m:d>
          <m:dPr>
            <m:begChr m:val="("/>
            <m:sepChr m:val=""/>
            <m:endChr m:val=")"/>
            <m:grow/>
          </m:dPr>
          <m:e>
            <m:r>
              <m:t>i</m:t>
            </m:r>
            <m:r>
              <m:rPr>
                <m:sty m:val="p"/>
              </m:rPr>
              <m:t>,</m:t>
            </m:r>
            <m:r>
              <m:t>T</m:t>
            </m:r>
            <m:r>
              <m:rPr>
                <m:sty m:val="p"/>
              </m:rPr>
              <m:t>+</m:t>
            </m:r>
            <m:r>
              <m:t>h</m:t>
            </m:r>
          </m:e>
        </m:d>
        <m:r>
          <m:t> </m:t>
        </m:r>
        <m:r>
          <m:rPr>
            <m:nor/>
          </m:rPr>
          <m:t>hợp lệ</m:t>
        </m:r>
        <m:r>
          <m:rPr>
            <m:sty m:val="p"/>
          </m:rPr>
          <m:t>⇔</m:t>
        </m:r>
        <m:sSub>
          <m:e>
            <m:r>
              <m:t>x</m:t>
            </m:r>
          </m:e>
          <m:sub>
            <m:r>
              <m:t>j</m:t>
            </m:r>
          </m:sub>
        </m:sSub>
        <m:d>
          <m:dPr>
            <m:begChr m:val="("/>
            <m:sepChr m:val=""/>
            <m:endChr m:val=")"/>
            <m:grow/>
          </m:dPr>
          <m:e>
            <m:r>
              <m:t>i</m:t>
            </m:r>
            <m:r>
              <m:rPr>
                <m:sty m:val="p"/>
              </m:rPr>
              <m:t>,</m:t>
            </m:r>
            <m:r>
              <m:t>T</m:t>
            </m:r>
            <m:r>
              <m:rPr>
                <m:sty m:val="p"/>
              </m:rPr>
              <m:t>+</m:t>
            </m:r>
            <m:r>
              <m:t>h</m:t>
            </m:r>
          </m:e>
        </m:d>
        <m:r>
          <m:rPr>
            <m:sty m:val="p"/>
          </m:rPr>
          <m:t>=</m:t>
        </m:r>
        <m:sSub>
          <m:e>
            <m:r>
              <m:t>g</m:t>
            </m:r>
          </m:e>
          <m:sub>
            <m:r>
              <m:t>j</m:t>
            </m:r>
          </m:sub>
        </m:sSub>
        <m:d>
          <m:dPr>
            <m:begChr m:val="("/>
            <m:sepChr m:val=""/>
            <m:endChr m:val=")"/>
            <m:grow/>
          </m:dPr>
          <m:e>
            <m:sSub>
              <m:e>
                <m:r>
                  <m:rPr>
                    <m:scr m:val="script"/>
                    <m:sty m:val="p"/>
                  </m:rPr>
                  <m:t>F</m:t>
                </m:r>
              </m:e>
              <m:sub>
                <m:r>
                  <m:t>T</m:t>
                </m:r>
              </m:sub>
            </m:sSub>
          </m:e>
        </m:d>
        <m:r>
          <m:rPr>
            <m:sty m:val="p"/>
          </m:rPr>
          <m:t>,</m:t>
        </m:r>
        <m:r>
          <m:t>  </m:t>
        </m:r>
        <m:sSub>
          <m:e>
            <m:r>
              <m:rPr>
                <m:scr m:val="script"/>
                <m:sty m:val="p"/>
              </m:rPr>
              <m:t>F</m:t>
            </m:r>
          </m:e>
          <m:sub>
            <m:r>
              <m:t>T</m:t>
            </m:r>
          </m:sub>
        </m:sSub>
        <m:r>
          <m:rPr>
            <m:sty m:val="p"/>
          </m:rPr>
          <m:t>=</m:t>
        </m:r>
        <m:r>
          <m:rPr>
            <m:sty m:val="p"/>
          </m:rPr>
          <m:t>{</m:t>
        </m:r>
        <m:r>
          <m:t> </m:t>
        </m:r>
        <m:sSub>
          <m:e>
            <m:r>
              <m:t>y</m:t>
            </m:r>
          </m:e>
          <m:sub>
            <m:r>
              <m:t>i</m:t>
            </m:r>
            <m:r>
              <m:rPr>
                <m:sty m:val="p"/>
              </m:rPr>
              <m:t>′</m:t>
            </m:r>
            <m:r>
              <m:rPr>
                <m:sty m:val="p"/>
              </m:rPr>
              <m:t>,</m:t>
            </m:r>
            <m:r>
              <m:t>s</m:t>
            </m:r>
          </m:sub>
        </m:sSub>
        <m:r>
          <m:rPr>
            <m:sty m:val="p"/>
          </m:rPr>
          <m:t>,</m:t>
        </m:r>
        <m:r>
          <m:t> </m:t>
        </m:r>
        <m:sSub>
          <m:e>
            <m:r>
              <m:t>p</m:t>
            </m:r>
          </m:e>
          <m:sub>
            <m:r>
              <m:t>i</m:t>
            </m:r>
            <m:r>
              <m:rPr>
                <m:sty m:val="p"/>
              </m:rPr>
              <m:t>′</m:t>
            </m:r>
            <m:r>
              <m:rPr>
                <m:sty m:val="p"/>
              </m:rPr>
              <m:t>,</m:t>
            </m:r>
            <m:r>
              <m:t>s</m:t>
            </m:r>
          </m:sub>
        </m:sSub>
        <m:r>
          <m:rPr>
            <m:sty m:val="p"/>
          </m:rPr>
          <m:t>:</m:t>
        </m:r>
        <m:r>
          <m:t> </m:t>
        </m:r>
        <m:r>
          <m:t>i</m:t>
        </m:r>
        <m:r>
          <m:rPr>
            <m:sty m:val="p"/>
          </m:rPr>
          <m:t>′</m:t>
        </m:r>
        <m:r>
          <m:rPr>
            <m:sty m:val="p"/>
          </m:rPr>
          <m:t>∈</m:t>
        </m:r>
        <m:r>
          <m:rPr>
            <m:scr m:val="script"/>
            <m:sty m:val="p"/>
          </m:rPr>
          <m:t>I</m:t>
        </m:r>
        <m:r>
          <m:rPr>
            <m:sty m:val="p"/>
          </m:rPr>
          <m:t>,</m:t>
        </m:r>
        <m:r>
          <m:t> </m:t>
        </m:r>
        <m:r>
          <m:t>s</m:t>
        </m:r>
        <m:r>
          <m:rPr>
            <m:sty m:val="p"/>
          </m:rPr>
          <m:t>≤</m:t>
        </m:r>
        <m:r>
          <m:t>T</m:t>
        </m:r>
        <m:r>
          <m:t> </m:t>
        </m:r>
        <m:r>
          <m:rPr>
            <m:sty m:val="p"/>
          </m:rPr>
          <m:t>}</m:t>
        </m:r>
        <m:r>
          <m:rPr>
            <m:sty m:val="p"/>
          </m:rPr>
          <m:t>∪</m:t>
        </m:r>
        <m:sSub>
          <m:e>
            <m:r>
              <m:rPr>
                <m:scr m:val="script"/>
                <m:sty m:val="p"/>
              </m:rPr>
              <m:t>K</m:t>
            </m:r>
          </m:e>
          <m:sub>
            <m:r>
              <m:t>T</m:t>
            </m:r>
          </m:sub>
        </m:sSub>
      </m:oMath>
      <w:r>
        <w:tab/>
        <w:t>(3.13)</w:t>
      </w:r>
    </w:p>
    <w:p>
      <w:pPr>
        <w:keepLines w:val="0"/>
        <w:spacing w:after="120"/>
        <w:ind w:firstLine="567"/>
      </w:pPr>
      <w:r>
        <w:t xml:space="preserve">Định nghĩa này cho thấy chia dữ liệu theo thời gian là cần thiết nhưng chưa đủ; từng đặc trưng cũng phải thỏa điều kiện sẵn có. Hewamalage và cộng sự (2023) nêu rò rỉ là một trong những sai lầm phổ biến nhất trong đánh giá dự báo, vì nó làm sai số ngoài mẫu tốt giả tạo mà không gây ra lỗi kỹ thuật nào. Đường cơ sở mùa vụ tuần là một ví dụ điển hình: nếu Seasonal Naive dùng lag_7 cho cả 16 ngày của kỳ, các ngày 8–16 sẽ lấy doanh số nằm trong chính kỳ dự báo, và mô hình cơ sở khi đó không khả thi tại gốc dự báo (mục 3.6.4).</w:t>
      </w:r>
    </w:p>
    <w:p>
      <w:pPr>
        <w:pStyle w:val="Heading3"/>
        <w:keepNext/>
      </w:pPr>
      <w:r>
        <w:t xml:space="preserve">3.6.2. Điều kiện sẵn có theo kỳ dự báo</w:t>
      </w:r>
    </w:p>
    <w:p>
      <w:pPr>
        <w:keepLines w:val="0"/>
        <w:spacing w:after="120"/>
        <w:ind w:firstLine="567"/>
      </w:pPr>
      <w:r>
        <w:t xml:space="preserve">Áp dụng (3.13) cho các đặc trưng lịch sử doanh số cho một điều kiện đơn giản. Với ngày mục tiêu t = T + h, độ trễ lag_k tham chiếu y(i, T + h − k), vốn chỉ đã quan sát được khi h − k ≤ 0. Vì một mô hình trực tiếp dùng cùng đặc trưng cho mọi h từ 1 đến 16, điều kiện hợp lệ trở thành k ≥ 16, như ở (3.14). lag_7 chỉ hợp lệ khi h ≤ 7 và lag_14 chỉ hợp lệ khi h ≤ 14, nên cả hai bị loại khỏi đầu vào học máy bằng một dòng lệnh tường minh trong 04_train_compare_5_models.py; các độ trễ từ lag_16 trở lên thỏa mãn điều kiện. Lập luận tương tự áp dụng cho thống kê trượt: trong (3.12), chỉ số gần nhất của cửa sổ là t − H = T + h − 16, luôn không vượt quá T khi h ≤ 16. Vì lưới ngày đầy đủ, điều kiện này được thỏa theo ngày lịch chứ không chỉ theo thứ tự dòng.</w:t>
      </w:r>
    </w:p>
    <w:p>
      <w:pPr>
        <w:tabs>
          <w:tab w:val="center" w:pos="4535"/>
          <w:tab w:val="right" w:pos="9071"/>
        </w:tabs>
        <w:spacing w:before="60" w:after="60"/>
        <w:ind w:firstLine="0"/>
      </w:pPr>
      <w:r>
        <w:tab/>
      </w:r>
      <m:oMath xmlns:a="http://schemas.openxmlformats.org/drawingml/2006/main" xmlns:pic="http://schemas.openxmlformats.org/drawingml/2006/picture">
        <m:sSub>
          <m:e>
            <m:r>
              <m:rPr>
                <m:sty m:val="p"/>
              </m:rPr>
              <m:t>l</m:t>
            </m:r>
            <m:r>
              <m:rPr>
                <m:sty m:val="p"/>
              </m:rPr>
              <m:t>a</m:t>
            </m:r>
            <m:r>
              <m:rPr>
                <m:sty m:val="p"/>
              </m:rPr>
              <m:t>g</m:t>
            </m:r>
          </m:e>
          <m:sub>
            <m:r>
              <m:t>k</m:t>
            </m:r>
          </m:sub>
        </m:sSub>
        <m:r>
          <m:t> </m:t>
        </m:r>
        <m:r>
          <m:rPr>
            <m:nor/>
          </m:rPr>
          <m:t>sẵn có tại </m:t>
        </m:r>
        <m:r>
          <m:t>T</m:t>
        </m:r>
        <m:r>
          <m:rPr>
            <m:nor/>
          </m:rPr>
          <m:t> với mọi </m:t>
        </m:r>
        <m:r>
          <m:t>h</m:t>
        </m:r>
        <m:r>
          <m:rPr>
            <m:sty m:val="p"/>
          </m:rPr>
          <m:t>∈</m:t>
        </m:r>
        <m:r>
          <m:rPr>
            <m:sty m:val="p"/>
          </m:rPr>
          <m:t>{</m:t>
        </m:r>
        <m:r>
          <m:t>1</m:t>
        </m:r>
        <m:r>
          <m:rPr>
            <m:sty m:val="p"/>
          </m:rPr>
          <m:t>,</m:t>
        </m:r>
        <m:r>
          <m:rPr>
            <m:sty m:val="p"/>
          </m:rPr>
          <m:t>…</m:t>
        </m:r>
        <m:r>
          <m:rPr>
            <m:sty m:val="p"/>
          </m:rPr>
          <m:t>,</m:t>
        </m:r>
        <m:r>
          <m:t>H</m:t>
        </m:r>
        <m:r>
          <m:rPr>
            <m:sty m:val="p"/>
          </m:rPr>
          <m:t>}</m:t>
        </m:r>
        <m:r>
          <m:rPr>
            <m:sty m:val="p"/>
          </m:rPr>
          <m:t>⇔</m:t>
        </m:r>
        <m:r>
          <m:t>T</m:t>
        </m:r>
        <m:r>
          <m:rPr>
            <m:sty m:val="p"/>
          </m:rPr>
          <m:t>+</m:t>
        </m:r>
        <m:r>
          <m:t>h</m:t>
        </m:r>
        <m:r>
          <m:rPr>
            <m:sty m:val="p"/>
          </m:rPr>
          <m:t>−</m:t>
        </m:r>
        <m:r>
          <m:t>k</m:t>
        </m:r>
        <m:r>
          <m:rPr>
            <m:sty m:val="p"/>
          </m:rPr>
          <m:t>≤</m:t>
        </m:r>
        <m:r>
          <m:t>T</m:t>
        </m:r>
        <m:r>
          <m:t> </m:t>
        </m:r>
        <m:r>
          <m:t> </m:t>
        </m:r>
        <m:r>
          <m:rPr>
            <m:sty m:val="p"/>
          </m:rPr>
          <m:t>∀</m:t>
        </m:r>
        <m:r>
          <m:t>h</m:t>
        </m:r>
        <m:r>
          <m:rPr>
            <m:sty m:val="p"/>
          </m:rPr>
          <m:t>≤</m:t>
        </m:r>
        <m:r>
          <m:t>H</m:t>
        </m:r>
        <m:r>
          <m:rPr>
            <m:sty m:val="p"/>
          </m:rPr>
          <m:t>⇔</m:t>
        </m:r>
        <m:r>
          <m:t>k</m:t>
        </m:r>
        <m:r>
          <m:rPr>
            <m:sty m:val="p"/>
          </m:rPr>
          <m:t>≥</m:t>
        </m:r>
        <m:r>
          <m:t>H</m:t>
        </m:r>
        <m:r>
          <m:rPr>
            <m:sty m:val="p"/>
          </m:rPr>
          <m:t>=</m:t>
        </m:r>
        <m:r>
          <m:t>16</m:t>
        </m:r>
      </m:oMath>
      <w:r>
        <w:tab/>
        <w:t>(3.14)</w:t>
      </w:r>
    </w:p>
    <w:p>
      <w:pPr>
        <w:keepLines w:val="0"/>
        <w:spacing w:after="120"/>
        <w:ind w:firstLine="567"/>
      </w:pPr>
      <w:r>
        <w:t xml:space="preserve">Các đặc trưng ngoại sinh cũng tuân theo điều kiện này: hai biến giao dịch và oil_price_lag16 đều được dịch đúng 16 ngày lịch sau khi đặt lên lịch ngày đầy đủ, còn các biến tĩnh và biến lịch thuộc K(T). Cái giá của điều kiện k ≥ 16 là các ngày đầu kỳ không dùng được thông tin gần nhất: dự báo cho T + 1 chỉ dựa vào doanh số đến T − 15. Dự báo đệ quy, hoặc một mô hình riêng cho từng h với tập độ trễ phù hợp, là những phương án thay thế; chúng không được triển khai trong luận văn và được xem là hướng mở rộng.</w:t>
      </w:r>
    </w:p>
    <w:p>
      <w:pPr>
        <w:pStyle w:val="Heading3"/>
        <w:keepNext/>
      </w:pPr>
      <w:r>
        <w:t xml:space="preserve">3.6.3. Các lớp kiểm soát trong quy trình</w:t>
      </w:r>
    </w:p>
    <w:p>
      <w:pPr>
        <w:keepLines w:val="0"/>
        <w:spacing w:after="120"/>
        <w:ind w:firstLine="567"/>
      </w:pPr>
      <w:r>
        <w:t xml:space="preserve">Quy trình kiểm soát rò rỉ bằng năm lớp bổ sung cho nhau:</w:t>
      </w:r>
    </w:p>
    <w:p>
      <w:pPr>
        <w:keepLines w:val="0"/>
        <w:spacing w:after="60"/>
        <w:ind w:left="851" w:hanging="284"/>
      </w:pPr>
      <w:r>
        <w:t xml:space="preserve">1.	Chia dữ liệu theo thời gian: kiểm định chéo cuốn chiếu chỉ huấn luyện trên các ngày trước cửa sổ kiểm định và không trộn ngẫu nhiên quan sát tương lai vào tập huấn luyện.</w:t>
      </w:r>
    </w:p>
    <w:p>
      <w:pPr>
        <w:keepLines w:val="0"/>
        <w:spacing w:after="60"/>
        <w:ind w:left="851" w:hanging="284"/>
      </w:pPr>
      <w:r>
        <w:t xml:space="preserve">2.	Dịch lùi thống kê trượt theo kỳ dự báo trên lịch ngày đầy đủ: mọi roll_mean và roll_std được tính trên chuỗi đã dịch 16 ngày lịch.</w:t>
      </w:r>
    </w:p>
    <w:p>
      <w:pPr>
        <w:keepLines w:val="0"/>
        <w:spacing w:after="60"/>
        <w:ind w:left="851" w:hanging="284"/>
      </w:pPr>
      <w:r>
        <w:t xml:space="preserve">3.	Loại độ trễ không hợp lệ: lag_7 và lag_14 bị loại khỏi đầu vào của bốn mô hình học máy; các đặc trưng ngoại sinh đều trễ đúng 16 ngày lịch hoặc là thông tin tĩnh, biết trước.</w:t>
      </w:r>
    </w:p>
    <w:p>
      <w:pPr>
        <w:keepLines w:val="0"/>
        <w:spacing w:after="60"/>
        <w:ind w:left="851" w:hanging="284"/>
      </w:pPr>
      <w:r>
        <w:t xml:space="preserve">4.	Cố định gốc dự báo cho đường cơ sở: Seasonal Naive chỉ dùng doanh số của tuần cuối cùng trước gốc, tùy theo vị trí của ngày mục tiêu trong kỳ.</w:t>
      </w:r>
    </w:p>
    <w:p>
      <w:pPr>
        <w:keepLines w:val="0"/>
        <w:spacing w:after="60"/>
        <w:ind w:left="851" w:hanging="284"/>
      </w:pPr>
      <w:r>
        <w:t xml:space="preserve">5.	Cô lập tập kiểm tra cuối: mô hình được chọn theo kết quả kiểm định chéo trước khi tập 16 ngày cuối được dùng, và cấu hình không được điều chỉnh sau khi thấy kết quả của tập này.</w:t>
      </w:r>
    </w:p>
    <w:p>
      <w:pPr>
        <w:keepLines w:val="0"/>
        <w:spacing w:after="120"/>
        <w:ind w:firstLine="567"/>
      </w:pPr>
      <w:r>
        <w:t xml:space="preserve">Lớp thứ nhất kiểm soát rò rỉ ở cấp mẫu, ba lớp tiếp theo kiểm soát ở cấp đặc trưng và dự báo, còn lớp thứ năm kiểm soát ở cấp quyết định của người nghiên cứu. Không lớp nào đủ khi đứng riêng. Việc không đưa thành phần STL vào mô hình (mục 3.4.4) là một biện pháp kiểm soát rò rỉ ngầm định. Với năm lớp này, điểm duy nhất còn nằm ngoài khuôn khổ “chỉ dùng thông tin đến hết T” là biến onpromotion của ngày mục tiêu, được dùng không trễ theo một giả định có chủ đích, trình bày ở mục 3.6.5.</w:t>
      </w:r>
    </w:p>
    <w:p>
      <w:pPr>
        <w:pStyle w:val="Heading3"/>
        <w:keepNext/>
      </w:pPr>
      <w:r>
        <w:t xml:space="preserve">3.6.4. Seasonal Naive cố định gốc dự báo</w:t>
      </w:r>
    </w:p>
    <w:p>
      <w:pPr>
        <w:keepLines w:val="0"/>
        <w:spacing w:after="120"/>
        <w:ind w:firstLine="567"/>
      </w:pPr>
      <w:r>
        <w:t xml:space="preserve">Seasonal Naive được triển khai ngoài tập đặc trưng học máy như một đường cơ sở mùa vụ tuần. Để thỏa điều kiện sẵn có, ngày thứ h của mỗi cửa sổ, tính từ ngày đầu cửa sổ, dùng doanh số của cùng thứ trong tuần thuộc tuần cuối cùng trước gốc dự báo: lag_7 với h từ 1 đến 7, lag_14 với h từ 8 đến 14 và lag_21 với h bằng 15 và 16, như ở (3.15). Có thể kiểm tra trực tiếp rằng chỉ số thời gian được tham chiếu luôn không vượt quá T: với h ≤ 7, T + h − 7 ≤ T; với h ≤ 14, T + h − 14 ≤ T; với h ≤ 16, T + h − 21 ≤ T − 5. Đồng thời, vì 7, 14 và 21 đều là bội số của 7, ngày được tham chiếu luôn cùng thứ trong tuần với ngày mục tiêu. Đây là cách tiếp cận mùa vụ đơn giản mà Hyndman và Athanasopoulos (2021) mô tả cho dự báo nhiều bước.</w:t>
      </w:r>
    </w:p>
    <w:p>
      <w:pPr>
        <w:tabs>
          <w:tab w:val="center" w:pos="4535"/>
          <w:tab w:val="right" w:pos="9071"/>
        </w:tabs>
        <w:spacing w:before="60" w:after="60"/>
        <w:ind w:firstLine="0"/>
      </w:pPr>
      <w:r>
        <w:tab/>
      </w:r>
      <m:oMath xmlns:a="http://schemas.openxmlformats.org/drawingml/2006/main" xmlns:pic="http://schemas.openxmlformats.org/drawingml/2006/picture">
        <m:sSubSup>
          <m:e>
            <m:acc>
              <m:accPr>
                <m:chr m:val="̂"/>
              </m:accPr>
              <m:e>
                <m:r>
                  <m:t>y</m:t>
                </m:r>
              </m:e>
            </m:acc>
          </m:e>
          <m:sub>
            <m:r>
              <m:t>i</m:t>
            </m:r>
            <m:r>
              <m:rPr>
                <m:sty m:val="p"/>
              </m:rPr>
              <m:t>,</m:t>
            </m:r>
            <m:r>
              <m:t>T</m:t>
            </m:r>
            <m:r>
              <m:rPr>
                <m:sty m:val="p"/>
              </m:rPr>
              <m:t>+</m:t>
            </m:r>
            <m:r>
              <m:t>h</m:t>
            </m:r>
          </m:sub>
          <m:sup>
            <m:r>
              <m:rPr>
                <m:sty m:val="p"/>
              </m:rPr>
              <m:t>S</m:t>
            </m:r>
            <m:r>
              <m:rPr>
                <m:sty m:val="p"/>
              </m:rPr>
              <m:t>N</m:t>
            </m:r>
          </m:sup>
        </m:sSubSup>
        <m:r>
          <m:rPr>
            <m:sty m:val="p"/>
          </m:rPr>
          <m:t>=</m:t>
        </m:r>
        <m:d>
          <m:dPr>
            <m:begChr m:val="{"/>
            <m:sepChr m:val=""/>
            <m:endChr m:val=""/>
            <m:grow/>
          </m:dPr>
          <m:e>
            <m:m>
              <m:mPr>
                <m:baseJc m:val="center"/>
                <m:plcHide m:val="on"/>
                <m:mcs>
                  <m:mc>
                    <m:mcPr>
                      <m:count m:val="1"/>
                      <m:mcJc m:val="left"/>
                    </m:mcPr>
                  </m:mc>
                  <m:mc>
                    <m:mcPr>
                      <m:count m:val="1"/>
                      <m:mcJc m:val="left"/>
                    </m:mcPr>
                  </m:mc>
                </m:mcs>
              </m:mPr>
              <m:mr>
                <m:e>
                  <m:sSub>
                    <m:e>
                      <m:r>
                        <m:t>y</m:t>
                      </m:r>
                    </m:e>
                    <m:sub>
                      <m:r>
                        <m:t>i</m:t>
                      </m:r>
                      <m:r>
                        <m:rPr>
                          <m:sty m:val="p"/>
                        </m:rPr>
                        <m:t>,</m:t>
                      </m:r>
                      <m:r>
                        <m:t>T</m:t>
                      </m:r>
                      <m:r>
                        <m:rPr>
                          <m:sty m:val="p"/>
                        </m:rPr>
                        <m:t>+</m:t>
                      </m:r>
                      <m:r>
                        <m:t>h</m:t>
                      </m:r>
                      <m:r>
                        <m:rPr>
                          <m:sty m:val="p"/>
                        </m:rPr>
                        <m:t>−</m:t>
                      </m:r>
                      <m:r>
                        <m:t>7</m:t>
                      </m:r>
                    </m:sub>
                  </m:sSub>
                  <m:r>
                    <m:rPr>
                      <m:sty m:val="p"/>
                    </m:rPr>
                    <m:t>,</m:t>
                  </m:r>
                </m:e>
                <m:e>
                  <m:r>
                    <m:t>1</m:t>
                  </m:r>
                  <m:r>
                    <m:rPr>
                      <m:sty m:val="p"/>
                    </m:rPr>
                    <m:t>≤</m:t>
                  </m:r>
                  <m:r>
                    <m:t>h</m:t>
                  </m:r>
                  <m:r>
                    <m:rPr>
                      <m:sty m:val="p"/>
                    </m:rPr>
                    <m:t>≤</m:t>
                  </m:r>
                  <m:r>
                    <m:t>7</m:t>
                  </m:r>
                  <m:r>
                    <m:rPr>
                      <m:sty m:val="p"/>
                    </m:rPr>
                    <m:t>,</m:t>
                  </m:r>
                </m:e>
              </m:mr>
              <m:mr>
                <m:e>
                  <m:sSub>
                    <m:e>
                      <m:r>
                        <m:t>y</m:t>
                      </m:r>
                    </m:e>
                    <m:sub>
                      <m:r>
                        <m:t>i</m:t>
                      </m:r>
                      <m:r>
                        <m:rPr>
                          <m:sty m:val="p"/>
                        </m:rPr>
                        <m:t>,</m:t>
                      </m:r>
                      <m:r>
                        <m:t>T</m:t>
                      </m:r>
                      <m:r>
                        <m:rPr>
                          <m:sty m:val="p"/>
                        </m:rPr>
                        <m:t>+</m:t>
                      </m:r>
                      <m:r>
                        <m:t>h</m:t>
                      </m:r>
                      <m:r>
                        <m:rPr>
                          <m:sty m:val="p"/>
                        </m:rPr>
                        <m:t>−</m:t>
                      </m:r>
                      <m:r>
                        <m:t>14</m:t>
                      </m:r>
                    </m:sub>
                  </m:sSub>
                  <m:r>
                    <m:rPr>
                      <m:sty m:val="p"/>
                    </m:rPr>
                    <m:t>,</m:t>
                  </m:r>
                </m:e>
                <m:e>
                  <m:r>
                    <m:t>8</m:t>
                  </m:r>
                  <m:r>
                    <m:rPr>
                      <m:sty m:val="p"/>
                    </m:rPr>
                    <m:t>≤</m:t>
                  </m:r>
                  <m:r>
                    <m:t>h</m:t>
                  </m:r>
                  <m:r>
                    <m:rPr>
                      <m:sty m:val="p"/>
                    </m:rPr>
                    <m:t>≤</m:t>
                  </m:r>
                  <m:r>
                    <m:t>14</m:t>
                  </m:r>
                  <m:r>
                    <m:rPr>
                      <m:sty m:val="p"/>
                    </m:rPr>
                    <m:t>,</m:t>
                  </m:r>
                </m:e>
              </m:mr>
              <m:mr>
                <m:e>
                  <m:sSub>
                    <m:e>
                      <m:r>
                        <m:t>y</m:t>
                      </m:r>
                    </m:e>
                    <m:sub>
                      <m:r>
                        <m:t>i</m:t>
                      </m:r>
                      <m:r>
                        <m:rPr>
                          <m:sty m:val="p"/>
                        </m:rPr>
                        <m:t>,</m:t>
                      </m:r>
                      <m:r>
                        <m:t>T</m:t>
                      </m:r>
                      <m:r>
                        <m:rPr>
                          <m:sty m:val="p"/>
                        </m:rPr>
                        <m:t>+</m:t>
                      </m:r>
                      <m:r>
                        <m:t>h</m:t>
                      </m:r>
                      <m:r>
                        <m:rPr>
                          <m:sty m:val="p"/>
                        </m:rPr>
                        <m:t>−</m:t>
                      </m:r>
                      <m:r>
                        <m:t>21</m:t>
                      </m:r>
                    </m:sub>
                  </m:sSub>
                  <m:r>
                    <m:rPr>
                      <m:sty m:val="p"/>
                    </m:rPr>
                    <m:t>,</m:t>
                  </m:r>
                </m:e>
                <m:e>
                  <m:r>
                    <m:t>15</m:t>
                  </m:r>
                  <m:r>
                    <m:rPr>
                      <m:sty m:val="p"/>
                    </m:rPr>
                    <m:t>≤</m:t>
                  </m:r>
                  <m:r>
                    <m:t>h</m:t>
                  </m:r>
                  <m:r>
                    <m:rPr>
                      <m:sty m:val="p"/>
                    </m:rPr>
                    <m:t>≤</m:t>
                  </m:r>
                  <m:r>
                    <m:t>16</m:t>
                  </m:r>
                  <m:r>
                    <m:rPr>
                      <m:sty m:val="p"/>
                    </m:rPr>
                    <m:t>,</m:t>
                  </m:r>
                </m:e>
              </m:mr>
            </m:m>
          </m:e>
        </m:d>
        <m:r>
          <m:t>  </m:t>
        </m:r>
        <m:r>
          <m:t>T</m:t>
        </m:r>
        <m:r>
          <m:rPr>
            <m:sty m:val="p"/>
          </m:rPr>
          <m:t>+</m:t>
        </m:r>
        <m:r>
          <m:t>h</m:t>
        </m:r>
        <m:r>
          <m:rPr>
            <m:sty m:val="p"/>
          </m:rPr>
          <m:t>−</m:t>
        </m:r>
        <m:r>
          <m:t>k</m:t>
        </m:r>
        <m:r>
          <m:rPr>
            <m:sty m:val="p"/>
          </m:rPr>
          <m:t>≤</m:t>
        </m:r>
        <m:r>
          <m:t>T</m:t>
        </m:r>
        <m:r>
          <m:t> </m:t>
        </m:r>
        <m:r>
          <m:t> </m:t>
        </m:r>
        <m:r>
          <m:rPr>
            <m:nor/>
          </m:rPr>
          <m:t>với mọi </m:t>
        </m:r>
        <m:r>
          <m:t>h</m:t>
        </m:r>
      </m:oMath>
      <w:r>
        <w:tab/>
        <w:t>(3.15)</w:t>
      </w:r>
    </w:p>
    <w:p>
      <w:pPr>
        <w:keepLines w:val="0"/>
        <w:spacing w:after="120"/>
        <w:ind w:firstLine="567"/>
      </w:pPr>
      <w:r>
        <w:t xml:space="preserve">Lý do của thiết kế này là tính khả thi trong vận hành. Với H = 16, nếu dùng lag_7 cho mọi ngày thì khi dự báo các ngày 8–16, đường cơ sở sẽ lấy doanh số thực của các ngày 1–9 trong chính cửa sổ, là thông tin chưa có tại gốc dự báo; một mô hình cơ sở như vậy không thể vận hành thật và làm mốc so sánh trở nên dễ dãi một cách giả tạo. Khi cố định gốc dự báo, đường cơ sở tuân thủ cùng điều kiện sẵn có như bốn mô hình học máy nên có thể dùng làm mốc so sánh công bằng. Dù vậy, hai nguyên tắc diễn giải vẫn được giữ. Thứ nhất, sMAPE và RMSLE ưu ái việc dự báo đúng các giá trị 0 và giá trị nhỏ; Seasonal Naive, vốn lặp lại đúng giá trị 0 của tuần trước ở các chuỗi gián đoạn, có thể đạt sMAPE thấp mà không vì thế tốt hơn về vận hành, trong bối cảnh 31,30% số dòng của toàn bộ dữ liệu và 14,58% số dòng của tập kiểm tra cuối có sales bằng 0. Thứ hai, đường cơ sở được coi là mốc tham chiếu về mức độ khó của bài toán.</w:t>
      </w:r>
    </w:p>
    <w:p>
      <w:pPr>
        <w:pStyle w:val="Heading3"/>
        <w:keepNext/>
      </w:pPr>
      <w:r>
        <w:t xml:space="preserve">3.6.5. Giả định onpromotion được biết trước</w:t>
      </w:r>
    </w:p>
    <w:p>
      <w:pPr>
        <w:keepLines w:val="0"/>
        <w:spacing w:after="120"/>
        <w:ind w:firstLine="567"/>
      </w:pPr>
      <w:r>
        <w:t xml:space="preserve">Biến onpromotion của ngày mục tiêu được đưa vào mô hình mà không trễ. Theo (3.13), điều này chỉ hợp lệ nếu onpromotion tương lai thuộc K(T), tức kế hoạch số mặt hàng được khuyến mãi của mỗi nhóm tại mỗi cửa hàng trong 16 ngày tới được coi là đã biết tại gốc dự báo. Luận văn chấp nhận giả định này, xem onpromotion là biến đồng hành được lập kế hoạch trước (planned covariate), vì lịch khuyến mãi trong bán lẻ thường được lên trước khi thực hiện. Lớp kịch bản ở bước 06 cũng cần chính giả định này. Giả định này là một giới hạn của nghiên cứu và được nêu lại trong phần hạn chế ở Chương 5.</w:t>
      </w:r>
    </w:p>
    <w:p>
      <w:pPr>
        <w:keepLines w:val="0"/>
        <w:spacing w:after="120"/>
        <w:ind w:firstLine="567"/>
      </w:pPr>
      <w:r>
        <w:t xml:space="preserve">Giả định không phải lúc nào cũng đúng, và vi phạm nó sẽ làm kết quả đánh giá lạc quan theo cách tương tự rò rỉ. Nếu lịch khuyến mãi thay đổi sau thời điểm dự báo, onpromotion thực tế của tập kiểm tra chứa thông tin mà dự báo thật không có. Khi triển khai, hệ thống cần ghi lại phiên bản kế hoạch khuyến mãi dùng tại thời điểm dự báo. Kiểm soát rò rỉ vì thế gắn trực tiếp với khả năng triển khai: một mô hình có WAPE thấp nhưng dựa vào thông tin không có tại gốc dự báo không thể tái tạo khi vận hành.</w:t>
      </w:r>
    </w:p>
    <w:p>
      <w:pPr>
        <w:pStyle w:val="Heading2"/>
        <w:keepNext/>
      </w:pPr>
      <w:r>
        <w:t xml:space="preserve">3.7. Cấu hình năm mô hình</w:t>
      </w:r>
    </w:p>
    <w:p>
      <w:pPr>
        <w:pStyle w:val="Heading3"/>
        <w:keepNext/>
      </w:pPr>
      <w:r>
        <w:t xml:space="preserve">3.7.1. Phổ mô hình từ đơn giản đến phức tạp</w:t>
      </w:r>
    </w:p>
    <w:p>
      <w:pPr>
        <w:keepLines w:val="0"/>
        <w:spacing w:after="120"/>
        <w:ind w:firstLine="567"/>
      </w:pPr>
      <w:r>
        <w:t xml:space="preserve">Năm mô hình được chọn theo một phổ từ đơn giản đến phức tạp để tạo so sánh có ý nghĩa. Seasonal Naive không có tham số huấn luyện và dự báo bằng doanh số cùng thứ trong tuần cuối trước gốc, như đã trình bày ở mục 3.6.4. Ridge đóng vai trò đường cơ sở tuyến tính có điều chuẩn: hệ số được ước lượng bằng cách cực tiểu tổng bình phương sai số cộng với hình phạt bình phương chuẩn của vectơ hệ số, như ở (3.16), giúp ổn định ước lượng khi các đặc trưng tương quan mạnh (Hoerl và Kennard, 1970). Ridge được triển khai dưới dạng pipeline gồm StandardScaler rồi Ridge với alpha = 1,0, tức mỗi đặc trưng được chuẩn hóa về trung bình 0 và độ lệch chuẩn 1 trên dữ liệu huấn luyện trước khi ước lượng hệ số; ký hiệu x(n) trong (3.16) vì vậy là vectơ đặc trưng đã chuẩn hóa.</w:t>
      </w:r>
    </w:p>
    <w:p>
      <w:pPr>
        <w:tabs>
          <w:tab w:val="center" w:pos="4535"/>
          <w:tab w:val="right" w:pos="9071"/>
        </w:tabs>
        <w:spacing w:before="60" w:after="60"/>
        <w:ind w:firstLine="0"/>
      </w:pPr>
      <w:r>
        <w:tab/>
      </w:r>
      <m:oMath xmlns:a="http://schemas.openxmlformats.org/drawingml/2006/main" xmlns:pic="http://schemas.openxmlformats.org/drawingml/2006/picture">
        <m:sSup>
          <m:e>
            <m:acc>
              <m:accPr>
                <m:chr m:val="̂"/>
              </m:accPr>
              <m:e>
                <m:r>
                  <m:rPr>
                    <m:sty m:val="b"/>
                  </m:rPr>
                  <m:t>β</m:t>
                </m:r>
              </m:e>
            </m:acc>
          </m:e>
          <m:sup>
            <m:r>
              <m:rPr>
                <m:sty m:val="p"/>
              </m:rPr>
              <m:t>R</m:t>
            </m:r>
            <m:r>
              <m:rPr>
                <m:sty m:val="p"/>
              </m:rPr>
              <m:t>i</m:t>
            </m:r>
            <m:r>
              <m:rPr>
                <m:sty m:val="p"/>
              </m:rPr>
              <m:t>d</m:t>
            </m:r>
            <m:r>
              <m:rPr>
                <m:sty m:val="p"/>
              </m:rPr>
              <m:t>g</m:t>
            </m:r>
            <m:r>
              <m:rPr>
                <m:sty m:val="p"/>
              </m:rPr>
              <m:t>e</m:t>
            </m:r>
          </m:sup>
        </m:sSup>
        <m:r>
          <m:rPr>
            <m:sty m:val="p"/>
          </m:rPr>
          <m:t>=</m:t>
        </m:r>
        <m:r>
          <m:rPr>
            <m:sty m:val="p"/>
          </m:rPr>
          <m:t>arg</m:t>
        </m:r>
        <m:limLow>
          <m:e>
            <m:r>
              <m:rPr>
                <m:sty m:val="p"/>
              </m:rPr>
              <m:t>min</m:t>
            </m:r>
          </m:e>
          <m:lim>
            <m:sSub>
              <m:e>
                <m:r>
                  <m:t>β</m:t>
                </m:r>
              </m:e>
              <m:sub>
                <m:r>
                  <m:t>0</m:t>
                </m:r>
              </m:sub>
            </m:sSub>
            <m:r>
              <m:rPr>
                <m:sty m:val="p"/>
              </m:rPr>
              <m:t>,</m:t>
            </m:r>
            <m:r>
              <m:rPr>
                <m:sty m:val="b"/>
              </m:rPr>
              <m:t>β</m:t>
            </m:r>
          </m:lim>
        </m:limLow>
        <m:r>
          <m:t> </m:t>
        </m:r>
        <m:nary>
          <m:naryPr>
            <m:chr m:val="∑"/>
            <m:limLoc m:val="undOvr"/>
            <m:subHide m:val="off"/>
            <m:supHide m:val="off"/>
          </m:naryPr>
          <m:sub>
            <m:r>
              <m:t>n</m:t>
            </m:r>
            <m:r>
              <m:rPr>
                <m:sty m:val="p"/>
              </m:rPr>
              <m:t>=</m:t>
            </m:r>
            <m:r>
              <m:t>1</m:t>
            </m:r>
          </m:sub>
          <m:sup>
            <m:sSub>
              <m:e>
                <m:r>
                  <m:t>n</m:t>
                </m:r>
              </m:e>
              <m:sub>
                <m:r>
                  <m:rPr>
                    <m:sty m:val="p"/>
                  </m:rPr>
                  <m:t>t</m:t>
                </m:r>
                <m:r>
                  <m:rPr>
                    <m:sty m:val="p"/>
                  </m:rPr>
                  <m:t>r</m:t>
                </m:r>
                <m:r>
                  <m:rPr>
                    <m:sty m:val="p"/>
                  </m:rPr>
                  <m:t>a</m:t>
                </m:r>
                <m:r>
                  <m:rPr>
                    <m:sty m:val="p"/>
                  </m:rPr>
                  <m:t>i</m:t>
                </m:r>
                <m:r>
                  <m:rPr>
                    <m:sty m:val="p"/>
                  </m:rPr>
                  <m:t>n</m:t>
                </m:r>
              </m:sub>
            </m:sSub>
          </m:sup>
          <m:e>
            <m:r>
              <m:rPr>
                <m:sty m:val="p"/>
              </m:rPr>
              <m:t>(</m:t>
            </m:r>
          </m:e>
        </m:nary>
        <m:sSub>
          <m:e>
            <m:r>
              <m:t>y</m:t>
            </m:r>
          </m:e>
          <m:sub>
            <m:r>
              <m:t>n</m:t>
            </m:r>
          </m:sub>
        </m:sSub>
        <m:r>
          <m:rPr>
            <m:sty m:val="p"/>
          </m:rPr>
          <m:t>−</m:t>
        </m:r>
        <m:sSub>
          <m:e>
            <m:r>
              <m:t>β</m:t>
            </m:r>
          </m:e>
          <m:sub>
            <m:r>
              <m:t>0</m:t>
            </m:r>
          </m:sub>
        </m:sSub>
        <m:r>
          <m:rPr>
            <m:sty m:val="p"/>
          </m:rPr>
          <m:t>−</m:t>
        </m:r>
        <m:sSubSup>
          <m:e>
            <m:acc>
              <m:accPr>
                <m:chr m:val="̃"/>
              </m:accPr>
              <m:e>
                <m:r>
                  <m:rPr>
                    <m:sty m:val="b"/>
                  </m:rPr>
                  <m:t>x</m:t>
                </m:r>
              </m:e>
            </m:acc>
          </m:e>
          <m:sub>
            <m:r>
              <m:t>n</m:t>
            </m:r>
          </m:sub>
          <m:sup>
            <m:r>
              <m:rPr>
                <m:sty m:val="p"/>
              </m:rPr>
              <m:t>⊤</m:t>
            </m:r>
          </m:sup>
        </m:sSubSup>
        <m:r>
          <m:rPr>
            <m:sty m:val="b"/>
          </m:rPr>
          <m:t>β</m:t>
        </m:r>
        <m:sSup>
          <m:e>
            <m:r>
              <m:rPr>
                <m:sty m:val="p"/>
              </m:rPr>
              <m:t>)</m:t>
            </m:r>
          </m:e>
          <m:sup>
            <m:r>
              <m:t>2</m:t>
            </m:r>
          </m:sup>
        </m:sSup>
        <m:r>
          <m:rPr>
            <m:sty m:val="p"/>
          </m:rPr>
          <m:t>+</m:t>
        </m:r>
        <m:r>
          <m:t>α</m:t>
        </m:r>
        <m:r>
          <m:t> </m:t>
        </m:r>
        <m:r>
          <m:rPr>
            <m:sty m:val="p"/>
          </m:rPr>
          <m:t>∥</m:t>
        </m:r>
        <m:r>
          <m:rPr>
            <m:sty m:val="b"/>
          </m:rPr>
          <m:t>β</m:t>
        </m:r>
        <m:sSubSup>
          <m:e>
            <m:r>
              <m:rPr>
                <m:sty m:val="p"/>
              </m:rPr>
              <m:t>∥</m:t>
            </m:r>
          </m:e>
          <m:sub>
            <m:r>
              <m:t>2</m:t>
            </m:r>
          </m:sub>
          <m:sup>
            <m:r>
              <m:t>2</m:t>
            </m:r>
          </m:sup>
        </m:sSubSup>
        <m:r>
          <m:rPr>
            <m:sty m:val="p"/>
          </m:rPr>
          <m:t>,</m:t>
        </m:r>
        <m:r>
          <m:t>  </m:t>
        </m:r>
        <m:sSub>
          <m:e>
            <m:acc>
              <m:accPr>
                <m:chr m:val="̃"/>
              </m:accPr>
              <m:e>
                <m:r>
                  <m:t>x</m:t>
                </m:r>
              </m:e>
            </m:acc>
          </m:e>
          <m:sub>
            <m:r>
              <m:t>n</m:t>
            </m:r>
            <m:r>
              <m:t>j</m:t>
            </m:r>
          </m:sub>
        </m:sSub>
        <m:r>
          <m:rPr>
            <m:sty m:val="p"/>
          </m:rPr>
          <m:t>=</m:t>
        </m:r>
        <m:f>
          <m:fPr>
            <m:type m:val="bar"/>
          </m:fPr>
          <m:num>
            <m:sSub>
              <m:e>
                <m:r>
                  <m:t>x</m:t>
                </m:r>
              </m:e>
              <m:sub>
                <m:r>
                  <m:t>n</m:t>
                </m:r>
                <m:r>
                  <m:t>j</m:t>
                </m:r>
              </m:sub>
            </m:sSub>
            <m:r>
              <m:rPr>
                <m:sty m:val="p"/>
              </m:rPr>
              <m:t>−</m:t>
            </m:r>
            <m:sSub>
              <m:e>
                <m:acc>
                  <m:accPr>
                    <m:chr m:val="‾"/>
                  </m:accPr>
                  <m:e>
                    <m:r>
                      <m:t>x</m:t>
                    </m:r>
                  </m:e>
                </m:acc>
              </m:e>
              <m:sub>
                <m:r>
                  <m:t>j</m:t>
                </m:r>
              </m:sub>
            </m:sSub>
          </m:num>
          <m:den>
            <m:sSub>
              <m:e>
                <m:r>
                  <m:t>s</m:t>
                </m:r>
              </m:e>
              <m:sub>
                <m:r>
                  <m:t>j</m:t>
                </m:r>
              </m:sub>
            </m:sSub>
          </m:den>
        </m:f>
        <m:r>
          <m:rPr>
            <m:sty m:val="p"/>
          </m:rPr>
          <m:t>,</m:t>
        </m:r>
        <m:r>
          <m:t> </m:t>
        </m:r>
        <m:r>
          <m:t>α</m:t>
        </m:r>
        <m:r>
          <m:rPr>
            <m:sty m:val="p"/>
          </m:rPr>
          <m:t>=</m:t>
        </m:r>
        <m:r>
          <m:t>1</m:t>
        </m:r>
      </m:oMath>
      <w:r>
        <w:tab/>
        <w:t>(3.16)</w:t>
      </w:r>
    </w:p>
    <w:p>
      <w:pPr>
        <w:keepLines w:val="0"/>
        <w:spacing w:after="120"/>
        <w:ind w:firstLine="567"/>
      </w:pPr>
      <w:r>
        <w:t xml:space="preserve">Chuẩn hóa là điều kiện để hình phạt L2 có ý nghĩa nhất quán. Vì hình phạt tác động lên độ lớn hệ số, nếu không chuẩn hóa thì thang đo của đặc trưng quyết định mức điều chuẩn thực tế: đặc trưng thang lớn như lag_56 cần hệ số nhỏ và gần như không bị phạt, còn đặc trưng thang nhỏ như is_weekend bị phạt tương đối mạnh hơn. Đó là lý do mọi đặc trưng được chuẩn hóa bằng StandardScaler, với trung bình và độ lệch chuẩn ước lượng trên dữ liệu huấn luyện của từng cửa sổ, trước khi phạt L2. Điểm yếu cấu trúc của Ridge thì không thay đổi: mô hình coi store_code, family_code, city_code hay cluster như biến số liên tục và không tự học được tương tác giữa các đặc trưng. Ridge vì thế cho biết một mô hình tuyến tính thuần túy đi được bao xa với cùng tập đặc trưng, chứ không phải giới hạn trên của phương pháp tuyến tính (Hastie và cộng sự, 2009).</w:t>
      </w:r>
    </w:p>
    <w:p>
      <w:pPr>
        <w:pStyle w:val="Heading3"/>
        <w:keepNext/>
      </w:pPr>
      <w:r>
        <w:t xml:space="preserve">3.7.2. Các mô hình tổ hợp cây</w:t>
      </w:r>
    </w:p>
    <w:p>
      <w:pPr>
        <w:keepLines w:val="0"/>
        <w:spacing w:after="120"/>
        <w:ind w:firstLine="567"/>
      </w:pPr>
      <w:r>
        <w:t xml:space="preserve">Random Forest lấy trung bình dự báo của nhiều cây hồi quy xây dựng trên các mẫu bootstrap, như ở (3.17); lấy trung bình nhiều cây ít tương quan làm giảm phương sai so với một cây đơn lẻ (Breiman, 2001). Mô hình dùng RandomForestRegressor với n_estimators = 120, max_depth = 18, min_samples_leaf = 3, n_jobs = −1 và random_state = 42. Tham số max_features không được đặt, nên theo mặc định của scikit-learn cho hồi quy (max_features = 1,0), mỗi lần tách xét toàn bộ đặc trưng; tính ngẫu nhiên của mô hình trong lần chạy chỉ đến từ mẫu bootstrap, nên về thực chất đây là bagging cây hồi quy hơn là phiên bản chọn ngẫu nhiên đặc trưng ở mỗi nút như mô tả gốc của Breiman. Hai mô hình tăng cường xây dựng tổ hợp cây theo cách cộng dồn, mỗi cây mới hiệu chỉnh phần sai số còn lại và được co lại bởi tốc độ học η (Friedman, 2001), như ở (3.18).</w:t>
      </w:r>
    </w:p>
    <w:p>
      <w:pPr>
        <w:tabs>
          <w:tab w:val="center" w:pos="4535"/>
          <w:tab w:val="right" w:pos="9071"/>
        </w:tabs>
        <w:spacing w:before="60" w:after="60"/>
        <w:ind w:firstLine="0"/>
      </w:pPr>
      <w:r>
        <w:tab/>
      </w:r>
      <m:oMath xmlns:a="http://schemas.openxmlformats.org/drawingml/2006/main" xmlns:pic="http://schemas.openxmlformats.org/drawingml/2006/picture">
        <m:sSub>
          <m:e>
            <m:acc>
              <m:accPr>
                <m:chr m:val="̂"/>
              </m:accPr>
              <m:e>
                <m:r>
                  <m:t>f</m:t>
                </m:r>
              </m:e>
            </m:acc>
          </m:e>
          <m:sub>
            <m:r>
              <m:rPr>
                <m:sty m:val="p"/>
              </m:rPr>
              <m:t>R</m:t>
            </m:r>
            <m:r>
              <m:rPr>
                <m:sty m:val="p"/>
              </m:rPr>
              <m:t>F</m:t>
            </m:r>
          </m:sub>
        </m:sSub>
        <m:d>
          <m:dPr>
            <m:begChr m:val="("/>
            <m:sepChr m:val=""/>
            <m:endChr m:val=")"/>
            <m:grow/>
          </m:dPr>
          <m:e>
            <m:r>
              <m:rPr>
                <m:sty m:val="b"/>
              </m:rPr>
              <m:t>x</m:t>
            </m:r>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T</m:t>
                </m:r>
              </m:e>
              <m:sub>
                <m:r>
                  <m:t>b</m:t>
                </m:r>
              </m:sub>
            </m:sSub>
          </m:e>
        </m:nary>
        <m:d>
          <m:dPr>
            <m:begChr m:val="("/>
            <m:sepChr m:val=""/>
            <m:endChr m:val=")"/>
            <m:grow/>
          </m:dPr>
          <m:e>
            <m:r>
              <m:rPr>
                <m:sty m:val="b"/>
              </m:rPr>
              <m:t>x</m:t>
            </m:r>
          </m:e>
        </m:d>
        <m:r>
          <m:rPr>
            <m:sty m:val="p"/>
          </m:rPr>
          <m:t>,</m:t>
        </m:r>
        <m:r>
          <m:t>  </m:t>
        </m:r>
        <m:r>
          <m:t>B</m:t>
        </m:r>
        <m:r>
          <m:rPr>
            <m:sty m:val="p"/>
          </m:rPr>
          <m:t>=</m:t>
        </m:r>
        <m:r>
          <m:t>120</m:t>
        </m:r>
      </m:oMath>
      <w:r>
        <w:tab/>
        <w:t>(3.17)</w:t>
      </w:r>
    </w:p>
    <w:p>
      <w:pPr>
        <w:tabs>
          <w:tab w:val="center" w:pos="4535"/>
          <w:tab w:val="right" w:pos="9071"/>
        </w:tabs>
        <w:spacing w:before="60" w:after="60"/>
        <w:ind w:firstLine="0"/>
      </w:pPr>
      <w:r>
        <w:tab/>
      </w:r>
      <m:oMath xmlns:a="http://schemas.openxmlformats.org/drawingml/2006/main" xmlns:pic="http://schemas.openxmlformats.org/drawingml/2006/picture">
        <m:sSub>
          <m:e>
            <m:acc>
              <m:accPr>
                <m:chr m:val="̂"/>
              </m:accPr>
              <m:e>
                <m:r>
                  <m:t>f</m:t>
                </m:r>
              </m:e>
            </m:acc>
          </m:e>
          <m:sub>
            <m:r>
              <m:t>M</m:t>
            </m:r>
          </m:sub>
        </m:sSub>
        <m:d>
          <m:dPr>
            <m:begChr m:val="("/>
            <m:sepChr m:val=""/>
            <m:endChr m:val=")"/>
            <m:grow/>
          </m:dPr>
          <m:e>
            <m:r>
              <m:rPr>
                <m:sty m:val="b"/>
              </m:rPr>
              <m:t>x</m:t>
            </m:r>
          </m:e>
        </m:d>
        <m:r>
          <m:rPr>
            <m:sty m:val="p"/>
          </m:rPr>
          <m:t>=</m:t>
        </m:r>
        <m:sSub>
          <m:e>
            <m:acc>
              <m:accPr>
                <m:chr m:val="̂"/>
              </m:accPr>
              <m:e>
                <m:r>
                  <m:t>f</m:t>
                </m:r>
              </m:e>
            </m:acc>
          </m:e>
          <m:sub>
            <m:r>
              <m:t>0</m:t>
            </m:r>
          </m:sub>
        </m:sSub>
        <m:d>
          <m:dPr>
            <m:begChr m:val="("/>
            <m:sepChr m:val=""/>
            <m:endChr m:val=")"/>
            <m:grow/>
          </m:dPr>
          <m:e>
            <m:r>
              <m:rPr>
                <m:sty m:val="b"/>
              </m:rPr>
              <m:t>x</m:t>
            </m:r>
          </m:e>
        </m:d>
        <m:r>
          <m:rPr>
            <m:sty m:val="p"/>
          </m:rPr>
          <m:t>+</m:t>
        </m:r>
        <m:r>
          <m:t>η</m:t>
        </m:r>
        <m:nary>
          <m:naryPr>
            <m:chr m:val="∑"/>
            <m:limLoc m:val="undOvr"/>
            <m:subHide m:val="off"/>
            <m:supHide m:val="off"/>
          </m:naryPr>
          <m:sub>
            <m:r>
              <m:t>m</m:t>
            </m:r>
            <m:r>
              <m:rPr>
                <m:sty m:val="p"/>
              </m:rPr>
              <m:t>=</m:t>
            </m:r>
            <m:r>
              <m:t>1</m:t>
            </m:r>
          </m:sub>
          <m:sup>
            <m:r>
              <m:t>M</m:t>
            </m:r>
          </m:sup>
          <m:e>
            <m:sSub>
              <m:e>
                <m:r>
                  <m:t>g</m:t>
                </m:r>
              </m:e>
              <m:sub>
                <m:r>
                  <m:t>m</m:t>
                </m:r>
              </m:sub>
            </m:sSub>
          </m:e>
        </m:nary>
        <m:d>
          <m:dPr>
            <m:begChr m:val="("/>
            <m:sepChr m:val=""/>
            <m:endChr m:val=")"/>
            <m:grow/>
          </m:dPr>
          <m:e>
            <m:r>
              <m:rPr>
                <m:sty m:val="b"/>
              </m:rPr>
              <m:t>x</m:t>
            </m:r>
          </m:e>
        </m:d>
        <m:r>
          <m:rPr>
            <m:sty m:val="p"/>
          </m:rPr>
          <m:t>,</m:t>
        </m:r>
        <m:r>
          <m:t>  </m:t>
        </m:r>
        <m:r>
          <m:rPr>
            <m:scr m:val="script"/>
            <m:sty m:val="p"/>
          </m:rPr>
          <m:t>L</m:t>
        </m:r>
        <m:r>
          <m:rPr>
            <m:sty m:val="p"/>
          </m:rPr>
          <m:t>=</m:t>
        </m:r>
        <m:nary>
          <m:naryPr>
            <m:chr m:val="∑"/>
            <m:limLoc m:val="undOvr"/>
            <m:subHide m:val="off"/>
            <m:supHide m:val="on"/>
          </m:naryPr>
          <m:sub>
            <m:r>
              <m:t>n</m:t>
            </m:r>
          </m:sub>
          <m:sup>
            <m:r>
              <m:t>​</m:t>
            </m:r>
          </m:sup>
          <m:e>
            <m:r>
              <m:rPr>
                <m:sty m:val="p"/>
              </m:rPr>
              <m:t>ℓ</m:t>
            </m:r>
          </m:e>
        </m:nary>
        <m:d>
          <m:dPr>
            <m:begChr m:val="("/>
            <m:sepChr m:val=""/>
            <m:endChr m:val=")"/>
            <m:grow/>
          </m:dPr>
          <m:e>
            <m:sSub>
              <m:e>
                <m:r>
                  <m:t>y</m:t>
                </m:r>
              </m:e>
              <m:sub>
                <m:r>
                  <m:t>n</m:t>
                </m:r>
              </m:sub>
            </m:sSub>
            <m:r>
              <m:rPr>
                <m:sty m:val="p"/>
              </m:rPr>
              <m:t>,</m:t>
            </m:r>
            <m:sSub>
              <m:e>
                <m:acc>
                  <m:accPr>
                    <m:chr m:val="̂"/>
                  </m:accPr>
                  <m:e>
                    <m:r>
                      <m:t>y</m:t>
                    </m:r>
                  </m:e>
                </m:acc>
              </m:e>
              <m:sub>
                <m:r>
                  <m:t>n</m:t>
                </m:r>
              </m:sub>
            </m:sSub>
          </m:e>
        </m:d>
        <m:r>
          <m:rPr>
            <m:sty m:val="p"/>
          </m:rPr>
          <m:t>+</m:t>
        </m:r>
        <m:nary>
          <m:naryPr>
            <m:chr m:val="∑"/>
            <m:limLoc m:val="undOvr"/>
            <m:subHide m:val="off"/>
            <m:supHide m:val="off"/>
          </m:naryPr>
          <m:sub>
            <m:r>
              <m:t>m</m:t>
            </m:r>
            <m:r>
              <m:rPr>
                <m:sty m:val="p"/>
              </m:rPr>
              <m:t>=</m:t>
            </m:r>
            <m:r>
              <m:t>1</m:t>
            </m:r>
          </m:sub>
          <m:sup>
            <m:r>
              <m:t>M</m:t>
            </m:r>
          </m:sup>
          <m:e>
            <m:r>
              <m:t>Ω</m:t>
            </m:r>
          </m:e>
        </m:nary>
        <m:d>
          <m:dPr>
            <m:begChr m:val="("/>
            <m:sepChr m:val=""/>
            <m:endChr m:val=")"/>
            <m:grow/>
          </m:dPr>
          <m:e>
            <m:sSub>
              <m:e>
                <m:r>
                  <m:t>g</m:t>
                </m:r>
              </m:e>
              <m:sub>
                <m:r>
                  <m:t>m</m:t>
                </m:r>
              </m:sub>
            </m:sSub>
          </m:e>
        </m:d>
        <m:r>
          <m:rPr>
            <m:sty m:val="p"/>
          </m:rPr>
          <m:t>,</m:t>
        </m:r>
        <m:r>
          <m:t> </m:t>
        </m:r>
        <m:r>
          <m:t>Ω</m:t>
        </m:r>
        <m:d>
          <m:dPr>
            <m:begChr m:val="("/>
            <m:sepChr m:val=""/>
            <m:endChr m:val=")"/>
            <m:grow/>
          </m:dPr>
          <m:e>
            <m:r>
              <m:t>g</m:t>
            </m:r>
          </m:e>
        </m:d>
        <m:r>
          <m:rPr>
            <m:sty m:val="p"/>
          </m:rPr>
          <m:t>=</m:t>
        </m:r>
        <m:r>
          <m:t>γ</m:t>
        </m:r>
        <m:sSub>
          <m:e>
            <m:r>
              <m:t>J</m:t>
            </m:r>
          </m:e>
          <m:sub>
            <m:r>
              <m:t>g</m:t>
            </m:r>
          </m:sub>
        </m:sSub>
        <m:r>
          <m:rPr>
            <m:sty m:val="p"/>
          </m:rPr>
          <m:t>+</m:t>
        </m:r>
        <m:f>
          <m:fPr>
            <m:type m:val="lin"/>
          </m:fPr>
          <m:num>
            <m:r>
              <m:t>1</m:t>
            </m:r>
          </m:num>
          <m:den>
            <m:r>
              <m:t>2</m:t>
            </m:r>
          </m:den>
        </m:f>
        <m:r>
          <m:t>λ</m:t>
        </m:r>
        <m:r>
          <m:rPr>
            <m:sty m:val="p"/>
          </m:rPr>
          <m:t>∥</m:t>
        </m:r>
        <m:sSub>
          <m:e>
            <m:r>
              <m:rPr>
                <m:sty m:val="b"/>
              </m:rPr>
              <m:t>w</m:t>
            </m:r>
          </m:e>
          <m:sub>
            <m:r>
              <m:t>g</m:t>
            </m:r>
          </m:sub>
        </m:sSub>
        <m:sSubSup>
          <m:e>
            <m:r>
              <m:rPr>
                <m:sty m:val="p"/>
              </m:rPr>
              <m:t>∥</m:t>
            </m:r>
          </m:e>
          <m:sub>
            <m:r>
              <m:t>2</m:t>
            </m:r>
          </m:sub>
          <m:sup>
            <m:r>
              <m:t>2</m:t>
            </m:r>
          </m:sup>
        </m:sSubSup>
      </m:oMath>
      <w:r>
        <w:tab/>
        <w:t>(3.18)</w:t>
      </w:r>
    </w:p>
    <w:p>
      <w:pPr>
        <w:keepLines w:val="0"/>
        <w:spacing w:after="120"/>
        <w:ind w:firstLine="567"/>
      </w:pPr>
      <w:r>
        <w:t xml:space="preserve">XGBoost bổ sung vào hàm mục tiêu số hạng điều chuẩn phạt số lá J và độ lớn trọng số lá w, đồng thời dùng xấp xỉ bậc hai của hàm mất mát khi tìm điểm tách (Chen và Guestrin, 2016). Mô hình dùng XGBRegressor với n_estimators = 450, max_depth = 8, learning_rate = 0,05, subsample = 0,8, colsample_bytree = 0,8, objective = reg:squarederror và tree_method = hist được đặt tường minh. LightGBM phát triển cây theo lá (leaf-wise) trên biểu đồ tần suất (histogram) của đặc trưng (Ke và cộng sự, 2017), nên độ phức tạp được giới hạn chủ yếu bởi số lá; mô hình dùng LGBMRegressor với n_estimators = 450, num_leaves = 63, learning_rate = 0,05, subsample = 0,85, subsample_freq = 1 và colsample_bytree = 0,85. Trong LightGBM, subsample chỉ có hiệu lực khi subsample_freq lớn hơn 0; vì vậy subsample_freq = 1 được đặt tường minh để việc lấy mẫu dòng theo tỷ lệ subsample = 0,85 thực sự được thực hiện ở mọi vòng lặp. Ảnh hưởng của lựa chọn này được đo riêng trong thí nghiệm độ nhạy ở mục 4.15. Januschowski và cộng sự (2022) và Makridakis và cộng sự (2022) đều ghi nhận vị thế mạnh của cây tăng cường trong dự báo bán lẻ.</w:t>
      </w:r>
    </w:p>
    <w:p>
      <w:pPr>
        <w:pStyle w:val="Heading3"/>
        <w:keepNext/>
      </w:pPr>
      <w:r>
        <w:t xml:space="preserve">3.7.3. Bảng cấu hình và quy mô dữ liệu huấn luyện</w:t>
      </w:r>
    </w:p>
    <w:p>
      <w:pPr>
        <w:keepLines w:val="0"/>
        <w:spacing w:after="120"/>
        <w:ind w:firstLine="567"/>
      </w:pPr>
      <w:r>
        <w:t xml:space="preserve">Bảng 3.6 tổng hợp cấu hình của năm mô hình như được khai báo trong hàm make_model của 04_train_compare_5_models.py, cùng số dòng mà mỗi mô hình thực sự được thấy khi huấn luyện, lấy từ cột train_rows của các tệp kết quả. Điểm khác biệt đáng chú ý nhất không nằm ở tham số mà ở dữ liệu: chỉ Random Forest bị giới hạn, được huấn luyện trên một mẫu ngẫu nhiên 600.000 dòng lấy bằng sample(600000, random_state = 42) khi cửa sổ huấn luyện lớn hơn mức này, còn Ridge, XGBoost và LightGBM dùng toàn bộ cửa sổ, như ở (3.19). Giới hạn được giữ cho Random Forest vì lý do chi phí tính toán: ngay cả với 600.000 dòng, mỗi lần huấn luyện Random Forest trong kiểm định chéo mất từ 600,0 đến 619,8 giây trên 2 CPU (trung bình 612,65 giây), trong khi XGBoost trên toàn bộ cửa sổ chỉ mất từ 55,0 đến 81,6 giây và LightGBM từ 41,0 đến 44,3 giây. Lý do giữ toàn bộ dữ liệu cho ba mô hình còn lại là để các mô hình tăng cường được so sánh trong cùng điều kiện dữ liệu. Việc đánh giá luôn thực hiện trên toàn bộ cửa sổ kiểm định hoặc tập kiểm tra cuối.</w:t>
      </w:r>
    </w:p>
    <w:p>
      <w:pPr>
        <w:keepNext/>
        <w:spacing w:before="120" w:after="60"/>
        <w:ind w:firstLine="0"/>
        <w:jc w:val="center"/>
      </w:pPr>
      <w:r>
        <w:t xml:space="preserve">Bảng 3.6. Cấu hình năm mô hình dự báo, số dòng và thời gian huấn luyện trong lần chạy chính thức</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841"/>
        <w:gridCol w:w="1471"/>
        <w:gridCol w:w="2303"/>
        <w:gridCol w:w="963"/>
        <w:gridCol w:w="1796"/>
        <w:gridCol w:w="1697"/>
      </w:tblGrid>
      <w:tr>
        <w:trPr>
          <w:tblHeader/>
          <w:cantSplit/>
        </w:trPr>
        <w:tc>
          <w:tcPr>
            <w:tcW w:type="dxa" w:w="841"/>
            <w:shd w:val="clear" w:color="auto" w:fill="D9E2F3"/>
            <w:vAlign w:val="center"/>
          </w:tcPr>
          <w:p>
            <w:pPr>
              <w:spacing w:before="20" w:after="20" w:line="260" w:lineRule="auto"/>
              <w:ind w:firstLine="0"/>
              <w:jc w:val="center"/>
            </w:pPr>
            <w:r>
              <w:rPr>
                <w:b/>
                <w:sz w:val="20"/>
                <w:szCs w:val="20"/>
              </w:rPr>
              <w:t xml:space="preserve">Mô hình</w:t>
            </w:r>
          </w:p>
        </w:tc>
        <w:tc>
          <w:tcPr>
            <w:tcW w:type="dxa" w:w="1471"/>
            <w:shd w:val="clear" w:color="auto" w:fill="D9E2F3"/>
            <w:vAlign w:val="center"/>
          </w:tcPr>
          <w:p>
            <w:pPr>
              <w:spacing w:before="20" w:after="20" w:line="260" w:lineRule="auto"/>
              <w:ind w:firstLine="0"/>
              <w:jc w:val="center"/>
            </w:pPr>
            <w:r>
              <w:rPr>
                <w:b/>
                <w:sz w:val="20"/>
                <w:szCs w:val="20"/>
              </w:rPr>
              <w:t xml:space="preserve">Nguyên lý</w:t>
            </w:r>
          </w:p>
        </w:tc>
        <w:tc>
          <w:tcPr>
            <w:tcW w:type="dxa" w:w="2303"/>
            <w:shd w:val="clear" w:color="auto" w:fill="D9E2F3"/>
            <w:vAlign w:val="center"/>
          </w:tcPr>
          <w:p>
            <w:pPr>
              <w:spacing w:before="20" w:after="20" w:line="260" w:lineRule="auto"/>
              <w:ind w:firstLine="0"/>
              <w:jc w:val="center"/>
            </w:pPr>
            <w:r>
              <w:rPr>
                <w:b/>
                <w:sz w:val="20"/>
                <w:szCs w:val="20"/>
              </w:rPr>
              <w:t xml:space="preserve">Tham số chính (theo mã nguồn)</w:t>
            </w:r>
          </w:p>
        </w:tc>
        <w:tc>
          <w:tcPr>
            <w:tcW w:type="dxa" w:w="963"/>
            <w:shd w:val="clear" w:color="auto" w:fill="D9E2F3"/>
            <w:vAlign w:val="center"/>
          </w:tcPr>
          <w:p>
            <w:pPr>
              <w:spacing w:before="20" w:after="20" w:line="260" w:lineRule="auto"/>
              <w:ind w:firstLine="0"/>
              <w:jc w:val="center"/>
            </w:pPr>
            <w:r>
              <w:rPr>
                <w:b/>
                <w:sz w:val="20"/>
                <w:szCs w:val="20"/>
              </w:rPr>
              <w:t xml:space="preserve">Đầu vào</w:t>
            </w:r>
          </w:p>
        </w:tc>
        <w:tc>
          <w:tcPr>
            <w:tcW w:type="dxa" w:w="1796"/>
            <w:shd w:val="clear" w:color="auto" w:fill="D9E2F3"/>
            <w:vAlign w:val="center"/>
          </w:tcPr>
          <w:p>
            <w:pPr>
              <w:spacing w:before="20" w:after="20" w:line="260" w:lineRule="auto"/>
              <w:ind w:firstLine="0"/>
              <w:jc w:val="center"/>
            </w:pPr>
            <w:r>
              <w:rPr>
                <w:b/>
                <w:sz w:val="20"/>
                <w:szCs w:val="20"/>
              </w:rPr>
              <w:t xml:space="preserve">Số dòng huấn luyện (lần 1 / lần 2 / lần 3 / mô hình cuối)</w:t>
            </w:r>
          </w:p>
        </w:tc>
        <w:tc>
          <w:tcPr>
            <w:tcW w:type="dxa" w:w="1697"/>
            <w:shd w:val="clear" w:color="auto" w:fill="D9E2F3"/>
            <w:vAlign w:val="center"/>
          </w:tcPr>
          <w:p>
            <w:pPr>
              <w:spacing w:before="20" w:after="20" w:line="260" w:lineRule="auto"/>
              <w:ind w:firstLine="0"/>
              <w:jc w:val="center"/>
            </w:pPr>
            <w:r>
              <w:rPr>
                <w:b/>
                <w:sz w:val="20"/>
                <w:szCs w:val="20"/>
              </w:rPr>
              <w:t xml:space="preserve">Thời gian huấn luyện, giây (lần 1 / lần 2 / lần 3 / mô hình cuối)</w:t>
            </w:r>
          </w:p>
        </w:tc>
      </w:tr>
      <w:tr>
        <w:trPr>
          <w:cantSplit/>
        </w:trPr>
        <w:tc>
          <w:tcPr>
            <w:tcW w:type="dxa" w:w="841"/>
            <w:vAlign w:val="center"/>
          </w:tcPr>
          <w:p>
            <w:pPr>
              <w:spacing w:before="20" w:after="20" w:line="260" w:lineRule="auto"/>
              <w:ind w:firstLine="0"/>
              <w:jc w:val="left"/>
            </w:pPr>
            <w:r>
              <w:rPr>
                <w:sz w:val="20"/>
                <w:szCs w:val="20"/>
              </w:rPr>
              <w:t xml:space="preserve">Seasonal Naive</w:t>
            </w:r>
          </w:p>
        </w:tc>
        <w:tc>
          <w:tcPr>
            <w:tcW w:type="dxa" w:w="1471"/>
            <w:vAlign w:val="center"/>
          </w:tcPr>
          <w:p>
            <w:pPr>
              <w:spacing w:before="20" w:after="20" w:line="260" w:lineRule="auto"/>
              <w:ind w:firstLine="0"/>
              <w:jc w:val="left"/>
            </w:pPr>
            <w:r>
              <w:rPr>
                <w:sz w:val="20"/>
                <w:szCs w:val="20"/>
              </w:rPr>
              <w:t xml:space="preserve">Đường cơ sở mùa vụ tuần, cố định gốc dự báo</w:t>
            </w:r>
          </w:p>
        </w:tc>
        <w:tc>
          <w:tcPr>
            <w:tcW w:type="dxa" w:w="2303"/>
            <w:vAlign w:val="center"/>
          </w:tcPr>
          <w:p>
            <w:pPr>
              <w:spacing w:before="20" w:after="20" w:line="260" w:lineRule="auto"/>
              <w:ind w:firstLine="0"/>
              <w:jc w:val="left"/>
            </w:pPr>
            <w:r>
              <w:rPr>
                <w:sz w:val="20"/>
                <w:szCs w:val="20"/>
              </w:rPr>
              <w:t xml:space="preserve">Không huấn luyện; lag_7 (h = 1–7), lag_14 (h = 8–14), lag_21 (h = 15–16)</w:t>
            </w:r>
          </w:p>
        </w:tc>
        <w:tc>
          <w:tcPr>
            <w:tcW w:type="dxa" w:w="963"/>
            <w:vAlign w:val="center"/>
          </w:tcPr>
          <w:p>
            <w:pPr>
              <w:spacing w:before="20" w:after="20" w:line="260" w:lineRule="auto"/>
              <w:ind w:firstLine="0"/>
              <w:jc w:val="left"/>
            </w:pPr>
            <w:r>
              <w:rPr>
                <w:sz w:val="20"/>
                <w:szCs w:val="20"/>
              </w:rPr>
              <w:t xml:space="preserve">lag_7, lag_14, lag_21</w:t>
            </w:r>
          </w:p>
        </w:tc>
        <w:tc>
          <w:tcPr>
            <w:tcW w:type="dxa" w:w="1796"/>
            <w:vAlign w:val="center"/>
          </w:tcPr>
          <w:p>
            <w:pPr>
              <w:spacing w:before="20" w:after="20" w:line="260" w:lineRule="auto"/>
              <w:ind w:firstLine="0"/>
              <w:jc w:val="left"/>
            </w:pPr>
            <w:r>
              <w:rPr>
                <w:sz w:val="20"/>
                <w:szCs w:val="20"/>
              </w:rPr>
              <w:t xml:space="preserve">0 (không huấn luyện)</w:t>
            </w:r>
          </w:p>
        </w:tc>
        <w:tc>
          <w:tcPr>
            <w:tcW w:type="dxa" w:w="1697"/>
            <w:vAlign w:val="center"/>
          </w:tcPr>
          <w:p>
            <w:pPr>
              <w:spacing w:before="20" w:after="20" w:line="260" w:lineRule="auto"/>
              <w:ind w:firstLine="0"/>
              <w:jc w:val="left"/>
            </w:pPr>
            <w:r>
              <w:rPr>
                <w:sz w:val="20"/>
                <w:szCs w:val="20"/>
              </w:rPr>
              <w:t xml:space="preserve">0,0 / 0,0 / 0,0 / –</w:t>
            </w:r>
          </w:p>
        </w:tc>
      </w:tr>
      <w:tr>
        <w:trPr>
          <w:cantSplit/>
        </w:trPr>
        <w:tc>
          <w:tcPr>
            <w:tcW w:type="dxa" w:w="841"/>
            <w:vAlign w:val="center"/>
          </w:tcPr>
          <w:p>
            <w:pPr>
              <w:spacing w:before="20" w:after="20" w:line="260" w:lineRule="auto"/>
              <w:ind w:firstLine="0"/>
              <w:jc w:val="left"/>
            </w:pPr>
            <w:r>
              <w:rPr>
                <w:sz w:val="20"/>
                <w:szCs w:val="20"/>
              </w:rPr>
              <w:t xml:space="preserve">Ridge Regression</w:t>
            </w:r>
          </w:p>
        </w:tc>
        <w:tc>
          <w:tcPr>
            <w:tcW w:type="dxa" w:w="1471"/>
            <w:vAlign w:val="center"/>
          </w:tcPr>
          <w:p>
            <w:pPr>
              <w:spacing w:before="20" w:after="20" w:line="260" w:lineRule="auto"/>
              <w:ind w:firstLine="0"/>
              <w:jc w:val="left"/>
            </w:pPr>
            <w:r>
              <w:rPr>
                <w:sz w:val="20"/>
                <w:szCs w:val="20"/>
              </w:rPr>
              <w:t xml:space="preserve">Hồi quy tuyến tính, điều chuẩn L2</w:t>
            </w:r>
          </w:p>
        </w:tc>
        <w:tc>
          <w:tcPr>
            <w:tcW w:type="dxa" w:w="2303"/>
            <w:vAlign w:val="center"/>
          </w:tcPr>
          <w:p>
            <w:pPr>
              <w:spacing w:before="20" w:after="20" w:line="260" w:lineRule="auto"/>
              <w:ind w:firstLine="0"/>
              <w:jc w:val="left"/>
            </w:pPr>
            <w:r>
              <w:rPr>
                <w:sz w:val="20"/>
                <w:szCs w:val="20"/>
              </w:rPr>
              <w:t xml:space="preserve">StandardScaler + Ridge(alpha = 1,0)</w:t>
            </w:r>
          </w:p>
        </w:tc>
        <w:tc>
          <w:tcPr>
            <w:tcW w:type="dxa" w:w="963"/>
            <w:vAlign w:val="center"/>
          </w:tcPr>
          <w:p>
            <w:pPr>
              <w:spacing w:before="20" w:after="20" w:line="260" w:lineRule="auto"/>
              <w:ind w:firstLine="0"/>
              <w:jc w:val="left"/>
            </w:pPr>
            <w:r>
              <w:rPr>
                <w:sz w:val="20"/>
                <w:szCs w:val="20"/>
              </w:rPr>
              <w:t xml:space="preserve">29 đặc trưng</w:t>
            </w:r>
          </w:p>
        </w:tc>
        <w:tc>
          <w:tcPr>
            <w:tcW w:type="dxa" w:w="1796"/>
            <w:vAlign w:val="center"/>
          </w:tcPr>
          <w:p>
            <w:pPr>
              <w:spacing w:before="20" w:after="20" w:line="260" w:lineRule="auto"/>
              <w:ind w:firstLine="0"/>
              <w:jc w:val="center"/>
            </w:pPr>
            <w:r>
              <w:rPr>
                <w:sz w:val="20"/>
                <w:szCs w:val="20"/>
              </w:rPr>
              <w:t xml:space="preserve">2.575.452 / 2.603.964 / 2.632.476 / 2.660.988</w:t>
            </w:r>
          </w:p>
        </w:tc>
        <w:tc>
          <w:tcPr>
            <w:tcW w:type="dxa" w:w="1697"/>
            <w:vAlign w:val="center"/>
          </w:tcPr>
          <w:p>
            <w:pPr>
              <w:spacing w:before="20" w:after="20" w:line="260" w:lineRule="auto"/>
              <w:ind w:firstLine="0"/>
              <w:jc w:val="center"/>
            </w:pPr>
            <w:r>
              <w:rPr>
                <w:sz w:val="20"/>
                <w:szCs w:val="20"/>
              </w:rPr>
              <w:t xml:space="preserve">2,1 / 2,1 / 2,2 / 2,2</w:t>
            </w:r>
          </w:p>
        </w:tc>
      </w:tr>
      <w:tr>
        <w:trPr>
          <w:cantSplit/>
        </w:trPr>
        <w:tc>
          <w:tcPr>
            <w:tcW w:type="dxa" w:w="841"/>
            <w:vAlign w:val="center"/>
          </w:tcPr>
          <w:p>
            <w:pPr>
              <w:spacing w:before="20" w:after="20" w:line="260" w:lineRule="auto"/>
              <w:ind w:firstLine="0"/>
              <w:jc w:val="left"/>
            </w:pPr>
            <w:r>
              <w:rPr>
                <w:sz w:val="20"/>
                <w:szCs w:val="20"/>
              </w:rPr>
              <w:t xml:space="preserve">Random Forest</w:t>
            </w:r>
          </w:p>
        </w:tc>
        <w:tc>
          <w:tcPr>
            <w:tcW w:type="dxa" w:w="1471"/>
            <w:vAlign w:val="center"/>
          </w:tcPr>
          <w:p>
            <w:pPr>
              <w:spacing w:before="20" w:after="20" w:line="260" w:lineRule="auto"/>
              <w:ind w:firstLine="0"/>
              <w:jc w:val="left"/>
            </w:pPr>
            <w:r>
              <w:rPr>
                <w:sz w:val="20"/>
                <w:szCs w:val="20"/>
              </w:rPr>
              <w:t xml:space="preserve">Bagging cây hồi quy (max_features mặc định = 1,0)</w:t>
            </w:r>
          </w:p>
        </w:tc>
        <w:tc>
          <w:tcPr>
            <w:tcW w:type="dxa" w:w="2303"/>
            <w:vAlign w:val="center"/>
          </w:tcPr>
          <w:p>
            <w:pPr>
              <w:spacing w:before="20" w:after="20" w:line="260" w:lineRule="auto"/>
              <w:ind w:firstLine="0"/>
              <w:jc w:val="left"/>
            </w:pPr>
            <w:r>
              <w:rPr>
                <w:sz w:val="20"/>
                <w:szCs w:val="20"/>
              </w:rPr>
              <w:t xml:space="preserve">n_estimators = 120; max_depth = 18; min_samples_leaf = 3; n_jobs = −1</w:t>
            </w:r>
          </w:p>
        </w:tc>
        <w:tc>
          <w:tcPr>
            <w:tcW w:type="dxa" w:w="963"/>
            <w:vAlign w:val="center"/>
          </w:tcPr>
          <w:p>
            <w:pPr>
              <w:spacing w:before="20" w:after="20" w:line="260" w:lineRule="auto"/>
              <w:ind w:firstLine="0"/>
              <w:jc w:val="left"/>
            </w:pPr>
            <w:r>
              <w:rPr>
                <w:sz w:val="20"/>
                <w:szCs w:val="20"/>
              </w:rPr>
              <w:t xml:space="preserve">29 đặc trưng</w:t>
            </w:r>
          </w:p>
        </w:tc>
        <w:tc>
          <w:tcPr>
            <w:tcW w:type="dxa" w:w="1796"/>
            <w:vAlign w:val="center"/>
          </w:tcPr>
          <w:p>
            <w:pPr>
              <w:spacing w:before="20" w:after="20" w:line="260" w:lineRule="auto"/>
              <w:ind w:firstLine="0"/>
              <w:jc w:val="left"/>
            </w:pPr>
            <w:r>
              <w:rPr>
                <w:sz w:val="20"/>
                <w:szCs w:val="20"/>
              </w:rPr>
              <w:t xml:space="preserve">600.000 / 600.000 / 600.000 / 600.000 (mẫu ngẫu nhiên, random_state = 42)</w:t>
            </w:r>
          </w:p>
        </w:tc>
        <w:tc>
          <w:tcPr>
            <w:tcW w:type="dxa" w:w="1697"/>
            <w:vAlign w:val="center"/>
          </w:tcPr>
          <w:p>
            <w:pPr>
              <w:spacing w:before="20" w:after="20" w:line="260" w:lineRule="auto"/>
              <w:ind w:firstLine="0"/>
              <w:jc w:val="center"/>
            </w:pPr>
            <w:r>
              <w:rPr>
                <w:sz w:val="20"/>
                <w:szCs w:val="20"/>
              </w:rPr>
              <w:t xml:space="preserve">618,2 / 600,0 / 619,8 / 625,8</w:t>
            </w:r>
          </w:p>
        </w:tc>
      </w:tr>
      <w:tr>
        <w:trPr>
          <w:cantSplit/>
        </w:trPr>
        <w:tc>
          <w:tcPr>
            <w:tcW w:type="dxa" w:w="841"/>
            <w:vAlign w:val="center"/>
          </w:tcPr>
          <w:p>
            <w:pPr>
              <w:spacing w:before="20" w:after="20" w:line="260" w:lineRule="auto"/>
              <w:ind w:firstLine="0"/>
              <w:jc w:val="left"/>
            </w:pPr>
            <w:r>
              <w:rPr>
                <w:sz w:val="20"/>
                <w:szCs w:val="20"/>
              </w:rPr>
              <w:t xml:space="preserve">XGBoost</w:t>
            </w:r>
          </w:p>
        </w:tc>
        <w:tc>
          <w:tcPr>
            <w:tcW w:type="dxa" w:w="1471"/>
            <w:vAlign w:val="center"/>
          </w:tcPr>
          <w:p>
            <w:pPr>
              <w:spacing w:before="20" w:after="20" w:line="260" w:lineRule="auto"/>
              <w:ind w:firstLine="0"/>
              <w:jc w:val="left"/>
            </w:pPr>
            <w:r>
              <w:rPr>
                <w:sz w:val="20"/>
                <w:szCs w:val="20"/>
              </w:rPr>
              <w:t xml:space="preserve">Gradient boosting có điều chuẩn</w:t>
            </w:r>
          </w:p>
        </w:tc>
        <w:tc>
          <w:tcPr>
            <w:tcW w:type="dxa" w:w="2303"/>
            <w:vAlign w:val="center"/>
          </w:tcPr>
          <w:p>
            <w:pPr>
              <w:spacing w:before="20" w:after="20" w:line="260" w:lineRule="auto"/>
              <w:ind w:firstLine="0"/>
              <w:jc w:val="left"/>
            </w:pPr>
            <w:r>
              <w:rPr>
                <w:sz w:val="20"/>
                <w:szCs w:val="20"/>
              </w:rPr>
              <w:t xml:space="preserve">n_estimators = 450; max_depth = 8; learning_rate = 0,05; subsample = 0,8; colsample_bytree = 0,8; objective = reg:squarederror; tree_method = hist</w:t>
            </w:r>
          </w:p>
        </w:tc>
        <w:tc>
          <w:tcPr>
            <w:tcW w:type="dxa" w:w="963"/>
            <w:vAlign w:val="center"/>
          </w:tcPr>
          <w:p>
            <w:pPr>
              <w:spacing w:before="20" w:after="20" w:line="260" w:lineRule="auto"/>
              <w:ind w:firstLine="0"/>
              <w:jc w:val="left"/>
            </w:pPr>
            <w:r>
              <w:rPr>
                <w:sz w:val="20"/>
                <w:szCs w:val="20"/>
              </w:rPr>
              <w:t xml:space="preserve">29 đặc trưng</w:t>
            </w:r>
          </w:p>
        </w:tc>
        <w:tc>
          <w:tcPr>
            <w:tcW w:type="dxa" w:w="1796"/>
            <w:vAlign w:val="center"/>
          </w:tcPr>
          <w:p>
            <w:pPr>
              <w:spacing w:before="20" w:after="20" w:line="260" w:lineRule="auto"/>
              <w:ind w:firstLine="0"/>
              <w:jc w:val="center"/>
            </w:pPr>
            <w:r>
              <w:rPr>
                <w:sz w:val="20"/>
                <w:szCs w:val="20"/>
              </w:rPr>
              <w:t xml:space="preserve">2.575.452 / 2.603.964 / 2.632.476 / 2.660.988</w:t>
            </w:r>
          </w:p>
        </w:tc>
        <w:tc>
          <w:tcPr>
            <w:tcW w:type="dxa" w:w="1697"/>
            <w:vAlign w:val="center"/>
          </w:tcPr>
          <w:p>
            <w:pPr>
              <w:spacing w:before="20" w:after="20" w:line="260" w:lineRule="auto"/>
              <w:ind w:firstLine="0"/>
              <w:jc w:val="center"/>
            </w:pPr>
            <w:r>
              <w:rPr>
                <w:sz w:val="20"/>
                <w:szCs w:val="20"/>
              </w:rPr>
              <w:t xml:space="preserve">55,0 / 81,6 / 59,4 / 55,7</w:t>
            </w:r>
          </w:p>
        </w:tc>
      </w:tr>
      <w:tr>
        <w:trPr>
          <w:cantSplit/>
        </w:trPr>
        <w:tc>
          <w:tcPr>
            <w:tcW w:type="dxa" w:w="841"/>
            <w:vAlign w:val="center"/>
          </w:tcPr>
          <w:p>
            <w:pPr>
              <w:spacing w:before="20" w:after="20" w:line="260" w:lineRule="auto"/>
              <w:ind w:firstLine="0"/>
              <w:jc w:val="left"/>
            </w:pPr>
            <w:r>
              <w:rPr>
                <w:sz w:val="20"/>
                <w:szCs w:val="20"/>
              </w:rPr>
              <w:t xml:space="preserve">LightGBM</w:t>
            </w:r>
          </w:p>
        </w:tc>
        <w:tc>
          <w:tcPr>
            <w:tcW w:type="dxa" w:w="1471"/>
            <w:vAlign w:val="center"/>
          </w:tcPr>
          <w:p>
            <w:pPr>
              <w:spacing w:before="20" w:after="20" w:line="260" w:lineRule="auto"/>
              <w:ind w:firstLine="0"/>
              <w:jc w:val="left"/>
            </w:pPr>
            <w:r>
              <w:rPr>
                <w:sz w:val="20"/>
                <w:szCs w:val="20"/>
              </w:rPr>
              <w:t xml:space="preserve">Gradient boosting phát triển theo lá</w:t>
            </w:r>
          </w:p>
        </w:tc>
        <w:tc>
          <w:tcPr>
            <w:tcW w:type="dxa" w:w="2303"/>
            <w:vAlign w:val="center"/>
          </w:tcPr>
          <w:p>
            <w:pPr>
              <w:spacing w:before="20" w:after="20" w:line="260" w:lineRule="auto"/>
              <w:ind w:firstLine="0"/>
              <w:jc w:val="left"/>
            </w:pPr>
            <w:r>
              <w:rPr>
                <w:sz w:val="20"/>
                <w:szCs w:val="20"/>
              </w:rPr>
              <w:t xml:space="preserve">n_estimators = 450; num_leaves = 63; learning_rate = 0,05; subsample = 0,85; subsample_freq = 1; colsample_bytree = 0,85</w:t>
            </w:r>
          </w:p>
        </w:tc>
        <w:tc>
          <w:tcPr>
            <w:tcW w:type="dxa" w:w="963"/>
            <w:vAlign w:val="center"/>
          </w:tcPr>
          <w:p>
            <w:pPr>
              <w:spacing w:before="20" w:after="20" w:line="260" w:lineRule="auto"/>
              <w:ind w:firstLine="0"/>
              <w:jc w:val="left"/>
            </w:pPr>
            <w:r>
              <w:rPr>
                <w:sz w:val="20"/>
                <w:szCs w:val="20"/>
              </w:rPr>
              <w:t xml:space="preserve">29 đặc trưng</w:t>
            </w:r>
          </w:p>
        </w:tc>
        <w:tc>
          <w:tcPr>
            <w:tcW w:type="dxa" w:w="1796"/>
            <w:vAlign w:val="center"/>
          </w:tcPr>
          <w:p>
            <w:pPr>
              <w:spacing w:before="20" w:after="20" w:line="260" w:lineRule="auto"/>
              <w:ind w:firstLine="0"/>
              <w:jc w:val="center"/>
            </w:pPr>
            <w:r>
              <w:rPr>
                <w:sz w:val="20"/>
                <w:szCs w:val="20"/>
              </w:rPr>
              <w:t xml:space="preserve">2.575.452 / 2.603.964 / 2.632.476 / 2.660.988</w:t>
            </w:r>
          </w:p>
        </w:tc>
        <w:tc>
          <w:tcPr>
            <w:tcW w:type="dxa" w:w="1697"/>
            <w:vAlign w:val="center"/>
          </w:tcPr>
          <w:p>
            <w:pPr>
              <w:spacing w:before="20" w:after="20" w:line="260" w:lineRule="auto"/>
              <w:ind w:firstLine="0"/>
              <w:jc w:val="center"/>
            </w:pPr>
            <w:r>
              <w:rPr>
                <w:sz w:val="20"/>
                <w:szCs w:val="20"/>
              </w:rPr>
              <w:t xml:space="preserve">41,0 / 44,3 / 43,7 / 44,5</w:t>
            </w:r>
          </w:p>
        </w:tc>
      </w:tr>
    </w:tbl>
    <w:p>
      <w:pPr>
        <w:spacing w:before="40" w:after="160"/>
        <w:ind w:firstLine="0"/>
      </w:pPr>
      <w:r>
        <w:rPr>
          <w:i/>
          <w:sz w:val="22"/>
          <w:szCs w:val="22"/>
        </w:rPr>
        <w:t xml:space="preserve">Nguồn: 04_train_compare_5_models.py, src/common.py, rolling_cv_metrics.csv và final_holdout_metrics.csv (cột train_rows và thời gian huấn luyện); tổng hợp của tác giả. SEED = 42 cho mọi thành phần ngẫu nhiên; dự báo được chặn ≥ 0; thời gian đo trên môi trường 2 CPU.</w:t>
      </w:r>
    </w:p>
    <w:p>
      <w:pPr>
        <w:tabs>
          <w:tab w:val="center" w:pos="4535"/>
          <w:tab w:val="right" w:pos="9071"/>
        </w:tabs>
        <w:spacing w:before="60" w:after="60"/>
        <w:ind w:firstLine="0"/>
      </w:pPr>
      <w:r>
        <w:tab/>
      </w:r>
      <m:oMath xmlns:a="http://schemas.openxmlformats.org/drawingml/2006/main" xmlns:pic="http://schemas.openxmlformats.org/drawingml/2006/picture">
        <m:sSubSup>
          <m:e>
            <m:r>
              <m:t>n</m:t>
            </m:r>
          </m:e>
          <m:sub>
            <m:r>
              <m:rPr>
                <m:sty m:val="p"/>
              </m:rPr>
              <m:t>t</m:t>
            </m:r>
            <m:r>
              <m:rPr>
                <m:sty m:val="p"/>
              </m:rPr>
              <m:t>r</m:t>
            </m:r>
            <m:r>
              <m:rPr>
                <m:sty m:val="p"/>
              </m:rPr>
              <m:t>a</m:t>
            </m:r>
            <m:r>
              <m:rPr>
                <m:sty m:val="p"/>
              </m:rPr>
              <m:t>i</m:t>
            </m:r>
            <m:r>
              <m:rPr>
                <m:sty m:val="p"/>
              </m:rPr>
              <m:t>n</m:t>
            </m:r>
          </m:sub>
          <m:sup>
            <m:d>
              <m:dPr>
                <m:begChr m:val="("/>
                <m:sepChr m:val=""/>
                <m:endChr m:val=")"/>
                <m:grow/>
              </m:dPr>
              <m:e>
                <m:r>
                  <m:t>m</m:t>
                </m:r>
              </m:e>
            </m:d>
          </m:sup>
        </m:sSubSup>
        <m:r>
          <m:rPr>
            <m:sty m:val="p"/>
          </m:rPr>
          <m:t>=</m:t>
        </m:r>
        <m:d>
          <m:dPr>
            <m:begChr m:val="{"/>
            <m:sepChr m:val=""/>
            <m:endChr m:val=""/>
            <m:grow/>
          </m:dPr>
          <m:e>
            <m:m>
              <m:mPr>
                <m:baseJc m:val="center"/>
                <m:plcHide m:val="on"/>
                <m:mcs>
                  <m:mc>
                    <m:mcPr>
                      <m:count m:val="1"/>
                      <m:mcJc m:val="left"/>
                    </m:mcPr>
                  </m:mc>
                  <m:mc>
                    <m:mcPr>
                      <m:count m:val="1"/>
                      <m:mcJc m:val="left"/>
                    </m:mcPr>
                  </m:mc>
                </m:mcs>
              </m:mPr>
              <m:mr>
                <m:e>
                  <m:r>
                    <m:rPr>
                      <m:sty m:val="p"/>
                    </m:rPr>
                    <m:t>min</m:t>
                  </m:r>
                  <m:d>
                    <m:dPr>
                      <m:begChr m:val="("/>
                      <m:sepChr m:val=""/>
                      <m:endChr m:val=")"/>
                      <m:grow/>
                    </m:dPr>
                    <m:e>
                      <m:r>
                        <m:t>n</m:t>
                      </m:r>
                      <m:r>
                        <m:rPr>
                          <m:sty m:val="p"/>
                        </m:rPr>
                        <m:t>,</m:t>
                      </m:r>
                      <m:r>
                        <m:t> </m:t>
                      </m:r>
                      <m:r>
                        <m:t>600</m:t>
                      </m:r>
                      <m:r>
                        <m:t> </m:t>
                      </m:r>
                      <m:r>
                        <m:t>000</m:t>
                      </m:r>
                    </m:e>
                  </m:d>
                  <m:r>
                    <m:rPr>
                      <m:sty m:val="p"/>
                    </m:rPr>
                    <m:t>,</m:t>
                  </m:r>
                </m:e>
                <m:e>
                  <m:r>
                    <m:t>m</m:t>
                  </m:r>
                  <m:r>
                    <m:rPr>
                      <m:sty m:val="p"/>
                    </m:rPr>
                    <m:t>=</m:t>
                  </m:r>
                  <m:r>
                    <m:rPr>
                      <m:sty m:val="p"/>
                    </m:rPr>
                    <m:t>R</m:t>
                  </m:r>
                  <m:r>
                    <m:rPr>
                      <m:sty m:val="p"/>
                    </m:rPr>
                    <m:t>F</m:t>
                  </m:r>
                  <m:r>
                    <m:rPr>
                      <m:sty m:val="p"/>
                    </m:rPr>
                    <m:t>,</m:t>
                  </m:r>
                </m:e>
              </m:mr>
              <m:mr>
                <m:e>
                  <m:r>
                    <m:t>n</m:t>
                  </m:r>
                  <m:r>
                    <m:rPr>
                      <m:sty m:val="p"/>
                    </m:rPr>
                    <m:t>,</m:t>
                  </m:r>
                </m:e>
                <m:e>
                  <m:r>
                    <m:t>m</m:t>
                  </m:r>
                  <m:r>
                    <m:rPr>
                      <m:sty m:val="p"/>
                    </m:rPr>
                    <m:t>∈</m:t>
                  </m:r>
                  <m:r>
                    <m:rPr>
                      <m:sty m:val="p"/>
                    </m:rPr>
                    <m:t>{</m:t>
                  </m:r>
                  <m:r>
                    <m:rPr>
                      <m:sty m:val="p"/>
                    </m:rPr>
                    <m:t>R</m:t>
                  </m:r>
                  <m:r>
                    <m:rPr>
                      <m:sty m:val="p"/>
                    </m:rPr>
                    <m:t>i</m:t>
                  </m:r>
                  <m:r>
                    <m:rPr>
                      <m:sty m:val="p"/>
                    </m:rPr>
                    <m:t>d</m:t>
                  </m:r>
                  <m:r>
                    <m:rPr>
                      <m:sty m:val="p"/>
                    </m:rPr>
                    <m:t>g</m:t>
                  </m:r>
                  <m:r>
                    <m:rPr>
                      <m:sty m:val="p"/>
                    </m:rPr>
                    <m:t>e</m:t>
                  </m:r>
                  <m:r>
                    <m:rPr>
                      <m:sty m:val="p"/>
                    </m:rPr>
                    <m:t>,</m:t>
                  </m:r>
                  <m:r>
                    <m:t> </m:t>
                  </m:r>
                  <m:r>
                    <m:rPr>
                      <m:sty m:val="p"/>
                    </m:rPr>
                    <m:t>X</m:t>
                  </m:r>
                  <m:r>
                    <m:rPr>
                      <m:sty m:val="p"/>
                    </m:rPr>
                    <m:t>G</m:t>
                  </m:r>
                  <m:r>
                    <m:rPr>
                      <m:sty m:val="p"/>
                    </m:rPr>
                    <m:t>B</m:t>
                  </m:r>
                  <m:r>
                    <m:rPr>
                      <m:sty m:val="p"/>
                    </m:rPr>
                    <m:t>,</m:t>
                  </m:r>
                  <m:r>
                    <m:t> </m:t>
                  </m:r>
                  <m:r>
                    <m:rPr>
                      <m:sty m:val="p"/>
                    </m:rPr>
                    <m:t>L</m:t>
                  </m:r>
                  <m:r>
                    <m:rPr>
                      <m:sty m:val="p"/>
                    </m:rPr>
                    <m:t>G</m:t>
                  </m:r>
                  <m:r>
                    <m:rPr>
                      <m:sty m:val="p"/>
                    </m:rPr>
                    <m:t>B</m:t>
                  </m:r>
                  <m:r>
                    <m:rPr>
                      <m:sty m:val="p"/>
                    </m:rPr>
                    <m:t>M</m:t>
                  </m:r>
                  <m:r>
                    <m:rPr>
                      <m:sty m:val="p"/>
                    </m:rPr>
                    <m:t>}</m:t>
                  </m:r>
                  <m:r>
                    <m:rPr>
                      <m:sty m:val="p"/>
                    </m:rPr>
                    <m:t>,</m:t>
                  </m:r>
                </m:e>
              </m:mr>
            </m:m>
          </m:e>
        </m:d>
        <m:r>
          <m:t>  </m:t>
        </m:r>
        <m:r>
          <m:t>n</m:t>
        </m:r>
        <m:r>
          <m:rPr>
            <m:sty m:val="p"/>
          </m:rPr>
          <m:t>=</m:t>
        </m:r>
        <m:r>
          <m:rPr>
            <m:nor/>
          </m:rPr>
          <m:t>số dòng của cửa sổ huấn luyện</m:t>
        </m:r>
      </m:oMath>
      <w:r>
        <w:tab/>
        <w:t>(3.19)</w:t>
      </w:r>
    </w:p>
    <w:p>
      <w:pPr>
        <w:keepLines w:val="0"/>
        <w:spacing w:after="120"/>
        <w:ind w:firstLine="567"/>
      </w:pPr>
      <w:r>
        <w:t xml:space="preserve">Quy tắc dữ liệu này có ba hệ quả khi diễn giải kết quả ở Chương 4. Thứ nhất, so sánh giữa XGBoost và LightGBM là so sánh giữa hai thuật toán trên cùng dữ liệu huấn luyện; nếu một trong hai mô hình chỉ được thấy một mẫu con, chênh lệch sai số sẽ lẫn giữa khác biệt thuật toán và khác biệt quy mô dữ liệu. Thứ hai, Random Forest vẫn là tổ hợp thuật toán – dữ liệu: mẫu của nó được lấy ngẫu nhiên trên toàn cửa sổ, không ưu tiên dữ liệu gần đây, và chỉ chiếm khoảng một phần tư số dòng mà ba mô hình kia được thấy, nên khoảng cách sai số giữa Random Forest và hai mô hình tăng cường không thể quy hoàn toàn cho thuật toán. Thứ ba, thời gian huấn luyện phản ánh cả quy mô dữ liệu được thấy, nên phải đọc cùng với (3.19). Ảnh hưởng riêng của quy mô dữ liệu huấn luyện được đo trong thí nghiệm độ nhạy ở mục 4.15, nơi XGBoost được huấn luyện trên mẫu 600.000 dòng với cùng ba lần kiểm định và cùng đặc trưng.</w:t>
      </w:r>
    </w:p>
    <w:p>
      <w:pPr>
        <w:pStyle w:val="Heading3"/>
        <w:keepNext/>
      </w:pPr>
      <w:r>
        <w:t xml:space="preserve">3.7.4. Quy ước chung về khả năng lặp lại và ràng buộc đầu ra</w:t>
      </w:r>
    </w:p>
    <w:p>
      <w:pPr>
        <w:keepLines w:val="0"/>
        <w:spacing w:after="120"/>
        <w:ind w:firstLine="567"/>
      </w:pPr>
      <w:r>
        <w:t xml:space="preserve">SEED = 42 được khai báo trong src/common.py và truyền vào random_state của Random Forest, XGBoost, LightGBM và phép lấy mẫu dòng, nhằm tăng khả năng tái lập. Dự báo của mọi mô hình được chặn tại 0 trước khi tính thước đo, như ở (3.20), vì doanh số không thể âm; phép chặn này đặc biệt quan trọng với Ridge, mô hình tuyến tính dễ cho giá trị âm ở các chuỗi nhỏ. Hàm metric trong src/common.py áp dụng cùng cách tính MAE, RMSE, WAPE, sMAPE và RMSLE cho cả năm mô hình, với WAPE có thêm hằng số 1e-9 ở mẫu số để tránh chia cho 0 và RMSLE dùng log(1 + y), nên khác biệt giữa các mô hình không thể đến từ cách tính thước đo. Lần chạy chính thức được thực hiện với Python 3.11, pandas 2.3.3, numpy 2.4.4, scikit-learn 1.8.0, xgboost 3.2.0, lightgbm 4.7.0 và statsmodels 0.15.0 trên 2 CPU; môi trường.venv trong thư mục đề tài dùng scikit-learn 1.9.1 và xgboost 3.4.1, nên khi chạy lại bằng START_WINDOWS.bat, kết quả của XGBoost và Random Forest có thể lệch nhỏ; cách tái lập được trình bày ở mục 3.14.</w:t>
      </w:r>
    </w:p>
    <w:p>
      <w:pPr>
        <w:tabs>
          <w:tab w:val="center" w:pos="4535"/>
          <w:tab w:val="right" w:pos="9071"/>
        </w:tabs>
        <w:spacing w:before="60" w:after="60"/>
        <w:ind w:firstLine="0"/>
      </w:pPr>
      <w:r>
        <w:tab/>
      </w:r>
      <m:oMath xmlns:a="http://schemas.openxmlformats.org/drawingml/2006/main" xmlns:pic="http://schemas.openxmlformats.org/drawingml/2006/picture">
        <m:sSub>
          <m:e>
            <m:acc>
              <m:accPr>
                <m:chr m:val="̂"/>
              </m:accPr>
              <m:e>
                <m:r>
                  <m:t>y</m:t>
                </m:r>
              </m:e>
            </m:acc>
          </m:e>
          <m:sub>
            <m:r>
              <m:t>i</m:t>
            </m:r>
            <m:r>
              <m:rPr>
                <m:sty m:val="p"/>
              </m:rPr>
              <m:t>,</m:t>
            </m:r>
            <m:r>
              <m:t>t</m:t>
            </m:r>
          </m:sub>
        </m:sSub>
        <m:r>
          <m:rPr>
            <m:sty m:val="p"/>
          </m:rPr>
          <m:t>=</m:t>
        </m:r>
        <m:r>
          <m:rPr>
            <m:sty m:val="p"/>
          </m:rPr>
          <m:t>max</m:t>
        </m:r>
        <m:d>
          <m:dPr>
            <m:begChr m:val="{"/>
            <m:sepChr m:val=""/>
            <m:endChr m:val="}"/>
            <m:grow/>
          </m:dPr>
          <m:e>
            <m:r>
              <m:t>0</m:t>
            </m:r>
            <m:r>
              <m:rPr>
                <m:sty m:val="p"/>
              </m:rPr>
              <m:t>,</m:t>
            </m:r>
            <m:r>
              <m:t> </m:t>
            </m:r>
            <m:acc>
              <m:accPr>
                <m:chr m:val="̂"/>
              </m:accPr>
              <m:e>
                <m:r>
                  <m:t>f</m:t>
                </m:r>
              </m:e>
            </m:acc>
            <m:d>
              <m:dPr>
                <m:begChr m:val="("/>
                <m:sepChr m:val=""/>
                <m:endChr m:val=")"/>
                <m:grow/>
              </m:dPr>
              <m:e>
                <m:sSub>
                  <m:e>
                    <m:r>
                      <m:rPr>
                        <m:sty m:val="b"/>
                      </m:rPr>
                      <m:t>x</m:t>
                    </m:r>
                  </m:e>
                  <m:sub>
                    <m:r>
                      <m:t>i</m:t>
                    </m:r>
                    <m:r>
                      <m:rPr>
                        <m:sty m:val="p"/>
                      </m:rPr>
                      <m:t>,</m:t>
                    </m:r>
                    <m:r>
                      <m:t>t</m:t>
                    </m:r>
                  </m:sub>
                </m:sSub>
              </m:e>
            </m:d>
          </m:e>
        </m:d>
      </m:oMath>
      <w:r>
        <w:tab/>
        <w:t>(3.20)</w:t>
      </w:r>
    </w:p>
    <w:p>
      <w:pPr>
        <w:keepLines w:val="0"/>
        <w:spacing w:after="120"/>
        <w:ind w:firstLine="567"/>
      </w:pPr>
      <w:r>
        <w:t xml:space="preserve">Cấu hình của năm mô hình được cố định trước và không được tinh chỉnh theo kết quả của cửa sổ kiểm định hay tập kiểm tra cuối. Điều này bảo vệ tính độc lập của đánh giá, nhưng cũng có nghĩa là không mô hình nào được tối ưu siêu tham số; các kết quả ở Chương 4 phản ánh những cấu hình hợp lý phổ biến chứ không phải hiệu năng tốt nhất có thể của từng thuật toán. Trong nghiên cứu mở rộng, tinh chỉnh siêu tham số (hyperparameter tuning) có thể thực hiện bằng kiểm định lồng (nested validation), miễn là mọi quyết định tinh chỉnh xảy ra trước tập kiểm tra cuối. Quy trình đánh giá áp dụng cho năm cấu hình này được trình bày ở mục 3.8.</w:t>
      </w:r>
    </w:p>
    <w:p>
      <w:pPr>
        <w:pStyle w:val="Heading2"/>
        <w:keepNext/>
      </w:pPr>
      <w:r>
        <w:t xml:space="preserve">3.8. Kiểm định chéo cuốn chiếu theo thời gian</w:t>
      </w:r>
    </w:p>
    <w:p>
      <w:pPr>
        <w:pStyle w:val="Heading3"/>
        <w:keepNext/>
      </w:pPr>
      <w:r>
        <w:t xml:space="preserve">3.8.1. Hình thức hóa các lần kiểm định và lịch cửa sổ</w:t>
      </w:r>
    </w:p>
    <w:p>
      <w:pPr>
        <w:keepLines w:val="0"/>
        <w:spacing w:after="120"/>
        <w:ind w:firstLine="567"/>
      </w:pPr>
      <w:r>
        <w:t xml:space="preserve">Phương pháp đánh giá chính dùng để lựa chọn mô hình là kiểm định chéo cuốn chiếu theo thời gian (rolling-origin cross-validation) với ba lần kiểm định, mỗi cửa sổ kiểm định dài 16 ngày, đúng bằng kỳ dự báo H. Gọi d(1) &lt; d(2) &lt; … &lt; d(n) là các ngày có mặt trong features.parquet; trong lần chạy chính thức, n = 1628 ngày, từ 26/02/2013 đến 15/08/2017, không gồm bốn ngày 25/12 mà cửa hàng đóng cửa. Stage 04 (04_train_compare_5_models.py) đặt vị trí bắt đầu của ba cửa sổ tại n − 64, n − 48 và n − 32; tập huấn luyện của lần thứ k gồm mọi dòng có ngày nhỏ hơn ngày đầu của cửa sổ, nên đây là thiết kế cửa sổ mở rộng (expanding window), mỗi lần sau học thêm đúng 16 ngày lịch sử. Quan hệ giữa tập huấn luyện và cửa sổ kiểm định được hình thức hóa ở (3.21).</w:t>
      </w:r>
    </w:p>
    <w:p>
      <w:pPr>
        <w:tabs>
          <w:tab w:val="center" w:pos="4535"/>
          <w:tab w:val="right" w:pos="9071"/>
        </w:tabs>
        <w:spacing w:before="60" w:after="60"/>
        <w:ind w:firstLine="0"/>
      </w:pPr>
      <w:r>
        <w:tab/>
      </w:r>
      <m:oMath xmlns:a="http://schemas.openxmlformats.org/drawingml/2006/main" xmlns:pic="http://schemas.openxmlformats.org/drawingml/2006/picture">
        <m:sSub>
          <m:e>
            <m:r>
              <m:t>s</m:t>
            </m:r>
          </m:e>
          <m:sub>
            <m:r>
              <m:t>k</m:t>
            </m:r>
          </m:sub>
        </m:sSub>
        <m:r>
          <m:rPr>
            <m:sty m:val="p"/>
          </m:rPr>
          <m:t>=</m:t>
        </m:r>
        <m:r>
          <m:t>n</m:t>
        </m:r>
        <m:r>
          <m:rPr>
            <m:sty m:val="p"/>
          </m:rPr>
          <m:t>−</m:t>
        </m:r>
        <m:d>
          <m:dPr>
            <m:begChr m:val="("/>
            <m:sepChr m:val=""/>
            <m:endChr m:val=")"/>
            <m:grow/>
          </m:dPr>
          <m:e>
            <m:r>
              <m:t>5</m:t>
            </m:r>
            <m:r>
              <m:rPr>
                <m:sty m:val="p"/>
              </m:rPr>
              <m:t>−</m:t>
            </m:r>
            <m:r>
              <m:t>k</m:t>
            </m:r>
          </m:e>
        </m:d>
        <m:r>
          <m:t>H</m:t>
        </m:r>
        <m:r>
          <m:rPr>
            <m:sty m:val="p"/>
          </m:rPr>
          <m:t>,</m:t>
        </m:r>
        <m:r>
          <m:t> </m:t>
        </m:r>
        <m:r>
          <m:t>k</m:t>
        </m:r>
        <m:r>
          <m:rPr>
            <m:sty m:val="p"/>
          </m:rPr>
          <m:t>∈</m:t>
        </m:r>
        <m:r>
          <m:rPr>
            <m:sty m:val="p"/>
          </m:rPr>
          <m:t>{</m:t>
        </m:r>
        <m:r>
          <m:t>1</m:t>
        </m:r>
        <m:r>
          <m:rPr>
            <m:sty m:val="p"/>
          </m:rPr>
          <m:t>,</m:t>
        </m:r>
        <m:r>
          <m:t>2</m:t>
        </m:r>
        <m:r>
          <m:rPr>
            <m:sty m:val="p"/>
          </m:rPr>
          <m:t>,</m:t>
        </m:r>
        <m:r>
          <m:t>3</m:t>
        </m:r>
        <m:r>
          <m:rPr>
            <m:sty m:val="p"/>
          </m:rPr>
          <m:t>}</m:t>
        </m:r>
        <m:r>
          <m:rPr>
            <m:sty m:val="p"/>
          </m:rPr>
          <m:t>;</m:t>
        </m:r>
        <m:r>
          <m:t>  </m:t>
        </m:r>
        <m:sSub>
          <m:e>
            <m:r>
              <m:rPr>
                <m:scr m:val="script"/>
                <m:sty m:val="p"/>
              </m:rPr>
              <m:t>D</m:t>
            </m:r>
          </m:e>
          <m:sub>
            <m:r>
              <m:t>k</m:t>
            </m:r>
          </m:sub>
        </m:sSub>
        <m:r>
          <m:rPr>
            <m:sty m:val="p"/>
          </m:rPr>
          <m:t>=</m:t>
        </m:r>
        <m:r>
          <m:rPr>
            <m:sty m:val="p"/>
          </m:rPr>
          <m:t>{</m:t>
        </m:r>
        <m:d>
          <m:dPr>
            <m:begChr m:val="("/>
            <m:sepChr m:val=""/>
            <m:endChr m:val=")"/>
            <m:grow/>
          </m:dPr>
          <m:e>
            <m:r>
              <m:t>i</m:t>
            </m:r>
            <m:r>
              <m:rPr>
                <m:sty m:val="p"/>
              </m:rPr>
              <m:t>,</m:t>
            </m:r>
            <m:r>
              <m:t>t</m:t>
            </m:r>
          </m:e>
        </m:d>
        <m:r>
          <m:rPr>
            <m:sty m:val="p"/>
          </m:rPr>
          <m:t>:</m:t>
        </m:r>
        <m:r>
          <m:t> </m:t>
        </m:r>
        <m:r>
          <m:t>t</m:t>
        </m:r>
        <m:r>
          <m:rPr>
            <m:sty m:val="p"/>
          </m:rPr>
          <m:t>&lt;</m:t>
        </m:r>
        <m:sSub>
          <m:e>
            <m:r>
              <m:t>d</m:t>
            </m:r>
          </m:e>
          <m:sub>
            <m:sSub>
              <m:e>
                <m:r>
                  <m:t>s</m:t>
                </m:r>
              </m:e>
              <m:sub>
                <m:r>
                  <m:t>k</m:t>
                </m:r>
              </m:sub>
            </m:sSub>
          </m:sub>
        </m:sSub>
        <m:r>
          <m:rPr>
            <m:sty m:val="p"/>
          </m:rPr>
          <m:t>}</m:t>
        </m:r>
        <m:r>
          <m:rPr>
            <m:sty m:val="p"/>
          </m:rPr>
          <m:t>,</m:t>
        </m:r>
        <m:r>
          <m:t>  </m:t>
        </m:r>
        <m:sSub>
          <m:e>
            <m:r>
              <m:rPr>
                <m:scr m:val="script"/>
                <m:sty m:val="p"/>
              </m:rPr>
              <m:t>V</m:t>
            </m:r>
          </m:e>
          <m:sub>
            <m:r>
              <m:t>k</m:t>
            </m:r>
          </m:sub>
        </m:sSub>
        <m:r>
          <m:rPr>
            <m:sty m:val="p"/>
          </m:rPr>
          <m:t>=</m:t>
        </m:r>
        <m:r>
          <m:rPr>
            <m:sty m:val="p"/>
          </m:rPr>
          <m:t>{</m:t>
        </m:r>
        <m:d>
          <m:dPr>
            <m:begChr m:val="("/>
            <m:sepChr m:val=""/>
            <m:endChr m:val=")"/>
            <m:grow/>
          </m:dPr>
          <m:e>
            <m:r>
              <m:t>i</m:t>
            </m:r>
            <m:r>
              <m:rPr>
                <m:sty m:val="p"/>
              </m:rPr>
              <m:t>,</m:t>
            </m:r>
            <m:r>
              <m:t>t</m:t>
            </m:r>
          </m:e>
        </m:d>
        <m:r>
          <m:rPr>
            <m:sty m:val="p"/>
          </m:rPr>
          <m:t>:</m:t>
        </m:r>
        <m:r>
          <m:t> </m:t>
        </m:r>
        <m:sSub>
          <m:e>
            <m:r>
              <m:t>d</m:t>
            </m:r>
          </m:e>
          <m:sub>
            <m:sSub>
              <m:e>
                <m:r>
                  <m:t>s</m:t>
                </m:r>
              </m:e>
              <m:sub>
                <m:r>
                  <m:t>k</m:t>
                </m:r>
              </m:sub>
            </m:sSub>
          </m:sub>
        </m:sSub>
        <m:r>
          <m:rPr>
            <m:sty m:val="p"/>
          </m:rPr>
          <m:t>≤</m:t>
        </m:r>
        <m:r>
          <m:t>t</m:t>
        </m:r>
        <m:r>
          <m:rPr>
            <m:sty m:val="p"/>
          </m:rPr>
          <m:t>≤</m:t>
        </m:r>
        <m:sSub>
          <m:e>
            <m:r>
              <m:t>d</m:t>
            </m:r>
          </m:e>
          <m:sub>
            <m:sSub>
              <m:e>
                <m:r>
                  <m:t>s</m:t>
                </m:r>
              </m:e>
              <m:sub>
                <m:r>
                  <m:t>k</m:t>
                </m:r>
              </m:sub>
            </m:sSub>
            <m:r>
              <m:rPr>
                <m:sty m:val="p"/>
              </m:rPr>
              <m:t>+</m:t>
            </m:r>
            <m:r>
              <m:t>H</m:t>
            </m:r>
            <m:r>
              <m:rPr>
                <m:sty m:val="p"/>
              </m:rPr>
              <m:t>−</m:t>
            </m:r>
            <m:r>
              <m:t>1</m:t>
            </m:r>
          </m:sub>
        </m:sSub>
        <m:r>
          <m:rPr>
            <m:sty m:val="p"/>
          </m:rPr>
          <m:t>}</m:t>
        </m:r>
      </m:oMath>
      <w:r>
        <w:tab/>
        <w:t>(3.21)</w:t>
      </w:r>
    </w:p>
    <w:p>
      <w:pPr>
        <w:keepLines w:val="0"/>
        <w:spacing w:after="120"/>
        <w:ind w:firstLine="567"/>
      </w:pPr>
      <w:r>
        <w:t xml:space="preserve">Áp dụng quy tắc trên vào dữ liệu Favorita cho ra lịch cụ thể được tóm tắt trong 3.7. Lần kiểm định 1 bao phủ giai đoạn 13/06/2017–28/06/2017, lần 2 là 29/06/2017–14/07/2017 và lần 3 là 15/07/2017–30/07/2017; tập kiểm tra cuối là 31/07/2017–15/08/2017. Bốn phân đoạn này nối tiếp nhau, không chồng lấn và cùng có quy mô 16 ngày × 1.782 chuỗi = 28.512 quan sát. Lần chạy chính thức ghi số dòng huấn luyện vào cột train_rows: từ 2.575.452 dòng ở lần 1 lên 2.660.988 dòng cho mô hình cuối, mỗi bước tăng đúng 28.512 dòng. Cửa sổ hiệu chỉnh của lớp xác suất (mục 3.10) không phải một phân đoạn riêng mà trùng hoàn toàn với lần kiểm định 3, kể cả dữ liệu huấn luyện của mô hình tính phần dư.</w:t>
      </w:r>
    </w:p>
    <w:p>
      <w:pPr>
        <w:keepNext/>
        <w:spacing w:before="120" w:after="60"/>
        <w:ind w:firstLine="0"/>
        <w:jc w:val="center"/>
      </w:pPr>
      <w:r>
        <w:t xml:space="preserve">Bảng 3.7. Lịch các cửa sổ đánh giá, hiệu chỉnh và dữ liệu huấn luyện tương ứng trong lần chạy chính thức</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190"/>
        <w:gridCol w:w="1111"/>
        <w:gridCol w:w="2127"/>
        <w:gridCol w:w="1434"/>
        <w:gridCol w:w="1069"/>
        <w:gridCol w:w="2140"/>
      </w:tblGrid>
      <w:tr>
        <w:trPr>
          <w:tblHeader/>
          <w:cantSplit/>
        </w:trPr>
        <w:tc>
          <w:tcPr>
            <w:tcW w:type="dxa" w:w="1190"/>
            <w:shd w:val="clear" w:color="auto" w:fill="D9E2F3"/>
            <w:vAlign w:val="center"/>
          </w:tcPr>
          <w:p>
            <w:pPr>
              <w:spacing w:before="20" w:after="20" w:line="260" w:lineRule="auto"/>
              <w:ind w:firstLine="0"/>
              <w:jc w:val="center"/>
            </w:pPr>
            <w:r>
              <w:rPr>
                <w:b/>
                <w:sz w:val="20"/>
                <w:szCs w:val="20"/>
              </w:rPr>
              <w:t xml:space="preserve">Phân đoạn</w:t>
            </w:r>
          </w:p>
        </w:tc>
        <w:tc>
          <w:tcPr>
            <w:tcW w:type="dxa" w:w="1111"/>
            <w:shd w:val="clear" w:color="auto" w:fill="D9E2F3"/>
            <w:vAlign w:val="center"/>
          </w:tcPr>
          <w:p>
            <w:pPr>
              <w:spacing w:before="20" w:after="20" w:line="260" w:lineRule="auto"/>
              <w:ind w:firstLine="0"/>
              <w:jc w:val="center"/>
            </w:pPr>
            <w:r>
              <w:rPr>
                <w:b/>
                <w:sz w:val="20"/>
                <w:szCs w:val="20"/>
              </w:rPr>
              <w:t xml:space="preserve">Cửa sổ (bắt đầu – kết thúc)</w:t>
            </w:r>
          </w:p>
        </w:tc>
        <w:tc>
          <w:tcPr>
            <w:tcW w:type="dxa" w:w="2127"/>
            <w:shd w:val="clear" w:color="auto" w:fill="D9E2F3"/>
            <w:vAlign w:val="center"/>
          </w:tcPr>
          <w:p>
            <w:pPr>
              <w:spacing w:before="20" w:after="20" w:line="260" w:lineRule="auto"/>
              <w:ind w:firstLine="0"/>
              <w:jc w:val="center"/>
            </w:pPr>
            <w:r>
              <w:rPr>
                <w:b/>
                <w:sz w:val="20"/>
                <w:szCs w:val="20"/>
              </w:rPr>
              <w:t xml:space="preserve">Dữ liệu huấn luyện</w:t>
            </w:r>
          </w:p>
        </w:tc>
        <w:tc>
          <w:tcPr>
            <w:tcW w:type="dxa" w:w="1434"/>
            <w:shd w:val="clear" w:color="auto" w:fill="D9E2F3"/>
            <w:vAlign w:val="center"/>
          </w:tcPr>
          <w:p>
            <w:pPr>
              <w:spacing w:before="20" w:after="20" w:line="260" w:lineRule="auto"/>
              <w:ind w:firstLine="0"/>
              <w:jc w:val="center"/>
            </w:pPr>
            <w:r>
              <w:rPr>
                <w:b/>
                <w:sz w:val="20"/>
                <w:szCs w:val="20"/>
              </w:rPr>
              <w:t xml:space="preserve">Số dòng huấn luyện (Ridge, XGBoost, LightGBM)</w:t>
            </w:r>
          </w:p>
        </w:tc>
        <w:tc>
          <w:tcPr>
            <w:tcW w:type="dxa" w:w="1069"/>
            <w:shd w:val="clear" w:color="auto" w:fill="D9E2F3"/>
            <w:vAlign w:val="center"/>
          </w:tcPr>
          <w:p>
            <w:pPr>
              <w:spacing w:before="20" w:after="20" w:line="260" w:lineRule="auto"/>
              <w:ind w:firstLine="0"/>
              <w:jc w:val="center"/>
            </w:pPr>
            <w:r>
              <w:rPr>
                <w:b/>
                <w:sz w:val="20"/>
                <w:szCs w:val="20"/>
              </w:rPr>
              <w:t xml:space="preserve">Số quan sát được đánh giá</w:t>
            </w:r>
          </w:p>
        </w:tc>
        <w:tc>
          <w:tcPr>
            <w:tcW w:type="dxa" w:w="2140"/>
            <w:shd w:val="clear" w:color="auto" w:fill="D9E2F3"/>
            <w:vAlign w:val="center"/>
          </w:tcPr>
          <w:p>
            <w:pPr>
              <w:spacing w:before="20" w:after="20" w:line="260" w:lineRule="auto"/>
              <w:ind w:firstLine="0"/>
              <w:jc w:val="center"/>
            </w:pPr>
            <w:r>
              <w:rPr>
                <w:b/>
                <w:sz w:val="20"/>
                <w:szCs w:val="20"/>
              </w:rPr>
              <w:t xml:space="preserve">Vai trò</w:t>
            </w:r>
          </w:p>
        </w:tc>
      </w:tr>
      <w:tr>
        <w:trPr>
          <w:cantSplit/>
        </w:trPr>
        <w:tc>
          <w:tcPr>
            <w:tcW w:type="dxa" w:w="1190"/>
            <w:vAlign w:val="center"/>
          </w:tcPr>
          <w:p>
            <w:pPr>
              <w:spacing w:before="20" w:after="20" w:line="260" w:lineRule="auto"/>
              <w:ind w:firstLine="0"/>
              <w:jc w:val="left"/>
            </w:pPr>
            <w:r>
              <w:rPr>
                <w:sz w:val="20"/>
                <w:szCs w:val="20"/>
              </w:rPr>
              <w:t xml:space="preserve">Lần kiểm định 1</w:t>
            </w:r>
          </w:p>
        </w:tc>
        <w:tc>
          <w:tcPr>
            <w:tcW w:type="dxa" w:w="1111"/>
            <w:vAlign w:val="center"/>
          </w:tcPr>
          <w:p>
            <w:pPr>
              <w:spacing w:before="20" w:after="20" w:line="260" w:lineRule="auto"/>
              <w:ind w:firstLine="0"/>
              <w:jc w:val="left"/>
            </w:pPr>
            <w:r>
              <w:rPr>
                <w:sz w:val="20"/>
                <w:szCs w:val="20"/>
              </w:rPr>
              <w:t xml:space="preserve">13/06/2017 – 28/06/2017</w:t>
            </w:r>
          </w:p>
        </w:tc>
        <w:tc>
          <w:tcPr>
            <w:tcW w:type="dxa" w:w="2127"/>
            <w:vAlign w:val="center"/>
          </w:tcPr>
          <w:p>
            <w:pPr>
              <w:spacing w:before="20" w:after="20" w:line="260" w:lineRule="auto"/>
              <w:ind w:firstLine="0"/>
              <w:jc w:val="left"/>
            </w:pPr>
            <w:r>
              <w:rPr>
                <w:sz w:val="20"/>
                <w:szCs w:val="20"/>
              </w:rPr>
              <w:t xml:space="preserve">Mọi dòng đủ đặc trưng có ngày trước 13/06/2017</w:t>
            </w:r>
          </w:p>
        </w:tc>
        <w:tc>
          <w:tcPr>
            <w:tcW w:type="dxa" w:w="1434"/>
            <w:vAlign w:val="center"/>
          </w:tcPr>
          <w:p>
            <w:pPr>
              <w:spacing w:before="20" w:after="20" w:line="260" w:lineRule="auto"/>
              <w:ind w:firstLine="0"/>
              <w:jc w:val="center"/>
            </w:pPr>
            <w:r>
              <w:rPr>
                <w:sz w:val="20"/>
                <w:szCs w:val="20"/>
              </w:rPr>
              <w:t xml:space="preserve">2.575.452</w:t>
            </w:r>
          </w:p>
        </w:tc>
        <w:tc>
          <w:tcPr>
            <w:tcW w:type="dxa" w:w="1069"/>
            <w:vAlign w:val="center"/>
          </w:tcPr>
          <w:p>
            <w:pPr>
              <w:spacing w:before="20" w:after="20" w:line="260" w:lineRule="auto"/>
              <w:ind w:firstLine="0"/>
              <w:jc w:val="center"/>
            </w:pPr>
            <w:r>
              <w:rPr>
                <w:sz w:val="20"/>
                <w:szCs w:val="20"/>
              </w:rPr>
              <w:t xml:space="preserve">28.512</w:t>
            </w:r>
          </w:p>
        </w:tc>
        <w:tc>
          <w:tcPr>
            <w:tcW w:type="dxa" w:w="2140"/>
            <w:vAlign w:val="center"/>
          </w:tcPr>
          <w:p>
            <w:pPr>
              <w:spacing w:before="20" w:after="20" w:line="260" w:lineRule="auto"/>
              <w:ind w:firstLine="0"/>
              <w:jc w:val="left"/>
            </w:pPr>
            <w:r>
              <w:rPr>
                <w:sz w:val="20"/>
                <w:szCs w:val="20"/>
              </w:rPr>
              <w:t xml:space="preserve">Tính MAE, RMSE, WAPE, sMAPE, RMSLE phục vụ xếp hạng</w:t>
            </w:r>
          </w:p>
        </w:tc>
      </w:tr>
      <w:tr>
        <w:trPr>
          <w:cantSplit/>
        </w:trPr>
        <w:tc>
          <w:tcPr>
            <w:tcW w:type="dxa" w:w="1190"/>
            <w:vAlign w:val="center"/>
          </w:tcPr>
          <w:p>
            <w:pPr>
              <w:spacing w:before="20" w:after="20" w:line="260" w:lineRule="auto"/>
              <w:ind w:firstLine="0"/>
              <w:jc w:val="left"/>
            </w:pPr>
            <w:r>
              <w:rPr>
                <w:sz w:val="20"/>
                <w:szCs w:val="20"/>
              </w:rPr>
              <w:t xml:space="preserve">Lần kiểm định 2</w:t>
            </w:r>
          </w:p>
        </w:tc>
        <w:tc>
          <w:tcPr>
            <w:tcW w:type="dxa" w:w="1111"/>
            <w:vAlign w:val="center"/>
          </w:tcPr>
          <w:p>
            <w:pPr>
              <w:spacing w:before="20" w:after="20" w:line="260" w:lineRule="auto"/>
              <w:ind w:firstLine="0"/>
              <w:jc w:val="left"/>
            </w:pPr>
            <w:r>
              <w:rPr>
                <w:sz w:val="20"/>
                <w:szCs w:val="20"/>
              </w:rPr>
              <w:t xml:space="preserve">29/06/2017 – 14/07/2017</w:t>
            </w:r>
          </w:p>
        </w:tc>
        <w:tc>
          <w:tcPr>
            <w:tcW w:type="dxa" w:w="2127"/>
            <w:vAlign w:val="center"/>
          </w:tcPr>
          <w:p>
            <w:pPr>
              <w:spacing w:before="20" w:after="20" w:line="260" w:lineRule="auto"/>
              <w:ind w:firstLine="0"/>
              <w:jc w:val="left"/>
            </w:pPr>
            <w:r>
              <w:rPr>
                <w:sz w:val="20"/>
                <w:szCs w:val="20"/>
              </w:rPr>
              <w:t xml:space="preserve">Mọi dòng có ngày trước 29/06/2017</w:t>
            </w:r>
          </w:p>
        </w:tc>
        <w:tc>
          <w:tcPr>
            <w:tcW w:type="dxa" w:w="1434"/>
            <w:vAlign w:val="center"/>
          </w:tcPr>
          <w:p>
            <w:pPr>
              <w:spacing w:before="20" w:after="20" w:line="260" w:lineRule="auto"/>
              <w:ind w:firstLine="0"/>
              <w:jc w:val="center"/>
            </w:pPr>
            <w:r>
              <w:rPr>
                <w:sz w:val="20"/>
                <w:szCs w:val="20"/>
              </w:rPr>
              <w:t xml:space="preserve">2.603.964</w:t>
            </w:r>
          </w:p>
        </w:tc>
        <w:tc>
          <w:tcPr>
            <w:tcW w:type="dxa" w:w="1069"/>
            <w:vAlign w:val="center"/>
          </w:tcPr>
          <w:p>
            <w:pPr>
              <w:spacing w:before="20" w:after="20" w:line="260" w:lineRule="auto"/>
              <w:ind w:firstLine="0"/>
              <w:jc w:val="center"/>
            </w:pPr>
            <w:r>
              <w:rPr>
                <w:sz w:val="20"/>
                <w:szCs w:val="20"/>
              </w:rPr>
              <w:t xml:space="preserve">28.512</w:t>
            </w:r>
          </w:p>
        </w:tc>
        <w:tc>
          <w:tcPr>
            <w:tcW w:type="dxa" w:w="2140"/>
            <w:vAlign w:val="center"/>
          </w:tcPr>
          <w:p>
            <w:pPr>
              <w:spacing w:before="20" w:after="20" w:line="260" w:lineRule="auto"/>
              <w:ind w:firstLine="0"/>
              <w:jc w:val="left"/>
            </w:pPr>
            <w:r>
              <w:rPr>
                <w:sz w:val="20"/>
                <w:szCs w:val="20"/>
              </w:rPr>
              <w:t xml:space="preserve">Như lần 1</w:t>
            </w:r>
          </w:p>
        </w:tc>
      </w:tr>
      <w:tr>
        <w:trPr>
          <w:cantSplit/>
        </w:trPr>
        <w:tc>
          <w:tcPr>
            <w:tcW w:type="dxa" w:w="1190"/>
            <w:vAlign w:val="center"/>
          </w:tcPr>
          <w:p>
            <w:pPr>
              <w:spacing w:before="20" w:after="20" w:line="260" w:lineRule="auto"/>
              <w:ind w:firstLine="0"/>
              <w:jc w:val="left"/>
            </w:pPr>
            <w:r>
              <w:rPr>
                <w:sz w:val="20"/>
                <w:szCs w:val="20"/>
              </w:rPr>
              <w:t xml:space="preserve">Lần kiểm định 3</w:t>
            </w:r>
          </w:p>
        </w:tc>
        <w:tc>
          <w:tcPr>
            <w:tcW w:type="dxa" w:w="1111"/>
            <w:vAlign w:val="center"/>
          </w:tcPr>
          <w:p>
            <w:pPr>
              <w:spacing w:before="20" w:after="20" w:line="260" w:lineRule="auto"/>
              <w:ind w:firstLine="0"/>
              <w:jc w:val="left"/>
            </w:pPr>
            <w:r>
              <w:rPr>
                <w:sz w:val="20"/>
                <w:szCs w:val="20"/>
              </w:rPr>
              <w:t xml:space="preserve">15/07/2017 – 30/07/2017</w:t>
            </w:r>
          </w:p>
        </w:tc>
        <w:tc>
          <w:tcPr>
            <w:tcW w:type="dxa" w:w="2127"/>
            <w:vAlign w:val="center"/>
          </w:tcPr>
          <w:p>
            <w:pPr>
              <w:spacing w:before="20" w:after="20" w:line="260" w:lineRule="auto"/>
              <w:ind w:firstLine="0"/>
              <w:jc w:val="left"/>
            </w:pPr>
            <w:r>
              <w:rPr>
                <w:sz w:val="20"/>
                <w:szCs w:val="20"/>
              </w:rPr>
              <w:t xml:space="preserve">Mọi dòng có ngày trước 15/07/2017</w:t>
            </w:r>
          </w:p>
        </w:tc>
        <w:tc>
          <w:tcPr>
            <w:tcW w:type="dxa" w:w="1434"/>
            <w:vAlign w:val="center"/>
          </w:tcPr>
          <w:p>
            <w:pPr>
              <w:spacing w:before="20" w:after="20" w:line="260" w:lineRule="auto"/>
              <w:ind w:firstLine="0"/>
              <w:jc w:val="center"/>
            </w:pPr>
            <w:r>
              <w:rPr>
                <w:sz w:val="20"/>
                <w:szCs w:val="20"/>
              </w:rPr>
              <w:t xml:space="preserve">2.632.476</w:t>
            </w:r>
          </w:p>
        </w:tc>
        <w:tc>
          <w:tcPr>
            <w:tcW w:type="dxa" w:w="1069"/>
            <w:vAlign w:val="center"/>
          </w:tcPr>
          <w:p>
            <w:pPr>
              <w:spacing w:before="20" w:after="20" w:line="260" w:lineRule="auto"/>
              <w:ind w:firstLine="0"/>
              <w:jc w:val="center"/>
            </w:pPr>
            <w:r>
              <w:rPr>
                <w:sz w:val="20"/>
                <w:szCs w:val="20"/>
              </w:rPr>
              <w:t xml:space="preserve">28.512</w:t>
            </w:r>
          </w:p>
        </w:tc>
        <w:tc>
          <w:tcPr>
            <w:tcW w:type="dxa" w:w="2140"/>
            <w:vAlign w:val="center"/>
          </w:tcPr>
          <w:p>
            <w:pPr>
              <w:spacing w:before="20" w:after="20" w:line="260" w:lineRule="auto"/>
              <w:ind w:firstLine="0"/>
              <w:jc w:val="left"/>
            </w:pPr>
            <w:r>
              <w:rPr>
                <w:sz w:val="20"/>
                <w:szCs w:val="20"/>
              </w:rPr>
              <w:t xml:space="preserve">Như lần 1</w:t>
            </w:r>
          </w:p>
        </w:tc>
      </w:tr>
      <w:tr>
        <w:trPr>
          <w:cantSplit/>
        </w:trPr>
        <w:tc>
          <w:tcPr>
            <w:tcW w:type="dxa" w:w="1190"/>
            <w:vAlign w:val="center"/>
          </w:tcPr>
          <w:p>
            <w:pPr>
              <w:spacing w:before="20" w:after="20" w:line="260" w:lineRule="auto"/>
              <w:ind w:firstLine="0"/>
              <w:jc w:val="left"/>
            </w:pPr>
            <w:r>
              <w:rPr>
                <w:sz w:val="20"/>
                <w:szCs w:val="20"/>
              </w:rPr>
              <w:t xml:space="preserve">Cửa sổ hiệu chỉnh (trùng lần 3)</w:t>
            </w:r>
          </w:p>
        </w:tc>
        <w:tc>
          <w:tcPr>
            <w:tcW w:type="dxa" w:w="1111"/>
            <w:vAlign w:val="center"/>
          </w:tcPr>
          <w:p>
            <w:pPr>
              <w:spacing w:before="20" w:after="20" w:line="260" w:lineRule="auto"/>
              <w:ind w:firstLine="0"/>
              <w:jc w:val="left"/>
            </w:pPr>
            <w:r>
              <w:rPr>
                <w:sz w:val="20"/>
                <w:szCs w:val="20"/>
              </w:rPr>
              <w:t xml:space="preserve">15/07/2017 – 30/07/2017</w:t>
            </w:r>
          </w:p>
        </w:tc>
        <w:tc>
          <w:tcPr>
            <w:tcW w:type="dxa" w:w="2127"/>
            <w:vAlign w:val="center"/>
          </w:tcPr>
          <w:p>
            <w:pPr>
              <w:spacing w:before="20" w:after="20" w:line="260" w:lineRule="auto"/>
              <w:ind w:firstLine="0"/>
              <w:jc w:val="left"/>
            </w:pPr>
            <w:r>
              <w:rPr>
                <w:sz w:val="20"/>
                <w:szCs w:val="20"/>
              </w:rPr>
              <w:t xml:space="preserve">XGBoost huấn luyện lại trên mọi dòng trước 15/07/2017, cùng quy tắc dữ liệu của Stage 04 (Stage 05)</w:t>
            </w:r>
          </w:p>
        </w:tc>
        <w:tc>
          <w:tcPr>
            <w:tcW w:type="dxa" w:w="1434"/>
            <w:vAlign w:val="center"/>
          </w:tcPr>
          <w:p>
            <w:pPr>
              <w:spacing w:before="20" w:after="20" w:line="260" w:lineRule="auto"/>
              <w:ind w:firstLine="0"/>
              <w:jc w:val="center"/>
            </w:pPr>
            <w:r>
              <w:rPr>
                <w:sz w:val="20"/>
                <w:szCs w:val="20"/>
              </w:rPr>
              <w:t xml:space="preserve">2.632.476</w:t>
            </w:r>
          </w:p>
        </w:tc>
        <w:tc>
          <w:tcPr>
            <w:tcW w:type="dxa" w:w="1069"/>
            <w:vAlign w:val="center"/>
          </w:tcPr>
          <w:p>
            <w:pPr>
              <w:spacing w:before="20" w:after="20" w:line="260" w:lineRule="auto"/>
              <w:ind w:firstLine="0"/>
              <w:jc w:val="center"/>
            </w:pPr>
            <w:r>
              <w:rPr>
                <w:sz w:val="20"/>
                <w:szCs w:val="20"/>
              </w:rPr>
              <w:t xml:space="preserve">28.512</w:t>
            </w:r>
          </w:p>
        </w:tc>
        <w:tc>
          <w:tcPr>
            <w:tcW w:type="dxa" w:w="2140"/>
            <w:vAlign w:val="center"/>
          </w:tcPr>
          <w:p>
            <w:pPr>
              <w:spacing w:before="20" w:after="20" w:line="260" w:lineRule="auto"/>
              <w:ind w:firstLine="0"/>
              <w:jc w:val="left"/>
            </w:pPr>
            <w:r>
              <w:rPr>
                <w:sz w:val="20"/>
                <w:szCs w:val="20"/>
              </w:rPr>
              <w:t xml:space="preserve">Tính phần dư, chia nhóm Mondrian và lấy phân vị 0,1/0,5/0,9 theo nhóm (mục 3.10)</w:t>
            </w:r>
          </w:p>
        </w:tc>
      </w:tr>
      <w:tr>
        <w:trPr>
          <w:cantSplit/>
        </w:trPr>
        <w:tc>
          <w:tcPr>
            <w:tcW w:type="dxa" w:w="1190"/>
            <w:vAlign w:val="center"/>
          </w:tcPr>
          <w:p>
            <w:pPr>
              <w:spacing w:before="20" w:after="20" w:line="260" w:lineRule="auto"/>
              <w:ind w:firstLine="0"/>
              <w:jc w:val="left"/>
            </w:pPr>
            <w:r>
              <w:rPr>
                <w:sz w:val="20"/>
                <w:szCs w:val="20"/>
              </w:rPr>
              <w:t xml:space="preserve">Tập kiểm tra cuối</w:t>
            </w:r>
          </w:p>
        </w:tc>
        <w:tc>
          <w:tcPr>
            <w:tcW w:type="dxa" w:w="1111"/>
            <w:vAlign w:val="center"/>
          </w:tcPr>
          <w:p>
            <w:pPr>
              <w:spacing w:before="20" w:after="20" w:line="260" w:lineRule="auto"/>
              <w:ind w:firstLine="0"/>
              <w:jc w:val="left"/>
            </w:pPr>
            <w:r>
              <w:rPr>
                <w:sz w:val="20"/>
                <w:szCs w:val="20"/>
              </w:rPr>
              <w:t xml:space="preserve">31/07/2017 – 15/08/2017</w:t>
            </w:r>
          </w:p>
        </w:tc>
        <w:tc>
          <w:tcPr>
            <w:tcW w:type="dxa" w:w="2127"/>
            <w:vAlign w:val="center"/>
          </w:tcPr>
          <w:p>
            <w:pPr>
              <w:spacing w:before="20" w:after="20" w:line="260" w:lineRule="auto"/>
              <w:ind w:firstLine="0"/>
              <w:jc w:val="left"/>
            </w:pPr>
            <w:r>
              <w:rPr>
                <w:sz w:val="20"/>
                <w:szCs w:val="20"/>
              </w:rPr>
              <w:t xml:space="preserve">Mọi dòng có ngày trước 31/07/2017, gồm cả ba cửa sổ kiểm định</w:t>
            </w:r>
          </w:p>
        </w:tc>
        <w:tc>
          <w:tcPr>
            <w:tcW w:type="dxa" w:w="1434"/>
            <w:vAlign w:val="center"/>
          </w:tcPr>
          <w:p>
            <w:pPr>
              <w:spacing w:before="20" w:after="20" w:line="260" w:lineRule="auto"/>
              <w:ind w:firstLine="0"/>
              <w:jc w:val="center"/>
            </w:pPr>
            <w:r>
              <w:rPr>
                <w:sz w:val="20"/>
                <w:szCs w:val="20"/>
              </w:rPr>
              <w:t xml:space="preserve">2.660.988</w:t>
            </w:r>
          </w:p>
        </w:tc>
        <w:tc>
          <w:tcPr>
            <w:tcW w:type="dxa" w:w="1069"/>
            <w:vAlign w:val="center"/>
          </w:tcPr>
          <w:p>
            <w:pPr>
              <w:spacing w:before="20" w:after="20" w:line="260" w:lineRule="auto"/>
              <w:ind w:firstLine="0"/>
              <w:jc w:val="center"/>
            </w:pPr>
            <w:r>
              <w:rPr>
                <w:sz w:val="20"/>
                <w:szCs w:val="20"/>
              </w:rPr>
              <w:t xml:space="preserve">28.512</w:t>
            </w:r>
          </w:p>
        </w:tc>
        <w:tc>
          <w:tcPr>
            <w:tcW w:type="dxa" w:w="2140"/>
            <w:vAlign w:val="center"/>
          </w:tcPr>
          <w:p>
            <w:pPr>
              <w:spacing w:before="20" w:after="20" w:line="260" w:lineRule="auto"/>
              <w:ind w:firstLine="0"/>
              <w:jc w:val="left"/>
            </w:pPr>
            <w:r>
              <w:rPr>
                <w:sz w:val="20"/>
                <w:szCs w:val="20"/>
              </w:rPr>
              <w:t xml:space="preserve">Đánh giá độc lập năm mô hình; nền của P10/P50/P90, kịch bản khuyến mãi, tồn kho và phiếu khuyến nghị</w:t>
            </w:r>
          </w:p>
        </w:tc>
      </w:tr>
    </w:tbl>
    <w:p>
      <w:pPr>
        <w:spacing w:before="40" w:after="160"/>
        <w:ind w:firstLine="0"/>
      </w:pPr>
      <w:r>
        <w:rPr>
          <w:i/>
          <w:sz w:val="22"/>
          <w:szCs w:val="22"/>
        </w:rPr>
        <w:t xml:space="preserve">Nguồn: tổng hợp của tác giả từ 04_train_compare_5_models.py, 05_probabilistic_forecasting.py, rolling_cv_metrics.csv và final_holdout_metrics.csv (cột train_rows). Random Forest ở mọi phân đoạn chỉ học trên mẫu ngẫu nhiên 600.000 dòng (random_state = 42); Seasonal Naive không huấn luyện (0 dòng).</w:t>
      </w:r>
    </w:p>
    <w:p>
      <w:pPr>
        <w:pStyle w:val="Heading3"/>
        <w:keepNext/>
      </w:pPr>
      <w:r>
        <w:t xml:space="preserve">3.8.2. Huấn luyện và tính thước đo trên từng cửa sổ</w:t>
      </w:r>
    </w:p>
    <w:p>
      <w:pPr>
        <w:keepLines w:val="0"/>
        <w:spacing w:after="120"/>
        <w:ind w:firstLine="567"/>
      </w:pPr>
      <w:r>
        <w:t xml:space="preserve">Trong mỗi lần kiểm định, năm mô hình được xử lý theo cùng một khuôn. Seasonal Naive không cần huấn luyện và được cài đặt ở dạng cố định gốc dự báo (origin-fixed): gọi o là ngày cuối cùng trước cửa sổ và h = 1, …, 16 là vị trí ngày tính theo lịch từ đầu cửa sổ, dự báo cho ngày o + h là doanh số của cùng thứ trong tuần thuộc tuần cuối cùng trước gốc, tức lag_7 với h = 1–7, lag_14 với h = 8–14 và lag_21 với h = 15–16, như ở (3.22). Mọi giá trị được dùng đều có ngày không muộn hơn o, nên đây là đường cơ sở hợp lệ cho dự báo trực tiếp 16 ngày; nếu dùng lag_7 cho mọi ngày thì các ngày 8–16 sẽ lấy doanh số nằm trong chính cửa sổ dự báo, là thông tin chưa có tại gốc dự báo, và mô hình cơ sở sẽ không khả thi trong vận hành. Bốn mô hình học máy được khởi tạo mới với cấu hình cố định của mục 3.7 (Ridge sau StandardScaler, LightGBM có subsample_freq = 1) và huấn luyện trên D(k) với 29 đặc trưng.</w:t>
      </w:r>
    </w:p>
    <w:p>
      <w:pPr>
        <w:tabs>
          <w:tab w:val="center" w:pos="4535"/>
          <w:tab w:val="right" w:pos="9071"/>
        </w:tabs>
        <w:spacing w:before="60" w:after="60"/>
        <w:ind w:firstLine="0"/>
      </w:pPr>
      <w:r>
        <w:tab/>
      </w:r>
      <m:oMath xmlns:a="http://schemas.openxmlformats.org/drawingml/2006/main" xmlns:pic="http://schemas.openxmlformats.org/drawingml/2006/picture">
        <m:sSubSup>
          <m:e>
            <m:acc>
              <m:accPr>
                <m:chr m:val="̂"/>
              </m:accPr>
              <m:e>
                <m:r>
                  <m:t>y</m:t>
                </m:r>
              </m:e>
            </m:acc>
          </m:e>
          <m:sub>
            <m:r>
              <m:t>i</m:t>
            </m:r>
            <m:r>
              <m:rPr>
                <m:sty m:val="p"/>
              </m:rPr>
              <m:t>,</m:t>
            </m:r>
            <m:r>
              <m:t>o</m:t>
            </m:r>
            <m:r>
              <m:rPr>
                <m:sty m:val="p"/>
              </m:rPr>
              <m:t>+</m:t>
            </m:r>
            <m:r>
              <m:t>h</m:t>
            </m:r>
          </m:sub>
          <m:sup>
            <m:r>
              <m:rPr>
                <m:sty m:val="p"/>
              </m:rPr>
              <m:t>S</m:t>
            </m:r>
            <m:r>
              <m:rPr>
                <m:sty m:val="p"/>
              </m:rPr>
              <m:t>N</m:t>
            </m:r>
          </m:sup>
        </m:sSubSup>
        <m:r>
          <m:rPr>
            <m:sty m:val="p"/>
          </m:rPr>
          <m:t>=</m:t>
        </m:r>
        <m:sSub>
          <m:e>
            <m:r>
              <m:t>y</m:t>
            </m:r>
          </m:e>
          <m:sub>
            <m:r>
              <m:t>i</m:t>
            </m:r>
            <m:r>
              <m:rPr>
                <m:sty m:val="p"/>
              </m:rPr>
              <m:t>,</m:t>
            </m:r>
            <m:r>
              <m:t> </m:t>
            </m:r>
            <m:r>
              <m:t>o</m:t>
            </m:r>
            <m:r>
              <m:rPr>
                <m:sty m:val="p"/>
              </m:rPr>
              <m:t>+</m:t>
            </m:r>
            <m:r>
              <m:t>h</m:t>
            </m:r>
            <m:r>
              <m:rPr>
                <m:sty m:val="p"/>
              </m:rPr>
              <m:t>−</m:t>
            </m:r>
            <m:r>
              <m:t>7</m:t>
            </m:r>
            <m:r>
              <m:rPr>
                <m:sty m:val="p"/>
              </m:rPr>
              <m:t>⌈</m:t>
            </m:r>
            <m:r>
              <m:t>h</m:t>
            </m:r>
            <m:r>
              <m:rPr>
                <m:sty m:val="p"/>
              </m:rPr>
              <m:t>/</m:t>
            </m:r>
            <m:r>
              <m:t>7</m:t>
            </m:r>
            <m:r>
              <m:rPr>
                <m:sty m:val="p"/>
              </m:rPr>
              <m:t>⌉</m:t>
            </m:r>
          </m:sub>
        </m:sSub>
        <m:r>
          <m:rPr>
            <m:sty m:val="p"/>
          </m:rPr>
          <m:t>,</m:t>
        </m:r>
        <m:r>
          <m:t>  </m:t>
        </m:r>
        <m:r>
          <m:t>h</m:t>
        </m:r>
        <m:r>
          <m:rPr>
            <m:sty m:val="p"/>
          </m:rPr>
          <m:t>=</m:t>
        </m:r>
        <m:r>
          <m:t>1</m:t>
        </m:r>
        <m:r>
          <m:rPr>
            <m:sty m:val="p"/>
          </m:rPr>
          <m:t>,</m:t>
        </m:r>
        <m:r>
          <m:rPr>
            <m:sty m:val="p"/>
          </m:rPr>
          <m:t>…</m:t>
        </m:r>
        <m:r>
          <m:rPr>
            <m:sty m:val="p"/>
          </m:rPr>
          <m:t>,</m:t>
        </m:r>
        <m:r>
          <m:t>16</m:t>
        </m:r>
        <m:r>
          <m:t> </m:t>
        </m:r>
        <m:d>
          <m:dPr>
            <m:begChr m:val="("/>
            <m:sepChr m:val=""/>
            <m:endChr m:val=")"/>
            <m:grow/>
          </m:dPr>
          <m:e>
            <m:r>
              <m:rPr>
                <m:nor/>
              </m:rPr>
              <m:t>lag_7: </m:t>
            </m:r>
            <m:r>
              <m:t>h</m:t>
            </m:r>
            <m:r>
              <m:rPr>
                <m:sty m:val="p"/>
              </m:rPr>
              <m:t>≤</m:t>
            </m:r>
            <m:r>
              <m:t>7</m:t>
            </m:r>
            <m:r>
              <m:rPr>
                <m:sty m:val="p"/>
              </m:rPr>
              <m:t>;</m:t>
            </m:r>
            <m:r>
              <m:t> </m:t>
            </m:r>
            <m:r>
              <m:rPr>
                <m:nor/>
              </m:rPr>
              <m:t>lag_14: </m:t>
            </m:r>
            <m:r>
              <m:t>8</m:t>
            </m:r>
            <m:r>
              <m:rPr>
                <m:sty m:val="p"/>
              </m:rPr>
              <m:t>≤</m:t>
            </m:r>
            <m:r>
              <m:t>h</m:t>
            </m:r>
            <m:r>
              <m:rPr>
                <m:sty m:val="p"/>
              </m:rPr>
              <m:t>≤</m:t>
            </m:r>
            <m:r>
              <m:t>14</m:t>
            </m:r>
            <m:r>
              <m:rPr>
                <m:sty m:val="p"/>
              </m:rPr>
              <m:t>;</m:t>
            </m:r>
            <m:r>
              <m:t> </m:t>
            </m:r>
            <m:r>
              <m:rPr>
                <m:nor/>
              </m:rPr>
              <m:t>lag_21: </m:t>
            </m:r>
            <m:r>
              <m:t>h</m:t>
            </m:r>
            <m:r>
              <m:rPr>
                <m:sty m:val="p"/>
              </m:rPr>
              <m:t>≥</m:t>
            </m:r>
            <m:r>
              <m:t>15</m:t>
            </m:r>
          </m:e>
        </m:d>
      </m:oMath>
      <w:r>
        <w:tab/>
        <w:t>(3.22)</w:t>
      </w:r>
    </w:p>
    <w:p>
      <w:pPr>
        <w:keepLines w:val="0"/>
        <w:spacing w:after="120"/>
        <w:ind w:firstLine="567"/>
      </w:pPr>
      <w:r>
        <w:t xml:space="preserve">Ridge, XGBoost và LightGBM học trên toàn bộ D(k); chỉ Random Forest học trên một mẫu ngẫu nhiên 600.000 dòng (random_state = SEED = 42) vì chi phí tính toán: thời gian huấn luyện trung bình của nó qua ba lần kiểm định là 612,65 giây, so với 65,34 giây của XGBoost trên toàn bộ dữ liệu. Việc cho XGBoost và LightGBM cùng học trên toàn bộ dữ liệu nhằm so sánh hai mô hình tăng cường trong cùng điều kiện dữ liệu, còn Random Forest không được hưởng cùng lượng thông tin như ba mô hình còn lại; đây là một giới hạn của so sánh, và mục 4.15 đánh giá độ nhạy của XGBoost khi học trên mẫu cùng cỡ. Việc đánh giá luôn diễn ra trên toàn bộ 28.512 quan sát của cửa sổ, dự báo được chặn dưới tại 0, và luận văn không tìm kiếm siêu tham số, nên ba cửa sổ chỉ dùng để so sánh các cấu hình đã cố định.</w:t>
      </w:r>
    </w:p>
    <w:p>
      <w:pPr>
        <w:keepLines w:val="0"/>
        <w:spacing w:after="120"/>
        <w:ind w:firstLine="567"/>
      </w:pPr>
      <w:r>
        <w:t xml:space="preserve">Sai số của mỗi mô hình được tính gộp trên toàn bộ các cặp chuỗi – ngày thuộc V(k). WAPE của mô hình m ở lần k được xác định theo (3.23), và giá trị dùng để xếp hạng là trung bình cộng qua K = 3 lần theo (3.24); MAE, RMSE, sMAPE và RMSLE được tổng hợp tương tự. Theo hàm metric trong src/common.py, sMAPE nhận giá trị 0 tại các điểm có cả thực tế và dự báo bằng 0 nhưng vẫn tính chúng vào trung bình, còn RMSLE dùng log(1 + y) nên xác định được tại y = 0. Kết quả từng lần được lưu trong rolling_cv_metrics.csv, còn trung bình, độ lệch chuẩn mẫu và thời gian huấn luyện trung bình được lưu trong model_comparison_summary.csv.</w:t>
      </w:r>
    </w:p>
    <w:p>
      <w:pPr>
        <w:tabs>
          <w:tab w:val="center" w:pos="4535"/>
          <w:tab w:val="right" w:pos="9071"/>
        </w:tabs>
        <w:spacing w:before="60" w:after="60"/>
        <w:ind w:firstLine="0"/>
      </w:pPr>
      <w:r>
        <w:tab/>
      </w:r>
      <m:oMath xmlns:a="http://schemas.openxmlformats.org/drawingml/2006/main" xmlns:pic="http://schemas.openxmlformats.org/drawingml/2006/picture">
        <m:sSubSup>
          <m:e>
            <m:r>
              <m:rPr>
                <m:sty m:val="p"/>
              </m:rPr>
              <m:t>W</m:t>
            </m:r>
            <m:r>
              <m:rPr>
                <m:sty m:val="p"/>
              </m:rPr>
              <m:t>A</m:t>
            </m:r>
            <m:r>
              <m:rPr>
                <m:sty m:val="p"/>
              </m:rPr>
              <m:t>P</m:t>
            </m:r>
            <m:r>
              <m:rPr>
                <m:sty m:val="p"/>
              </m:rPr>
              <m:t>E</m:t>
            </m:r>
          </m:e>
          <m:sub>
            <m:r>
              <m:t>k</m:t>
            </m:r>
          </m:sub>
          <m:sup>
            <m:d>
              <m:dPr>
                <m:begChr m:val="("/>
                <m:sepChr m:val=""/>
                <m:endChr m:val=")"/>
                <m:grow/>
              </m:dPr>
              <m:e>
                <m:r>
                  <m:t>m</m:t>
                </m:r>
              </m:e>
            </m:d>
          </m:sup>
        </m:sSubSup>
        <m:r>
          <m:rPr>
            <m:sty m:val="p"/>
          </m:rPr>
          <m:t>=</m:t>
        </m:r>
        <m:f>
          <m:fPr>
            <m:type m:val="bar"/>
          </m:fPr>
          <m:num>
            <m:nary>
              <m:naryPr>
                <m:chr m:val="∑"/>
                <m:limLoc m:val="undOvr"/>
                <m:subHide m:val="off"/>
                <m:supHide m:val="on"/>
              </m:naryPr>
              <m:sub>
                <m:d>
                  <m:dPr>
                    <m:begChr m:val="("/>
                    <m:sepChr m:val=""/>
                    <m:endChr m:val=")"/>
                    <m:grow/>
                  </m:dPr>
                  <m:e>
                    <m:r>
                      <m:t>i</m:t>
                    </m:r>
                    <m:r>
                      <m:rPr>
                        <m:sty m:val="p"/>
                      </m:rPr>
                      <m:t>,</m:t>
                    </m:r>
                    <m:r>
                      <m:t>t</m:t>
                    </m:r>
                  </m:e>
                </m:d>
                <m:r>
                  <m:rPr>
                    <m:sty m:val="p"/>
                  </m:rPr>
                  <m:t>∈</m:t>
                </m:r>
                <m:sSub>
                  <m:e>
                    <m:r>
                      <m:rPr>
                        <m:scr m:val="script"/>
                        <m:sty m:val="p"/>
                      </m:rPr>
                      <m:t>V</m:t>
                    </m:r>
                  </m:e>
                  <m:sub>
                    <m:r>
                      <m:t>k</m:t>
                    </m:r>
                  </m:sub>
                </m:sSub>
              </m:sub>
              <m:sup>
                <m:r>
                  <m:t>​</m:t>
                </m:r>
              </m:sup>
              <m:e>
                <m:d>
                  <m:dPr>
                    <m:begChr m:val="|"/>
                    <m:sepChr m:val=""/>
                    <m:endChr m:val="|"/>
                    <m:grow/>
                  </m:dPr>
                  <m:e>
                    <m:sSub>
                      <m:e>
                        <m:r>
                          <m:t>y</m:t>
                        </m:r>
                      </m:e>
                      <m:sub>
                        <m:r>
                          <m:t>i</m:t>
                        </m:r>
                        <m:r>
                          <m:rPr>
                            <m:sty m:val="p"/>
                          </m:rPr>
                          <m:t>,</m:t>
                        </m:r>
                        <m:r>
                          <m:t>t</m:t>
                        </m:r>
                      </m:sub>
                    </m:sSub>
                    <m:r>
                      <m:rPr>
                        <m:sty m:val="p"/>
                      </m:rPr>
                      <m:t>−</m:t>
                    </m:r>
                    <m:sSubSup>
                      <m:e>
                        <m:acc>
                          <m:accPr>
                            <m:chr m:val="̂"/>
                          </m:accPr>
                          <m:e>
                            <m:r>
                              <m:t>y</m:t>
                            </m:r>
                          </m:e>
                        </m:acc>
                      </m:e>
                      <m:sub>
                        <m:r>
                          <m:t>i</m:t>
                        </m:r>
                        <m:r>
                          <m:rPr>
                            <m:sty m:val="p"/>
                          </m:rPr>
                          <m:t>,</m:t>
                        </m:r>
                        <m:r>
                          <m:t>t</m:t>
                        </m:r>
                      </m:sub>
                      <m:sup>
                        <m:d>
                          <m:dPr>
                            <m:begChr m:val="("/>
                            <m:sepChr m:val=""/>
                            <m:endChr m:val=")"/>
                            <m:grow/>
                          </m:dPr>
                          <m:e>
                            <m:r>
                              <m:t>m</m:t>
                            </m:r>
                          </m:e>
                        </m:d>
                      </m:sup>
                    </m:sSubSup>
                  </m:e>
                </m:d>
              </m:e>
            </m:nary>
          </m:num>
          <m:den>
            <m:nary>
              <m:naryPr>
                <m:chr m:val="∑"/>
                <m:limLoc m:val="undOvr"/>
                <m:subHide m:val="off"/>
                <m:supHide m:val="on"/>
              </m:naryPr>
              <m:sub>
                <m:d>
                  <m:dPr>
                    <m:begChr m:val="("/>
                    <m:sepChr m:val=""/>
                    <m:endChr m:val=")"/>
                    <m:grow/>
                  </m:dPr>
                  <m:e>
                    <m:r>
                      <m:t>i</m:t>
                    </m:r>
                    <m:r>
                      <m:rPr>
                        <m:sty m:val="p"/>
                      </m:rPr>
                      <m:t>,</m:t>
                    </m:r>
                    <m:r>
                      <m:t>t</m:t>
                    </m:r>
                  </m:e>
                </m:d>
                <m:r>
                  <m:rPr>
                    <m:sty m:val="p"/>
                  </m:rPr>
                  <m:t>∈</m:t>
                </m:r>
                <m:sSub>
                  <m:e>
                    <m:r>
                      <m:rPr>
                        <m:scr m:val="script"/>
                        <m:sty m:val="p"/>
                      </m:rPr>
                      <m:t>V</m:t>
                    </m:r>
                  </m:e>
                  <m:sub>
                    <m:r>
                      <m:t>k</m:t>
                    </m:r>
                  </m:sub>
                </m:sSub>
              </m:sub>
              <m:sup>
                <m:r>
                  <m:t>​</m:t>
                </m:r>
              </m:sup>
              <m:e>
                <m:d>
                  <m:dPr>
                    <m:begChr m:val="|"/>
                    <m:sepChr m:val=""/>
                    <m:endChr m:val="|"/>
                    <m:grow/>
                  </m:dPr>
                  <m:e>
                    <m:sSub>
                      <m:e>
                        <m:r>
                          <m:t>y</m:t>
                        </m:r>
                      </m:e>
                      <m:sub>
                        <m:r>
                          <m:t>i</m:t>
                        </m:r>
                        <m:r>
                          <m:rPr>
                            <m:sty m:val="p"/>
                          </m:rPr>
                          <m:t>,</m:t>
                        </m:r>
                        <m:r>
                          <m:t>t</m:t>
                        </m:r>
                      </m:sub>
                    </m:sSub>
                  </m:e>
                </m:d>
              </m:e>
            </m:nary>
            <m:r>
              <m:rPr>
                <m:sty m:val="p"/>
              </m:rPr>
              <m:t>+</m:t>
            </m:r>
            <m:sSup>
              <m:e>
                <m:r>
                  <m:t>10</m:t>
                </m:r>
              </m:e>
              <m:sup>
                <m:r>
                  <m:rPr>
                    <m:sty m:val="p"/>
                  </m:rPr>
                  <m:t>−</m:t>
                </m:r>
                <m:r>
                  <m:t>9</m:t>
                </m:r>
              </m:sup>
            </m:sSup>
          </m:den>
        </m:f>
        <m:r>
          <m:rPr>
            <m:sty m:val="p"/>
          </m:rPr>
          <m:t>,</m:t>
        </m:r>
        <m:r>
          <m:t>  </m:t>
        </m:r>
        <m:sSubSup>
          <m:e>
            <m:acc>
              <m:accPr>
                <m:chr m:val="̂"/>
              </m:accPr>
              <m:e>
                <m:r>
                  <m:t>y</m:t>
                </m:r>
              </m:e>
            </m:acc>
          </m:e>
          <m:sub>
            <m:r>
              <m:t>i</m:t>
            </m:r>
            <m:r>
              <m:rPr>
                <m:sty m:val="p"/>
              </m:rPr>
              <m:t>,</m:t>
            </m:r>
            <m:r>
              <m:t>t</m:t>
            </m:r>
          </m:sub>
          <m:sup>
            <m:d>
              <m:dPr>
                <m:begChr m:val="("/>
                <m:sepChr m:val=""/>
                <m:endChr m:val=")"/>
                <m:grow/>
              </m:dPr>
              <m:e>
                <m:r>
                  <m:t>m</m:t>
                </m:r>
              </m:e>
            </m:d>
          </m:sup>
        </m:sSubSup>
        <m:r>
          <m:rPr>
            <m:sty m:val="p"/>
          </m:rPr>
          <m:t>≥</m:t>
        </m:r>
        <m:r>
          <m:t>0</m:t>
        </m:r>
      </m:oMath>
      <w:r>
        <w:tab/>
        <w:t>(3.23)</w:t>
      </w:r>
    </w:p>
    <w:p>
      <w:pPr>
        <w:tabs>
          <w:tab w:val="center" w:pos="4535"/>
          <w:tab w:val="right" w:pos="9071"/>
        </w:tabs>
        <w:spacing w:before="60" w:after="60"/>
        <w:ind w:firstLine="0"/>
      </w:pPr>
      <w:r>
        <w:tab/>
      </w:r>
      <m:oMath xmlns:a="http://schemas.openxmlformats.org/drawingml/2006/main" xmlns:pic="http://schemas.openxmlformats.org/drawingml/2006/picture">
        <m:sSup>
          <m:e>
            <m:bar>
              <m:barPr>
                <m:pos m:val="top"/>
              </m:barPr>
              <m:e>
                <m:r>
                  <m:rPr>
                    <m:sty m:val="p"/>
                  </m:rPr>
                  <m:t>W</m:t>
                </m:r>
                <m:r>
                  <m:rPr>
                    <m:sty m:val="p"/>
                  </m:rPr>
                  <m:t>A</m:t>
                </m:r>
                <m:r>
                  <m:rPr>
                    <m:sty m:val="p"/>
                  </m:rPr>
                  <m:t>P</m:t>
                </m:r>
                <m:r>
                  <m:rPr>
                    <m:sty m:val="p"/>
                  </m:rPr>
                  <m:t>E</m:t>
                </m:r>
              </m:e>
            </m:bar>
          </m:e>
          <m:sup>
            <m:d>
              <m:dPr>
                <m:begChr m:val="("/>
                <m:sepChr m:val=""/>
                <m:endChr m:val=")"/>
                <m:grow/>
              </m:dPr>
              <m:e>
                <m:r>
                  <m:t>m</m:t>
                </m:r>
              </m:e>
            </m:d>
          </m:sup>
        </m:sSup>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Sup>
              <m:e>
                <m:r>
                  <m:rPr>
                    <m:sty m:val="p"/>
                  </m:rPr>
                  <m:t>W</m:t>
                </m:r>
                <m:r>
                  <m:rPr>
                    <m:sty m:val="p"/>
                  </m:rPr>
                  <m:t>A</m:t>
                </m:r>
                <m:r>
                  <m:rPr>
                    <m:sty m:val="p"/>
                  </m:rPr>
                  <m:t>P</m:t>
                </m:r>
                <m:r>
                  <m:rPr>
                    <m:sty m:val="p"/>
                  </m:rPr>
                  <m:t>E</m:t>
                </m:r>
              </m:e>
              <m:sub>
                <m:r>
                  <m:t>k</m:t>
                </m:r>
              </m:sub>
              <m:sup>
                <m:d>
                  <m:dPr>
                    <m:begChr m:val="("/>
                    <m:sepChr m:val=""/>
                    <m:endChr m:val=")"/>
                    <m:grow/>
                  </m:dPr>
                  <m:e>
                    <m:r>
                      <m:t>m</m:t>
                    </m:r>
                  </m:e>
                </m:d>
              </m:sup>
            </m:sSubSup>
          </m:e>
        </m:nary>
        <m:r>
          <m:rPr>
            <m:sty m:val="p"/>
          </m:rPr>
          <m:t>,</m:t>
        </m:r>
        <m:r>
          <m:t>  </m:t>
        </m:r>
        <m:sSubSup>
          <m:e>
            <m:r>
              <m:t>s</m:t>
            </m:r>
          </m:e>
          <m:sub>
            <m:r>
              <m:rPr>
                <m:sty m:val="p"/>
              </m:rPr>
              <m:t>W</m:t>
            </m:r>
            <m:r>
              <m:rPr>
                <m:sty m:val="p"/>
              </m:rPr>
              <m:t>A</m:t>
            </m:r>
            <m:r>
              <m:rPr>
                <m:sty m:val="p"/>
              </m:rPr>
              <m:t>P</m:t>
            </m:r>
            <m:r>
              <m:rPr>
                <m:sty m:val="p"/>
              </m:rPr>
              <m:t>E</m:t>
            </m:r>
          </m:sub>
          <m:sup>
            <m:d>
              <m:dPr>
                <m:begChr m:val="("/>
                <m:sepChr m:val=""/>
                <m:endChr m:val=")"/>
                <m:grow/>
              </m:dPr>
              <m:e>
                <m:r>
                  <m:t>m</m:t>
                </m:r>
              </m:e>
            </m:d>
          </m:sup>
        </m:sSubSup>
        <m:r>
          <m:rPr>
            <m:sty m:val="p"/>
          </m:rPr>
          <m:t>=</m:t>
        </m:r>
        <m:rad>
          <m:radPr>
            <m:degHide m:val="on"/>
          </m:radPr>
          <m:deg/>
          <m:e>
            <m:f>
              <m:fPr>
                <m:type m:val="bar"/>
              </m:fPr>
              <m:num>
                <m:r>
                  <m:t>1</m:t>
                </m:r>
              </m:num>
              <m:den>
                <m:r>
                  <m:t>K</m:t>
                </m:r>
                <m:r>
                  <m:rPr>
                    <m:sty m:val="p"/>
                  </m:rPr>
                  <m:t>−</m:t>
                </m:r>
                <m:r>
                  <m:t>1</m:t>
                </m:r>
              </m:den>
            </m:f>
            <m:nary>
              <m:naryPr>
                <m:chr m:val="∑"/>
                <m:limLoc m:val="undOvr"/>
                <m:subHide m:val="off"/>
                <m:supHide m:val="off"/>
              </m:naryPr>
              <m:sub>
                <m:r>
                  <m:t>k</m:t>
                </m:r>
                <m:r>
                  <m:rPr>
                    <m:sty m:val="p"/>
                  </m:rPr>
                  <m:t>=</m:t>
                </m:r>
                <m:r>
                  <m:t>1</m:t>
                </m:r>
              </m:sub>
              <m:sup>
                <m:r>
                  <m:t>K</m:t>
                </m:r>
              </m:sup>
              <m:e>
                <m:sSup>
                  <m:e>
                    <m:d>
                      <m:dPr>
                        <m:begChr m:val="("/>
                        <m:sepChr m:val=""/>
                        <m:endChr m:val=")"/>
                        <m:grow/>
                      </m:dPr>
                      <m:e>
                        <m:sSubSup>
                          <m:e>
                            <m:r>
                              <m:rPr>
                                <m:sty m:val="p"/>
                              </m:rPr>
                              <m:t>W</m:t>
                            </m:r>
                            <m:r>
                              <m:rPr>
                                <m:sty m:val="p"/>
                              </m:rPr>
                              <m:t>A</m:t>
                            </m:r>
                            <m:r>
                              <m:rPr>
                                <m:sty m:val="p"/>
                              </m:rPr>
                              <m:t>P</m:t>
                            </m:r>
                            <m:r>
                              <m:rPr>
                                <m:sty m:val="p"/>
                              </m:rPr>
                              <m:t>E</m:t>
                            </m:r>
                          </m:e>
                          <m:sub>
                            <m:r>
                              <m:t>k</m:t>
                            </m:r>
                          </m:sub>
                          <m:sup>
                            <m:d>
                              <m:dPr>
                                <m:begChr m:val="("/>
                                <m:sepChr m:val=""/>
                                <m:endChr m:val=")"/>
                                <m:grow/>
                              </m:dPr>
                              <m:e>
                                <m:r>
                                  <m:t>m</m:t>
                                </m:r>
                              </m:e>
                            </m:d>
                          </m:sup>
                        </m:sSubSup>
                        <m:r>
                          <m:rPr>
                            <m:sty m:val="p"/>
                          </m:rPr>
                          <m:t>−</m:t>
                        </m:r>
                        <m:sSup>
                          <m:e>
                            <m:bar>
                              <m:barPr>
                                <m:pos m:val="top"/>
                              </m:barPr>
                              <m:e>
                                <m:r>
                                  <m:rPr>
                                    <m:sty m:val="p"/>
                                  </m:rPr>
                                  <m:t>W</m:t>
                                </m:r>
                                <m:r>
                                  <m:rPr>
                                    <m:sty m:val="p"/>
                                  </m:rPr>
                                  <m:t>A</m:t>
                                </m:r>
                                <m:r>
                                  <m:rPr>
                                    <m:sty m:val="p"/>
                                  </m:rPr>
                                  <m:t>P</m:t>
                                </m:r>
                                <m:r>
                                  <m:rPr>
                                    <m:sty m:val="p"/>
                                  </m:rPr>
                                  <m:t>E</m:t>
                                </m:r>
                              </m:e>
                            </m:bar>
                          </m:e>
                          <m:sup>
                            <m:d>
                              <m:dPr>
                                <m:begChr m:val="("/>
                                <m:sepChr m:val=""/>
                                <m:endChr m:val=")"/>
                                <m:grow/>
                              </m:dPr>
                              <m:e>
                                <m:r>
                                  <m:t>m</m:t>
                                </m:r>
                              </m:e>
                            </m:d>
                          </m:sup>
                        </m:sSup>
                      </m:e>
                    </m:d>
                  </m:e>
                  <m:sup>
                    <m:r>
                      <m:t>2</m:t>
                    </m:r>
                  </m:sup>
                </m:sSup>
              </m:e>
            </m:nary>
          </m:e>
        </m:rad>
        <m:r>
          <m:rPr>
            <m:sty m:val="p"/>
          </m:rPr>
          <m:t>,</m:t>
        </m:r>
        <m:r>
          <m:t>  </m:t>
        </m:r>
        <m:r>
          <m:t>K</m:t>
        </m:r>
        <m:r>
          <m:rPr>
            <m:sty m:val="p"/>
          </m:rPr>
          <m:t>=</m:t>
        </m:r>
        <m:r>
          <m:t>3</m:t>
        </m:r>
      </m:oMath>
      <w:r>
        <w:tab/>
        <w:t>(3.24)</w:t>
      </w:r>
    </w:p>
    <w:p>
      <w:pPr>
        <w:keepLines w:val="0"/>
        <w:spacing w:after="120"/>
        <w:ind w:firstLine="567"/>
      </w:pPr>
      <w:r>
        <w:t xml:space="preserve">Vì Seasonal Naive cố định gốc chỉ dùng thông tin có trước gốc dự báo, khoảng cách giữa nó và các mô hình học máy là một phép đo hợp lệ về lợi ích của học máy trong thiết kế này (mục 5.1). Tuy vậy, sMAPE và RMSLE cần được đọc thận trọng: cả hai ưu ái các dự báo đúng giá trị 0 hoặc giá trị nhỏ, trong khi 31,30% số dòng của toàn bộ dữ liệu có doanh số bằng 0. Một mô hình sao chép doanh số tuần trước tự động dự báo đúng 0 cho nhiều chuỗi thưa, nên sMAPE thấp của Seasonal Naive không có nghĩa là dự báo tốt hơn về khối lượng; hai thước đo này vì vậy chỉ là chỉ số bổ sung (Hyndman và Koehler, 2006).</w:t>
      </w:r>
    </w:p>
    <w:p>
      <w:pPr>
        <w:pStyle w:val="Heading3"/>
        <w:keepNext/>
      </w:pPr>
      <w:r>
        <w:t xml:space="preserve">3.8.3. Quy tắc lựa chọn định trước và cách đọc độ ổn định</w:t>
      </w:r>
    </w:p>
    <w:p>
      <w:pPr>
        <w:keepLines w:val="0"/>
        <w:spacing w:after="120"/>
        <w:ind w:firstLine="567"/>
      </w:pPr>
      <w:r>
        <w:t xml:space="preserve">Quy tắc lựa chọn mô hình được mã hóa trước khi tập kiểm tra cuối được sử dụng, dưới dạng thứ tự từ điển ở (3.25): các mô hình được sắp xếp theo WAPE trung bình tăng dần; nếu có thế hòa thì dùng RMSE trung bình, rồi MAE trung bình để phân định. Mô hình đứng đầu là mô hình thắng, được ghi vào model_selection.json cùng tiêu chí lựa chọn, các tiêu chí phụ và trường final_holdout_used_for_selection = false. WAPE được đặt làm tiêu chí chính vì mẫu số là tổng nhu cầu thực tế, nên thước đo không mất ổn định khi nhiều dòng bằng 0 và phản ánh sai số theo khối lượng hàng, yếu tố gắn trực tiếp với tác động vận hành.</w:t>
      </w:r>
    </w:p>
    <w:p>
      <w:pPr>
        <w:tabs>
          <w:tab w:val="center" w:pos="4535"/>
          <w:tab w:val="right" w:pos="9071"/>
        </w:tabs>
        <w:spacing w:before="60" w:after="60"/>
        <w:ind w:firstLine="0"/>
      </w:pPr>
      <w:r>
        <w:tab/>
      </w:r>
      <m:oMath xmlns:a="http://schemas.openxmlformats.org/drawingml/2006/main" xmlns:pic="http://schemas.openxmlformats.org/drawingml/2006/picture">
        <m:sSup>
          <m:e>
            <m:r>
              <m:t>m</m:t>
            </m:r>
          </m:e>
          <m:sup>
            <m:r>
              <m:rPr>
                <m:sty m:val="p"/>
              </m:rPr>
              <m:t>*</m:t>
            </m:r>
          </m:sup>
        </m:sSup>
        <m:r>
          <m:rPr>
            <m:sty m:val="p"/>
          </m:rPr>
          <m:t>=</m:t>
        </m:r>
        <m:r>
          <m:rPr>
            <m:sty m:val="p"/>
          </m:rPr>
          <m:t>arg</m:t>
        </m:r>
        <m:limLow>
          <m:e>
            <m:r>
              <m:rPr>
                <m:sty m:val="p"/>
              </m:rPr>
              <m:t>min</m:t>
            </m:r>
          </m:e>
          <m:lim>
            <m:r>
              <m:t>m</m:t>
            </m:r>
            <m:r>
              <m:rPr>
                <m:sty m:val="p"/>
              </m:rPr>
              <m:t>∈</m:t>
            </m:r>
            <m:r>
              <m:rPr>
                <m:scr m:val="script"/>
                <m:sty m:val="p"/>
              </m:rPr>
              <m:t>M</m:t>
            </m:r>
          </m:lim>
        </m:limLow>
        <m:sSup>
          <m:e>
            <m:r>
              <m:t>​</m:t>
            </m:r>
          </m:e>
          <m:sup>
            <m:r>
              <m:rPr>
                <m:sty m:val="p"/>
              </m:rPr>
              <m:t>l</m:t>
            </m:r>
            <m:r>
              <m:rPr>
                <m:sty m:val="p"/>
              </m:rPr>
              <m:t>e</m:t>
            </m:r>
            <m:r>
              <m:rPr>
                <m:sty m:val="p"/>
              </m:rPr>
              <m:t>x</m:t>
            </m:r>
          </m:sup>
        </m:sSup>
        <m:d>
          <m:dPr>
            <m:begChr m:val="("/>
            <m:sepChr m:val=""/>
            <m:endChr m:val=")"/>
            <m:grow/>
          </m:dPr>
          <m:e>
            <m:sSup>
              <m:e>
                <m:bar>
                  <m:barPr>
                    <m:pos m:val="top"/>
                  </m:barPr>
                  <m:e>
                    <m:r>
                      <m:rPr>
                        <m:sty m:val="p"/>
                      </m:rPr>
                      <m:t>W</m:t>
                    </m:r>
                    <m:r>
                      <m:rPr>
                        <m:sty m:val="p"/>
                      </m:rPr>
                      <m:t>A</m:t>
                    </m:r>
                    <m:r>
                      <m:rPr>
                        <m:sty m:val="p"/>
                      </m:rPr>
                      <m:t>P</m:t>
                    </m:r>
                    <m:r>
                      <m:rPr>
                        <m:sty m:val="p"/>
                      </m:rPr>
                      <m:t>E</m:t>
                    </m:r>
                  </m:e>
                </m:bar>
              </m:e>
              <m:sup>
                <m:d>
                  <m:dPr>
                    <m:begChr m:val="("/>
                    <m:sepChr m:val=""/>
                    <m:endChr m:val=")"/>
                    <m:grow/>
                  </m:dPr>
                  <m:e>
                    <m:r>
                      <m:t>m</m:t>
                    </m:r>
                  </m:e>
                </m:d>
              </m:sup>
            </m:sSup>
            <m:r>
              <m:rPr>
                <m:sty m:val="p"/>
              </m:rPr>
              <m:t>,</m:t>
            </m:r>
            <m:r>
              <m:t> </m:t>
            </m:r>
            <m:sSup>
              <m:e>
                <m:bar>
                  <m:barPr>
                    <m:pos m:val="top"/>
                  </m:barPr>
                  <m:e>
                    <m:r>
                      <m:rPr>
                        <m:sty m:val="p"/>
                      </m:rPr>
                      <m:t>R</m:t>
                    </m:r>
                    <m:r>
                      <m:rPr>
                        <m:sty m:val="p"/>
                      </m:rPr>
                      <m:t>M</m:t>
                    </m:r>
                    <m:r>
                      <m:rPr>
                        <m:sty m:val="p"/>
                      </m:rPr>
                      <m:t>S</m:t>
                    </m:r>
                    <m:r>
                      <m:rPr>
                        <m:sty m:val="p"/>
                      </m:rPr>
                      <m:t>E</m:t>
                    </m:r>
                  </m:e>
                </m:bar>
              </m:e>
              <m:sup>
                <m:d>
                  <m:dPr>
                    <m:begChr m:val="("/>
                    <m:sepChr m:val=""/>
                    <m:endChr m:val=")"/>
                    <m:grow/>
                  </m:dPr>
                  <m:e>
                    <m:r>
                      <m:t>m</m:t>
                    </m:r>
                  </m:e>
                </m:d>
              </m:sup>
            </m:sSup>
            <m:r>
              <m:rPr>
                <m:sty m:val="p"/>
              </m:rPr>
              <m:t>,</m:t>
            </m:r>
            <m:r>
              <m:t> </m:t>
            </m:r>
            <m:sSup>
              <m:e>
                <m:bar>
                  <m:barPr>
                    <m:pos m:val="top"/>
                  </m:barPr>
                  <m:e>
                    <m:r>
                      <m:rPr>
                        <m:sty m:val="p"/>
                      </m:rPr>
                      <m:t>M</m:t>
                    </m:r>
                    <m:r>
                      <m:rPr>
                        <m:sty m:val="p"/>
                      </m:rPr>
                      <m:t>A</m:t>
                    </m:r>
                    <m:r>
                      <m:rPr>
                        <m:sty m:val="p"/>
                      </m:rPr>
                      <m:t>E</m:t>
                    </m:r>
                  </m:e>
                </m:bar>
              </m:e>
              <m:sup>
                <m:d>
                  <m:dPr>
                    <m:begChr m:val="("/>
                    <m:sepChr m:val=""/>
                    <m:endChr m:val=")"/>
                    <m:grow/>
                  </m:dPr>
                  <m:e>
                    <m:r>
                      <m:t>m</m:t>
                    </m:r>
                  </m:e>
                </m:d>
              </m:sup>
            </m:sSup>
          </m:e>
        </m:d>
      </m:oMath>
      <w:r>
        <w:tab/>
        <w:t>(3.25)</w:t>
      </w:r>
    </w:p>
    <w:p>
      <w:pPr>
        <w:keepLines w:val="0"/>
        <w:spacing w:after="120"/>
        <w:ind w:firstLine="567"/>
      </w:pPr>
      <w:r>
        <w:t xml:space="preserve">Kiểm định chéo với nhiều gốc dự báo làm tăng số phép đo sai số ngoài mẫu và giảm sự phụ thuộc vào một gốc duy nhất (Tashman, 2000; Hyndman và Athanasopoulos, 2021). Tuy nhiên, với K = 3, độ lệch chuẩn giữa các lần chỉ là chỉ báo mô tả, không đủ làm cơ sở cho kiểm định ý nghĩa thống kê, và ba cửa sổ chỉ bao phủ 48 ngày giữa năm 2017. Độ ổn định vì vậy được đọc qua độ lệch chuẩn của WAPE và sự nhất quán của thứ hạng giữa ba lần.</w:t>
      </w:r>
    </w:p>
    <w:p>
      <w:pPr>
        <w:keepLines w:val="0"/>
        <w:spacing w:after="120"/>
        <w:ind w:firstLine="567"/>
      </w:pPr>
      <w:r>
        <w:t xml:space="preserve">Theo quy tắc trên, XGBoost là mô hình được chọn trong lần chạy chính thức, nhưng hai tín hiệu ổn định không hoàn toàn cùng chiều. XGBoost đứng đầu WAPE và có RMSE thấp nhất ở cả ba lần kiểm định, song chênh lệch WAPE trung bình với LightGBM chỉ là 0,478 điểm phần trăm, nhỏ hơn độ lệch chuẩn giữa các lần của chính XGBoost (0,646 điểm phần trăm). Luận văn vì vậy coi việc chọn XGBoost là kết quả của một quy tắc định trước được áp dụng nhất quán, không phải bằng chứng thống kê rằng XGBoost vượt trội LightGBM; chi tiết ở mục 4.2 và 4.3.</w:t>
      </w:r>
    </w:p>
    <w:p>
      <w:pPr>
        <w:pStyle w:val="Heading2"/>
        <w:keepNext/>
      </w:pPr>
      <w:r>
        <w:t xml:space="preserve">3.9. Tập kiểm tra cuối</w:t>
      </w:r>
    </w:p>
    <w:p>
      <w:pPr>
        <w:pStyle w:val="Heading3"/>
        <w:keepNext/>
      </w:pPr>
      <w:r>
        <w:t xml:space="preserve">3.9.1. Nguyên tắc cô lập và trình tự thực hiện</w:t>
      </w:r>
    </w:p>
    <w:p>
      <w:pPr>
        <w:keepLines w:val="0"/>
        <w:spacing w:after="120"/>
        <w:ind w:firstLine="567"/>
      </w:pPr>
      <w:r>
        <w:t xml:space="preserve">Tập kiểm tra cuối (final holdout) gồm 16 ngày có dữ liệu cuối cùng, từ 31/07/2017 đến 15/08/2017, và được giữ ngoài toàn bộ quá trình lựa chọn mô hình. Trong mã nguồn, mô hình thắng được xác định từ bảng tổng hợp kiểm định chéo trước khi vòng lặp đánh giá trên tập kiểm tra cuối được thực thi, và không có bước nào đưa thước đo của tập này ngược trở lại quy tắc lựa chọn. Sau đó, cả năm mô hình vẫn được đánh giá trên tập này để tạo bằng chứng so sánh ngoài mẫu. Trình tự của Stage 04 gồm các bước dưới đây.</w:t>
      </w:r>
    </w:p>
    <w:p>
      <w:pPr>
        <w:keepLines w:val="0"/>
        <w:spacing w:after="60"/>
        <w:ind w:left="851" w:hanging="284"/>
      </w:pPr>
      <w:r>
        <w:t xml:space="preserve">1.	Chạy ba lần kiểm định cho năm mô hình, ghi thước đo, train_seconds và train_rows.</w:t>
      </w:r>
    </w:p>
    <w:p>
      <w:pPr>
        <w:keepLines w:val="0"/>
        <w:spacing w:after="60"/>
        <w:ind w:left="851" w:hanging="284"/>
      </w:pPr>
      <w:r>
        <w:t xml:space="preserve">2.	Tổng hợp trung bình và độ lệch chuẩn qua ba lần, sắp xếp theo WAPE, RMSE rồi MAE trung bình và xác định mô hình thắng.</w:t>
      </w:r>
    </w:p>
    <w:p>
      <w:pPr>
        <w:keepLines w:val="0"/>
        <w:spacing w:after="60"/>
        <w:ind w:left="851" w:hanging="284"/>
      </w:pPr>
      <w:r>
        <w:t xml:space="preserve">3.	Huấn luyện lại bốn mô hình học máy trên mọi dòng trước 31/07/2017 với cùng cấu hình và quy tắc dữ liệu; Seasonal Naive dùng lag_7, lag_14, lag_21 theo vị trí ngày.</w:t>
      </w:r>
    </w:p>
    <w:p>
      <w:pPr>
        <w:keepLines w:val="0"/>
        <w:spacing w:after="60"/>
        <w:ind w:left="851" w:hanging="284"/>
      </w:pPr>
      <w:r>
        <w:t xml:space="preserve">4.	Dự báo tập kiểm tra cuối, ghi final_holdout_metrics.csv kèm cờ selected_by_cv và final_holdout_predictions.parquet.</w:t>
      </w:r>
    </w:p>
    <w:p>
      <w:pPr>
        <w:keepLines w:val="0"/>
        <w:spacing w:after="60"/>
        <w:ind w:left="851" w:hanging="284"/>
      </w:pPr>
      <w:r>
        <w:t xml:space="preserve">5.	Ghi model_selection.json, sao chép mô hình thắng thành selected_point_model.joblib cho Stage 05 và 06; ghi importance theo số lần tách của LightGBM và theo gain của XGBoost.</w:t>
      </w:r>
    </w:p>
    <w:p>
      <w:pPr>
        <w:keepLines w:val="0"/>
        <w:spacing w:after="120"/>
        <w:ind w:firstLine="567"/>
      </w:pPr>
      <w:r>
        <w:t xml:space="preserve">Cờ selected_by_cv cho phép xác minh rằng quyết định lựa chọn có trước kết quả cuối. Nếu một mô hình khác nhỉnh hơn trên tập kiểm tra cuối ở một thước đo nào đó, đó chỉ là phát hiện, không phải lý do đổi mô hình; trong lần chạy chính thức, điều này xảy ra với RMSE, khi LightGBM đạt 225,479 so với 225,602 của XGBoost, trong khi XGBoost vẫn có WAPE thấp nhất. Sự cô lập được bảo đảm bằng logic chương trình chứ không bằng niêm phong dữ liệu; vì vậy, kiểm thử khói của Stage 10 đọc lại model_selection.json và dừng quy trình nếu trường final_holdout_used_for_selection không bằng false (mục 3.14.3).</w:t>
      </w:r>
    </w:p>
    <w:p>
      <w:pPr>
        <w:pStyle w:val="Heading3"/>
        <w:keepNext/>
      </w:pPr>
      <w:r>
        <w:t xml:space="preserve">3.9.2. Mô hình cuối và vai trò đối với các lớp phía sau</w:t>
      </w:r>
    </w:p>
    <w:p>
      <w:pPr>
        <w:keepLines w:val="0"/>
        <w:spacing w:after="120"/>
        <w:ind w:firstLine="567"/>
      </w:pPr>
      <w:r>
        <w:t xml:space="preserve">Mô hình dùng cho tập kiểm tra cuối được huấn luyện trên mọi ngày trước 31/07/2017, tức 2.660.988 dòng bao gồm cả ba cửa sổ kiểm định. Lựa chọn này phản ánh thực hành vận hành: phiên bản đưa vào sử dụng nên học trên thông tin gần nhất. Hệ quả là điều được chuyển giao từ bước lựa chọn sang bước đánh giá là cấu hình và quy tắc học, không phải một bộ tham số đã học; Random Forest vẫn chỉ học trên mẫu 600.000 dòng.</w:t>
      </w:r>
    </w:p>
    <w:p>
      <w:pPr>
        <w:keepLines w:val="0"/>
        <w:spacing w:after="120"/>
        <w:ind w:firstLine="567"/>
      </w:pPr>
      <w:r>
        <w:t xml:space="preserve">Mô hình XGBoost cuối là trụ cột của toàn bộ chuỗi quyết định phía sau. Dự báo điểm của nó trên 28.512 quan sát của tập kiểm tra cuối là nền để dựng P10/P50/P90 (mục 3.10), để dự báo lại dưới năm mức onpromotion (mục 3.11), để tính các đại lượng tồn kho (mục 3.12) và để lập phiếu khuyến nghị (mục 3.13). Cần phân biệt dự báo điểm của XGBoost (tổng 13.773.080 trên tập kiểm tra cuối), được kịch bản Current sử dụng, với P50 của lớp xác suất (tổng 13.758.714), bằng dự báo điểm cộng trung vị phần dư của nhóm và được lớp tồn kho sử dụng. Nhờ liên kết một chiều này, mọi con số ở các lớp quyết định truy ngược được về một mô hình duy nhất, nhưng mọi giới hạn của mô hình điểm cũng lan truyền sang các lớp phía sau.</w:t>
      </w:r>
    </w:p>
    <w:p>
      <w:pPr>
        <w:pStyle w:val="Heading3"/>
        <w:keepNext/>
      </w:pPr>
      <w:r>
        <w:t xml:space="preserve">3.9.3. Diễn giải khoảng cách giữa kiểm định chéo và tập kiểm tra cuối</w:t>
      </w:r>
    </w:p>
    <w:p>
      <w:pPr>
        <w:keepLines w:val="0"/>
        <w:spacing w:after="120"/>
        <w:ind w:firstLine="567"/>
      </w:pPr>
      <w:r>
        <w:t xml:space="preserve">Khoảng cách giữa WAPE trên tập kiểm tra cuối và WAPE trung bình của kiểm định chéo, định nghĩa ở (3.26), là chỉ báo tóm tắt về khả năng khái quát hóa theo thời gian của từng mô hình. Một khoảng cách dương cho thấy giai đoạn kiểm tra cuối khó dự báo hơn các cửa sổ kiểm định, nhưng bản thân con số không cho biết nguyên nhân. Với một cửa sổ duy nhất dài 16 ngày, không thể tách phần do thay đổi cấu trúc nhu cầu (drift) khỏi phần do biến động ngẫu nhiên, nên luận văn so sánh khoảng cách giữa các mô hình thay vì diễn giải giá trị tuyệt đối. Trong lần chạy chính thức, mọi mô hình đều có khoảng cách dương, từ +2,237 điểm phần trăm của XGBoost đến +4,947 điểm phần trăm của Seasonal Naive; phân tích chi tiết được trình bày ở mục 4.4.</w:t>
      </w:r>
    </w:p>
    <w:p>
      <w:pPr>
        <w:tabs>
          <w:tab w:val="center" w:pos="4535"/>
          <w:tab w:val="right" w:pos="9071"/>
        </w:tabs>
        <w:spacing w:before="60" w:after="60"/>
        <w:ind w:firstLine="0"/>
      </w:pPr>
      <w:r>
        <w:tab/>
      </w:r>
      <m:oMath xmlns:a="http://schemas.openxmlformats.org/drawingml/2006/main" xmlns:pic="http://schemas.openxmlformats.org/drawingml/2006/picture">
        <m:sSup>
          <m:e>
            <m:r>
              <m:t>Δ</m:t>
            </m:r>
          </m:e>
          <m:sup>
            <m:d>
              <m:dPr>
                <m:begChr m:val="("/>
                <m:sepChr m:val=""/>
                <m:endChr m:val=")"/>
                <m:grow/>
              </m:dPr>
              <m:e>
                <m:r>
                  <m:t>m</m:t>
                </m:r>
              </m:e>
            </m:d>
          </m:sup>
        </m:sSup>
        <m:r>
          <m:rPr>
            <m:sty m:val="p"/>
          </m:rPr>
          <m:t>=</m:t>
        </m:r>
        <m:sSubSup>
          <m:e>
            <m:r>
              <m:rPr>
                <m:sty m:val="p"/>
              </m:rPr>
              <m:t>W</m:t>
            </m:r>
            <m:r>
              <m:rPr>
                <m:sty m:val="p"/>
              </m:rPr>
              <m:t>A</m:t>
            </m:r>
            <m:r>
              <m:rPr>
                <m:sty m:val="p"/>
              </m:rPr>
              <m:t>P</m:t>
            </m:r>
            <m:r>
              <m:rPr>
                <m:sty m:val="p"/>
              </m:rPr>
              <m:t>E</m:t>
            </m:r>
          </m:e>
          <m:sub>
            <m:r>
              <m:rPr>
                <m:sty m:val="p"/>
              </m:rPr>
              <m:t>h</m:t>
            </m:r>
            <m:r>
              <m:rPr>
                <m:sty m:val="p"/>
              </m:rPr>
              <m:t>o</m:t>
            </m:r>
            <m:r>
              <m:rPr>
                <m:sty m:val="p"/>
              </m:rPr>
              <m:t>l</m:t>
            </m:r>
            <m:r>
              <m:rPr>
                <m:sty m:val="p"/>
              </m:rPr>
              <m:t>d</m:t>
            </m:r>
            <m:r>
              <m:rPr>
                <m:sty m:val="p"/>
              </m:rPr>
              <m:t>o</m:t>
            </m:r>
            <m:r>
              <m:rPr>
                <m:sty m:val="p"/>
              </m:rPr>
              <m:t>u</m:t>
            </m:r>
            <m:r>
              <m:rPr>
                <m:sty m:val="p"/>
              </m:rPr>
              <m:t>t</m:t>
            </m:r>
          </m:sub>
          <m:sup>
            <m:d>
              <m:dPr>
                <m:begChr m:val="("/>
                <m:sepChr m:val=""/>
                <m:endChr m:val=")"/>
                <m:grow/>
              </m:dPr>
              <m:e>
                <m:r>
                  <m:t>m</m:t>
                </m:r>
              </m:e>
            </m:d>
          </m:sup>
        </m:sSubSup>
        <m:r>
          <m:rPr>
            <m:sty m:val="p"/>
          </m:rPr>
          <m:t>−</m:t>
        </m:r>
        <m:sSubSup>
          <m:e>
            <m:bar>
              <m:barPr>
                <m:pos m:val="top"/>
              </m:barPr>
              <m:e>
                <m:r>
                  <m:rPr>
                    <m:sty m:val="p"/>
                  </m:rPr>
                  <m:t>W</m:t>
                </m:r>
                <m:r>
                  <m:rPr>
                    <m:sty m:val="p"/>
                  </m:rPr>
                  <m:t>A</m:t>
                </m:r>
                <m:r>
                  <m:rPr>
                    <m:sty m:val="p"/>
                  </m:rPr>
                  <m:t>P</m:t>
                </m:r>
                <m:r>
                  <m:rPr>
                    <m:sty m:val="p"/>
                  </m:rPr>
                  <m:t>E</m:t>
                </m:r>
              </m:e>
            </m:bar>
          </m:e>
          <m:sub>
            <m:r>
              <m:rPr>
                <m:sty m:val="p"/>
              </m:rPr>
              <m:t>C</m:t>
            </m:r>
            <m:r>
              <m:rPr>
                <m:sty m:val="p"/>
              </m:rPr>
              <m:t>V</m:t>
            </m:r>
          </m:sub>
          <m:sup>
            <m:d>
              <m:dPr>
                <m:begChr m:val="("/>
                <m:sepChr m:val=""/>
                <m:endChr m:val=")"/>
                <m:grow/>
              </m:dPr>
              <m:e>
                <m:r>
                  <m:t>m</m:t>
                </m:r>
              </m:e>
            </m:d>
          </m:sup>
        </m:sSubSup>
        <m:r>
          <m:t> </m:t>
        </m:r>
        <m:d>
          <m:dPr>
            <m:begChr m:val="("/>
            <m:sepChr m:val=""/>
            <m:endChr m:val=")"/>
            <m:grow/>
          </m:dPr>
          <m:e>
            <m:r>
              <m:rPr>
                <m:nor/>
              </m:rPr>
              <m:t>điểm phần trăm</m:t>
            </m:r>
          </m:e>
        </m:d>
      </m:oMath>
      <w:r>
        <w:tab/>
        <w:t>(3.26)</w:t>
      </w:r>
    </w:p>
    <w:p>
      <w:pPr>
        <w:keepLines w:val="0"/>
        <w:spacing w:after="120"/>
        <w:ind w:firstLine="567"/>
      </w:pPr>
      <w:r>
        <w:t xml:space="preserve">Phạm vi suy rộng của tập kiểm tra cuối cũng bị giới hạn bởi kỳ dự báo và giai đoạn lịch: kế hoạch có thời gian cung ứng dài hơn đòi hỏi kỳ dự báo khác, trong khi bất định thường tăng khi kỳ dự báo dài ra (Hyndman và Athanasopoulos, 2021). Hewamalage và cộng sự (2023) nhấn mạnh rằng đánh giá theo thời gian và kiểm soát rò rỉ là hai điều kiện then chốt để kết quả đánh giá dự báo đáng tin cậy; thiết kế của luận văn đáp ứng cả hai điều kiện ở mức cấu trúc, nhưng chỉ với một cửa sổ kiểm tra cuối duy nhất.</w:t>
      </w:r>
    </w:p>
    <w:p>
      <w:pPr>
        <w:pStyle w:val="Heading2"/>
        <w:keepNext/>
      </w:pPr>
      <w:r>
        <w:t xml:space="preserve">3.10. Dự báo xác suất bằng Mondrian split-conformal</w:t>
      </w:r>
    </w:p>
    <w:p>
      <w:pPr>
        <w:pStyle w:val="Heading3"/>
        <w:keepNext/>
      </w:pPr>
      <w:r>
        <w:t xml:space="preserve">3.10.1. Nhánh phương pháp theo mô hình thắng và cơ sở lý thuyết</w:t>
      </w:r>
    </w:p>
    <w:p>
      <w:pPr>
        <w:keepLines w:val="0"/>
        <w:spacing w:after="120"/>
        <w:ind w:firstLine="567"/>
      </w:pPr>
      <w:r>
        <w:t xml:space="preserve">Lớp dự báo xác suất (Stage 05, 05_probabilistic_forecasting.py) được thiết kế để đi theo mô hình đã được chọn ở Stage 04 thay vì cố định một phương pháp từ trước. Mã nguồn đọc trường winner trong model_selection.json và rẽ nhánh: nếu Seasonal Naive thắng, phần dư được tính quanh dự báo Seasonal Naive; nếu một mô hình học máy thắng, quy trình nhân bản cấu hình của mô hình cuối, huấn luyện lại bản sao trên dữ liệu trước cửa sổ hiệu chỉnh và dựng khoảng quanh dự báo điểm. Vì XGBoost thắng, lần chạy chính thức đi theo nhánh thứ hai, và tệp probabilistic_method.json ghi phương pháp là “Mondrian split-conformal residual intervals (10 bins of point forecast) around selected XGBoost”, kèm cửa sổ hiệu chỉnh 15/07/2017–30/07/2017.</w:t>
      </w:r>
    </w:p>
    <w:p>
      <w:pPr>
        <w:keepLines w:val="0"/>
        <w:spacing w:after="120"/>
        <w:ind w:firstLine="567"/>
      </w:pPr>
      <w:r>
        <w:t xml:space="preserve">Về lý thuyết, dự báo phù hợp chia tách (split conformal prediction) học mô hình trên phần huấn luyện, tính điểm không phù hợp (nonconformity score), thường là trị tuyệt đối của phần dư, trên phần hiệu chỉnh, rồi lấy một phân vị có hiệu chỉnh hữu hạn mẫu để dựng khoảng cho quan sát mới (Vovk và cộng sự, 2005; Lei và cộng sự, 2018). Khi dữ liệu hiệu chỉnh và dữ liệu mới hoán đổi được (exchangeable), khoảng có độ bao phủ biên không thấp hơn mức danh nghĩa (Angelopoulos và Bates, 2023). Dạng Mondrian, được Vovk và cộng sự (2005) trình bày, chia quan sát thành các nhóm theo một phân loại xác định trước và hiệu chỉnh riêng trong từng nhóm, nên mục tiêu bao phủ được đặt cho từng nhóm chứ không chỉ cho toàn bộ mẫu.</w:t>
      </w:r>
    </w:p>
    <w:p>
      <w:pPr>
        <w:keepLines w:val="0"/>
        <w:spacing w:after="120"/>
        <w:ind w:firstLine="567"/>
      </w:pPr>
      <w:r>
        <w:t xml:space="preserve">Triển khai của luận văn khác dạng chuẩn ở bốn điểm. Thứ nhất, điểm không phù hợp là phần dư có dấu, và hai phân vị 0,1 và 0,9 được lấy riêng, nên khoảng có thể bất đối xứng. Thứ hai, quy trình lấy thêm phân vị 0,5 của phần dư, nên P50 là dự báo điểm được dịch theo trung vị sai số của nhóm. Thứ ba, phân vị được tính bằng hàm phân vị thực nghiệm của numpy, không có hệ số hiệu chỉnh hữu hạn mẫu; với khoảng 2.851 phần dư mỗi nhóm, hệ số này không đáng kể. Thứ tư, tiêu chí chia nhóm là chính dự báo điểm, một đại lượng biết được tại thời điểm dự báo, nên phân loại hợp lệ về mặt thông tin; các bảo đảm lý thuyết vẫn phụ thuộc giả định hoán đổi được trong từng nhóm (mục 3.10.5).</w:t>
      </w:r>
    </w:p>
    <w:p>
      <w:pPr>
        <w:pStyle w:val="Heading3"/>
        <w:keepNext/>
      </w:pPr>
      <w:r>
        <w:t xml:space="preserve">3.10.2. Quy trình từng bước và hai mô hình tham gia</w:t>
      </w:r>
    </w:p>
    <w:p>
      <w:pPr>
        <w:keepLines w:val="0"/>
        <w:spacing w:after="120"/>
        <w:ind w:firstLine="567"/>
      </w:pPr>
      <w:r>
        <w:t xml:space="preserve">Quy trình Mondrian split-conformal của Stage 05 được thực hiện theo tám bước dưới đây, trong đó có hai mô hình XGBoost khác nhau tham gia: một mô hình tạo phần dư hiệu chỉnh và một mô hình dự báo trên tập kiểm tra cuối. Các công thức (3.27), (3.28), (3.29) và (3.30) hình thức hóa lần lượt phần dư, quy tắc gán nhóm, phân vị phần dư theo nhóm và phân vị dự báo.</w:t>
      </w:r>
    </w:p>
    <w:p>
      <w:pPr>
        <w:keepLines w:val="0"/>
        <w:spacing w:after="60"/>
        <w:ind w:left="851" w:hanging="284"/>
      </w:pPr>
      <w:r>
        <w:t xml:space="preserve">1.	Xác định cửa sổ hiệu chỉnh C là 16 ngày ngay trước tập kiểm tra cuối, 15/07/2017–30/07/2017 (trùng lần kiểm định 3).</w:t>
      </w:r>
    </w:p>
    <w:p>
      <w:pPr>
        <w:keepLines w:val="0"/>
        <w:spacing w:after="60"/>
        <w:ind w:left="851" w:hanging="284"/>
      </w:pPr>
      <w:r>
        <w:t xml:space="preserve">2.	Huấn luyện bản sao cấu hình XGBoost trên mọi dòng trước 15/07/2017 theo cùng quy tắc dữ liệu của Stage 04 (2.632.476 dòng).</w:t>
      </w:r>
    </w:p>
    <w:p>
      <w:pPr>
        <w:keepLines w:val="0"/>
        <w:spacing w:after="60"/>
        <w:ind w:left="851" w:hanging="284"/>
      </w:pPr>
      <w:r>
        <w:t xml:space="preserve">3.	Dự báo cho 28.512 quan sát của C, chặn tại 0 và tính phần dư có dấu r = y − ŷ.</w:t>
      </w:r>
    </w:p>
    <w:p>
      <w:pPr>
        <w:keepLines w:val="0"/>
        <w:spacing w:after="60"/>
        <w:ind w:left="851" w:hanging="284"/>
      </w:pPr>
      <w:r>
        <w:t xml:space="preserve">4.	Lấy biên nhóm là phân vị 0%, 10%, …, 100% của dự báo điểm trên C, loại biên trùng; gán mỗi quan sát vào nhóm chứa dự báo điểm của nó.</w:t>
      </w:r>
    </w:p>
    <w:p>
      <w:pPr>
        <w:keepLines w:val="0"/>
        <w:spacing w:after="60"/>
        <w:ind w:left="851" w:hanging="284"/>
      </w:pPr>
      <w:r>
        <w:t xml:space="preserve">5.	Trong từng nhóm, lấy phân vị 0,1; 0,5; 0,9 của phần dư và ghi vào conformal_bins.csv.</w:t>
      </w:r>
    </w:p>
    <w:p>
      <w:pPr>
        <w:keepLines w:val="0"/>
        <w:spacing w:after="60"/>
        <w:ind w:left="851" w:hanging="284"/>
      </w:pPr>
      <w:r>
        <w:t xml:space="preserve">6.	Tạo dự báo điểm của XGBoost cuối cho tập kiểm tra cuối và gán nhóm; dòng ngoài biên được đưa về nhóm đầu hoặc nhóm cuối.</w:t>
      </w:r>
    </w:p>
    <w:p>
      <w:pPr>
        <w:keepLines w:val="0"/>
        <w:spacing w:after="60"/>
        <w:ind w:left="851" w:hanging="284"/>
      </w:pPr>
      <w:r>
        <w:t xml:space="preserve">7.	Cộng ba phân vị của nhóm vào dự báo điểm, chặn tại 0 và sắp xếp tăng dần để có P10, P50, P90.</w:t>
      </w:r>
    </w:p>
    <w:p>
      <w:pPr>
        <w:keepLines w:val="0"/>
        <w:spacing w:after="60"/>
        <w:ind w:left="851" w:hanging="284"/>
      </w:pPr>
      <w:r>
        <w:t xml:space="preserve">8.	Tính pinball, độ bao phủ, độ rộng; ghi probabilistic_metrics.csv, probabilistic_predictions.parquet và probabilistic_method.json.</w:t>
      </w:r>
    </w:p>
    <w:p>
      <w:pPr>
        <w:tabs>
          <w:tab w:val="center" w:pos="4535"/>
          <w:tab w:val="right" w:pos="9071"/>
        </w:tabs>
        <w:spacing w:before="60" w:after="60"/>
        <w:ind w:firstLine="0"/>
      </w:pPr>
      <w:r>
        <w:tab/>
      </w:r>
      <m:oMath xmlns:a="http://schemas.openxmlformats.org/drawingml/2006/main" xmlns:pic="http://schemas.openxmlformats.org/drawingml/2006/picture">
        <m:sSub>
          <m:e>
            <m:r>
              <m:t>r</m:t>
            </m:r>
          </m:e>
          <m:sub>
            <m:r>
              <m:t>i</m:t>
            </m:r>
            <m:r>
              <m:rPr>
                <m:sty m:val="p"/>
              </m:rPr>
              <m:t>,</m:t>
            </m:r>
            <m:r>
              <m:t>t</m:t>
            </m:r>
          </m:sub>
        </m:sSub>
        <m:r>
          <m:rPr>
            <m:sty m:val="p"/>
          </m:rPr>
          <m:t>=</m:t>
        </m:r>
        <m:sSub>
          <m:e>
            <m:r>
              <m:t>y</m:t>
            </m:r>
          </m:e>
          <m:sub>
            <m:r>
              <m:t>i</m:t>
            </m:r>
            <m:r>
              <m:rPr>
                <m:sty m:val="p"/>
              </m:rPr>
              <m:t>,</m:t>
            </m:r>
            <m:r>
              <m:t>t</m:t>
            </m:r>
          </m:sub>
        </m:sSub>
        <m:r>
          <m:rPr>
            <m:sty m:val="p"/>
          </m:rPr>
          <m:t>−</m:t>
        </m:r>
        <m:sSub>
          <m:e>
            <m:acc>
              <m:accPr>
                <m:chr m:val="̂"/>
              </m:accPr>
              <m:e>
                <m:r>
                  <m:t>c</m:t>
                </m:r>
              </m:e>
            </m:acc>
          </m:e>
          <m:sub>
            <m:r>
              <m:t>i</m:t>
            </m:r>
            <m:r>
              <m:rPr>
                <m:sty m:val="p"/>
              </m:rPr>
              <m:t>,</m:t>
            </m:r>
            <m:r>
              <m:t>t</m:t>
            </m:r>
          </m:sub>
        </m:sSub>
        <m:r>
          <m:rPr>
            <m:sty m:val="p"/>
          </m:rPr>
          <m:t>,</m:t>
        </m:r>
        <m:r>
          <m:t>  </m:t>
        </m:r>
        <m:sSub>
          <m:e>
            <m:acc>
              <m:accPr>
                <m:chr m:val="̂"/>
              </m:accPr>
              <m:e>
                <m:r>
                  <m:t>c</m:t>
                </m:r>
              </m:e>
            </m:acc>
          </m:e>
          <m:sub>
            <m:r>
              <m:t>i</m:t>
            </m:r>
            <m:r>
              <m:rPr>
                <m:sty m:val="p"/>
              </m:rPr>
              <m:t>,</m:t>
            </m:r>
            <m:r>
              <m:t>t</m:t>
            </m:r>
          </m:sub>
        </m:sSub>
        <m:r>
          <m:rPr>
            <m:sty m:val="p"/>
          </m:rPr>
          <m:t>=</m:t>
        </m:r>
        <m:r>
          <m:rPr>
            <m:sty m:val="p"/>
          </m:rPr>
          <m:t>max</m:t>
        </m:r>
        <m:d>
          <m:dPr>
            <m:begChr m:val="{"/>
            <m:sepChr m:val=""/>
            <m:endChr m:val="}"/>
            <m:grow/>
          </m:dPr>
          <m:e>
            <m:r>
              <m:t>0</m:t>
            </m:r>
            <m:r>
              <m:rPr>
                <m:sty m:val="p"/>
              </m:rPr>
              <m:t>,</m:t>
            </m:r>
            <m:r>
              <m:t> </m:t>
            </m:r>
            <m:sSup>
              <m:e>
                <m:acc>
                  <m:accPr>
                    <m:chr m:val="̂"/>
                  </m:accPr>
                  <m:e>
                    <m:r>
                      <m:t>f</m:t>
                    </m:r>
                  </m:e>
                </m:acc>
              </m:e>
              <m:sup>
                <m:d>
                  <m:dPr>
                    <m:begChr m:val="("/>
                    <m:sepChr m:val=""/>
                    <m:endChr m:val=")"/>
                    <m:grow/>
                  </m:dPr>
                  <m:e>
                    <m:r>
                      <m:rPr>
                        <m:sty m:val="p"/>
                      </m:rPr>
                      <m:t>&lt;</m:t>
                    </m:r>
                    <m:r>
                      <m:t>15</m:t>
                    </m:r>
                    <m:r>
                      <m:rPr>
                        <m:sty m:val="p"/>
                      </m:rPr>
                      <m:t>/</m:t>
                    </m:r>
                    <m:r>
                      <m:t>07</m:t>
                    </m:r>
                  </m:e>
                </m:d>
              </m:sup>
            </m:sSup>
            <m:d>
              <m:dPr>
                <m:begChr m:val="("/>
                <m:sepChr m:val=""/>
                <m:endChr m:val=")"/>
                <m:grow/>
              </m:dPr>
              <m:e>
                <m:sSub>
                  <m:e>
                    <m:r>
                      <m:rPr>
                        <m:sty m:val="b"/>
                      </m:rPr>
                      <m:t>x</m:t>
                    </m:r>
                  </m:e>
                  <m:sub>
                    <m:r>
                      <m:t>i</m:t>
                    </m:r>
                    <m:r>
                      <m:rPr>
                        <m:sty m:val="p"/>
                      </m:rPr>
                      <m:t>,</m:t>
                    </m:r>
                    <m:r>
                      <m:t>t</m:t>
                    </m:r>
                  </m:sub>
                </m:sSub>
              </m:e>
            </m:d>
          </m:e>
        </m:d>
        <m:r>
          <m:rPr>
            <m:sty m:val="p"/>
          </m:rPr>
          <m:t>,</m:t>
        </m:r>
        <m:r>
          <m:t>  </m:t>
        </m:r>
        <m:d>
          <m:dPr>
            <m:begChr m:val="("/>
            <m:sepChr m:val=""/>
            <m:endChr m:val=")"/>
            <m:grow/>
          </m:dPr>
          <m:e>
            <m:r>
              <m:t>i</m:t>
            </m:r>
            <m:r>
              <m:rPr>
                <m:sty m:val="p"/>
              </m:rPr>
              <m:t>,</m:t>
            </m:r>
            <m:r>
              <m:t>t</m:t>
            </m:r>
          </m:e>
        </m:d>
        <m:r>
          <m:rPr>
            <m:sty m:val="p"/>
          </m:rPr>
          <m:t>∈</m:t>
        </m:r>
        <m:r>
          <m:rPr>
            <m:scr m:val="script"/>
            <m:sty m:val="p"/>
          </m:rPr>
          <m:t>C</m:t>
        </m:r>
        <m:r>
          <m:rPr>
            <m:sty m:val="p"/>
          </m:rPr>
          <m:t>=</m:t>
        </m:r>
        <m:sSub>
          <m:e>
            <m:r>
              <m:rPr>
                <m:scr m:val="script"/>
                <m:sty m:val="p"/>
              </m:rPr>
              <m:t>V</m:t>
            </m:r>
          </m:e>
          <m:sub>
            <m:r>
              <m:t>3</m:t>
            </m:r>
          </m:sub>
        </m:sSub>
      </m:oMath>
      <w:r>
        <w:tab/>
        <w:t>(3.27)</w:t>
      </w:r>
    </w:p>
    <w:p>
      <w:pPr>
        <w:tabs>
          <w:tab w:val="center" w:pos="4535"/>
          <w:tab w:val="right" w:pos="9071"/>
        </w:tabs>
        <w:spacing w:before="60" w:after="60"/>
        <w:ind w:firstLine="0"/>
      </w:pPr>
      <w:r>
        <w:tab/>
      </w:r>
      <m:oMath xmlns:a="http://schemas.openxmlformats.org/drawingml/2006/main" xmlns:pic="http://schemas.openxmlformats.org/drawingml/2006/picture">
        <m:sSub>
          <m:e>
            <m:r>
              <m:t>e</m:t>
            </m:r>
          </m:e>
          <m:sub>
            <m:r>
              <m:t>0</m:t>
            </m:r>
          </m:sub>
        </m:sSub>
        <m:r>
          <m:rPr>
            <m:sty m:val="p"/>
          </m:rPr>
          <m:t>&lt;</m:t>
        </m:r>
        <m:sSub>
          <m:e>
            <m:r>
              <m:t>e</m:t>
            </m:r>
          </m:e>
          <m:sub>
            <m:r>
              <m:t>1</m:t>
            </m:r>
          </m:sub>
        </m:sSub>
        <m:r>
          <m:rPr>
            <m:sty m:val="p"/>
          </m:rPr>
          <m:t>&lt;</m:t>
        </m:r>
        <m:r>
          <m:rPr>
            <m:sty m:val="p"/>
          </m:rPr>
          <m:t>…</m:t>
        </m:r>
        <m:r>
          <m:rPr>
            <m:sty m:val="p"/>
          </m:rPr>
          <m:t>&lt;</m:t>
        </m:r>
        <m:sSub>
          <m:e>
            <m:r>
              <m:t>e</m:t>
            </m:r>
          </m:e>
          <m:sub>
            <m:r>
              <m:t>B</m:t>
            </m:r>
          </m:sub>
        </m:sSub>
        <m:r>
          <m:rPr>
            <m:sty m:val="p"/>
          </m:rPr>
          <m:t>=</m:t>
        </m:r>
        <m:r>
          <m:rPr>
            <m:sty m:val="p"/>
          </m:rPr>
          <m:t>u</m:t>
        </m:r>
        <m:r>
          <m:rPr>
            <m:sty m:val="p"/>
          </m:rPr>
          <m:t>n</m:t>
        </m:r>
        <m:r>
          <m:rPr>
            <m:sty m:val="p"/>
          </m:rPr>
          <m:t>i</m:t>
        </m:r>
        <m:r>
          <m:rPr>
            <m:sty m:val="p"/>
          </m:rPr>
          <m:t>q</m:t>
        </m:r>
        <m:r>
          <m:rPr>
            <m:sty m:val="p"/>
          </m:rPr>
          <m:t>u</m:t>
        </m:r>
        <m:r>
          <m:rPr>
            <m:sty m:val="p"/>
          </m:rPr>
          <m:t>e</m:t>
        </m:r>
        <m:sSubSup>
          <m:e>
            <m:d>
              <m:dPr>
                <m:begChr m:val="{"/>
                <m:sepChr m:val=""/>
                <m:endChr m:val="}"/>
                <m:grow/>
              </m:dPr>
              <m:e>
                <m:sSub>
                  <m:e>
                    <m:acc>
                      <m:accPr>
                        <m:chr m:val="̂"/>
                      </m:accPr>
                      <m:e>
                        <m:r>
                          <m:t>Q</m:t>
                        </m:r>
                      </m:e>
                    </m:acc>
                  </m:e>
                  <m:sub>
                    <m:r>
                      <m:t>j</m:t>
                    </m:r>
                    <m:r>
                      <m:rPr>
                        <m:sty m:val="p"/>
                      </m:rPr>
                      <m:t>/</m:t>
                    </m:r>
                    <m:r>
                      <m:t>10</m:t>
                    </m:r>
                  </m:sub>
                </m:sSub>
                <m:d>
                  <m:dPr>
                    <m:begChr m:val="("/>
                    <m:sepChr m:val=""/>
                    <m:endChr m:val=")"/>
                    <m:grow/>
                  </m:dPr>
                  <m:e>
                    <m:r>
                      <m:rPr>
                        <m:sty m:val="p"/>
                      </m:rPr>
                      <m:t>{</m:t>
                    </m:r>
                    <m:sSub>
                      <m:e>
                        <m:acc>
                          <m:accPr>
                            <m:chr m:val="̂"/>
                          </m:accPr>
                          <m:e>
                            <m:r>
                              <m:t>c</m:t>
                            </m:r>
                          </m:e>
                        </m:acc>
                      </m:e>
                      <m:sub>
                        <m:r>
                          <m:t>i</m:t>
                        </m:r>
                        <m:r>
                          <m:rPr>
                            <m:sty m:val="p"/>
                          </m:rPr>
                          <m:t>,</m:t>
                        </m:r>
                        <m:r>
                          <m:t>t</m:t>
                        </m:r>
                      </m:sub>
                    </m:sSub>
                    <m:sSub>
                      <m:e>
                        <m:r>
                          <m:rPr>
                            <m:sty m:val="p"/>
                          </m:rPr>
                          <m:t>}</m:t>
                        </m:r>
                      </m:e>
                      <m:sub>
                        <m:r>
                          <m:rPr>
                            <m:scr m:val="script"/>
                            <m:sty m:val="p"/>
                          </m:rPr>
                          <m:t>C</m:t>
                        </m:r>
                      </m:sub>
                    </m:sSub>
                  </m:e>
                </m:d>
              </m:e>
            </m:d>
          </m:e>
          <m:sub>
            <m:r>
              <m:t>j</m:t>
            </m:r>
            <m:r>
              <m:rPr>
                <m:sty m:val="p"/>
              </m:rPr>
              <m:t>=</m:t>
            </m:r>
            <m:r>
              <m:t>0</m:t>
            </m:r>
          </m:sub>
          <m:sup>
            <m:r>
              <m:t>10</m:t>
            </m:r>
          </m:sup>
        </m:sSubSup>
        <m:r>
          <m:rPr>
            <m:sty m:val="p"/>
          </m:rPr>
          <m:t>,</m:t>
        </m:r>
        <m:r>
          <m:t>  </m:t>
        </m:r>
        <m:r>
          <m:t>b</m:t>
        </m:r>
        <m:d>
          <m:dPr>
            <m:begChr m:val="("/>
            <m:sepChr m:val=""/>
            <m:endChr m:val=")"/>
            <m:grow/>
          </m:dPr>
          <m:e>
            <m:acc>
              <m:accPr>
                <m:chr m:val="̂"/>
              </m:accPr>
              <m:e>
                <m:r>
                  <m:t>y</m:t>
                </m:r>
              </m:e>
            </m:acc>
          </m:e>
        </m:d>
        <m:r>
          <m:rPr>
            <m:sty m:val="p"/>
          </m:rPr>
          <m:t>=</m:t>
        </m:r>
        <m:r>
          <m:rPr>
            <m:sty m:val="p"/>
          </m:rPr>
          <m:t>min</m:t>
        </m:r>
        <m:d>
          <m:dPr>
            <m:begChr m:val="{"/>
            <m:sepChr m:val=""/>
            <m:endChr m:val="}"/>
            <m:grow/>
          </m:dPr>
          <m:e>
            <m:r>
              <m:t>B</m:t>
            </m:r>
            <m:r>
              <m:rPr>
                <m:sty m:val="p"/>
              </m:rPr>
              <m:t>,</m:t>
            </m:r>
            <m:r>
              <m:t> </m:t>
            </m:r>
            <m:r>
              <m:rPr>
                <m:sty m:val="p"/>
              </m:rPr>
              <m:t>max</m:t>
            </m:r>
            <m:d>
              <m:dPr>
                <m:begChr m:val="{"/>
                <m:sepChr m:val=""/>
                <m:endChr m:val="}"/>
                <m:grow/>
              </m:dPr>
              <m:e>
                <m:r>
                  <m:t>1</m:t>
                </m:r>
                <m:r>
                  <m:rPr>
                    <m:sty m:val="p"/>
                  </m:rPr>
                  <m:t>,</m:t>
                </m:r>
                <m:r>
                  <m:t> </m:t>
                </m:r>
                <m:r>
                  <m:rPr>
                    <m:sty m:val="p"/>
                  </m:rPr>
                  <m:t>max</m:t>
                </m:r>
                <m:r>
                  <m:rPr>
                    <m:sty m:val="p"/>
                  </m:rPr>
                  <m:t>{</m:t>
                </m:r>
                <m:r>
                  <m:t>j</m:t>
                </m:r>
                <m:r>
                  <m:rPr>
                    <m:sty m:val="p"/>
                  </m:rPr>
                  <m:t>:</m:t>
                </m:r>
                <m:r>
                  <m:t> </m:t>
                </m:r>
                <m:sSub>
                  <m:e>
                    <m:r>
                      <m:t>e</m:t>
                    </m:r>
                  </m:e>
                  <m:sub>
                    <m:r>
                      <m:t>j</m:t>
                    </m:r>
                    <m:r>
                      <m:rPr>
                        <m:sty m:val="p"/>
                      </m:rPr>
                      <m:t>−</m:t>
                    </m:r>
                    <m:r>
                      <m:t>1</m:t>
                    </m:r>
                  </m:sub>
                </m:sSub>
                <m:r>
                  <m:rPr>
                    <m:sty m:val="p"/>
                  </m:rPr>
                  <m:t>≤</m:t>
                </m:r>
                <m:acc>
                  <m:accPr>
                    <m:chr m:val="̂"/>
                  </m:accPr>
                  <m:e>
                    <m:r>
                      <m:t>y</m:t>
                    </m:r>
                  </m:e>
                </m:acc>
                <m:r>
                  <m:rPr>
                    <m:sty m:val="p"/>
                  </m:rPr>
                  <m:t>}</m:t>
                </m:r>
              </m:e>
            </m:d>
          </m:e>
        </m:d>
      </m:oMath>
      <w:r>
        <w:tab/>
        <w:t>(3.28)</w:t>
      </w:r>
    </w:p>
    <w:p>
      <w:pPr>
        <w:tabs>
          <w:tab w:val="center" w:pos="4535"/>
          <w:tab w:val="right" w:pos="9071"/>
        </w:tabs>
        <w:spacing w:before="60" w:after="60"/>
        <w:ind w:firstLine="0"/>
      </w:pPr>
      <w:r>
        <w:tab/>
      </w:r>
      <m:oMath xmlns:a="http://schemas.openxmlformats.org/drawingml/2006/main" xmlns:pic="http://schemas.openxmlformats.org/drawingml/2006/picture">
        <m:sSub>
          <m:e>
            <m:acc>
              <m:accPr>
                <m:chr m:val="̂"/>
              </m:accPr>
              <m:e>
                <m:r>
                  <m:t>q</m:t>
                </m:r>
              </m:e>
            </m:acc>
          </m:e>
          <m:sub>
            <m:r>
              <m:t>α</m:t>
            </m:r>
            <m:r>
              <m:rPr>
                <m:sty m:val="p"/>
              </m:rPr>
              <m:t>,</m:t>
            </m:r>
            <m:r>
              <m:t>b</m:t>
            </m:r>
          </m:sub>
        </m:sSub>
        <m:r>
          <m:rPr>
            <m:sty m:val="p"/>
          </m:rPr>
          <m:t>=</m:t>
        </m:r>
        <m:sSub>
          <m:e>
            <m:acc>
              <m:accPr>
                <m:chr m:val="̂"/>
              </m:accPr>
              <m:e>
                <m:r>
                  <m:t>Q</m:t>
                </m:r>
              </m:e>
            </m:acc>
          </m:e>
          <m:sub>
            <m:r>
              <m:t>α</m:t>
            </m:r>
          </m:sub>
        </m:sSub>
        <m:d>
          <m:dPr>
            <m:begChr m:val="("/>
            <m:sepChr m:val=""/>
            <m:endChr m:val=")"/>
            <m:grow/>
          </m:dPr>
          <m:e>
            <m:r>
              <m:rPr>
                <m:sty m:val="p"/>
              </m:rPr>
              <m:t>{</m:t>
            </m:r>
            <m:sSub>
              <m:e>
                <m:r>
                  <m:t>r</m:t>
                </m:r>
              </m:e>
              <m:sub>
                <m:r>
                  <m:t>i</m:t>
                </m:r>
                <m:r>
                  <m:rPr>
                    <m:sty m:val="p"/>
                  </m:rPr>
                  <m:t>,</m:t>
                </m:r>
                <m:r>
                  <m:t>t</m:t>
                </m:r>
              </m:sub>
            </m:sSub>
            <m:r>
              <m:rPr>
                <m:sty m:val="p"/>
              </m:rPr>
              <m:t>:</m:t>
            </m:r>
            <m:d>
              <m:dPr>
                <m:begChr m:val="("/>
                <m:sepChr m:val=""/>
                <m:endChr m:val=")"/>
                <m:grow/>
              </m:dPr>
              <m:e>
                <m:r>
                  <m:t>i</m:t>
                </m:r>
                <m:r>
                  <m:rPr>
                    <m:sty m:val="p"/>
                  </m:rPr>
                  <m:t>,</m:t>
                </m:r>
                <m:r>
                  <m:t>t</m:t>
                </m:r>
              </m:e>
            </m:d>
            <m:r>
              <m:rPr>
                <m:sty m:val="p"/>
              </m:rPr>
              <m:t>∈</m:t>
            </m:r>
            <m:r>
              <m:rPr>
                <m:scr m:val="script"/>
                <m:sty m:val="p"/>
              </m:rPr>
              <m:t>C</m:t>
            </m:r>
            <m:r>
              <m:rPr>
                <m:sty m:val="p"/>
              </m:rPr>
              <m:t>,</m:t>
            </m:r>
            <m:r>
              <m:t> </m:t>
            </m:r>
            <m:r>
              <m:t>b</m:t>
            </m:r>
            <m:d>
              <m:dPr>
                <m:begChr m:val="("/>
                <m:sepChr m:val=""/>
                <m:endChr m:val=")"/>
                <m:grow/>
              </m:dPr>
              <m:e>
                <m:sSub>
                  <m:e>
                    <m:acc>
                      <m:accPr>
                        <m:chr m:val="̂"/>
                      </m:accPr>
                      <m:e>
                        <m:r>
                          <m:t>c</m:t>
                        </m:r>
                      </m:e>
                    </m:acc>
                  </m:e>
                  <m:sub>
                    <m:r>
                      <m:t>i</m:t>
                    </m:r>
                    <m:r>
                      <m:rPr>
                        <m:sty m:val="p"/>
                      </m:rPr>
                      <m:t>,</m:t>
                    </m:r>
                    <m:r>
                      <m:t>t</m:t>
                    </m:r>
                  </m:sub>
                </m:sSub>
              </m:e>
            </m:d>
            <m:r>
              <m:rPr>
                <m:sty m:val="p"/>
              </m:rPr>
              <m:t>=</m:t>
            </m:r>
            <m:r>
              <m:t>b</m:t>
            </m:r>
            <m:r>
              <m:rPr>
                <m:sty m:val="p"/>
              </m:rPr>
              <m:t>}</m:t>
            </m:r>
          </m:e>
        </m:d>
        <m:r>
          <m:rPr>
            <m:sty m:val="p"/>
          </m:rPr>
          <m:t>,</m:t>
        </m:r>
        <m:r>
          <m:t>  </m:t>
        </m:r>
        <m:r>
          <m:t>α</m:t>
        </m:r>
        <m:r>
          <m:rPr>
            <m:sty m:val="p"/>
          </m:rPr>
          <m:t>∈</m:t>
        </m:r>
        <m:r>
          <m:rPr>
            <m:sty m:val="p"/>
          </m:rPr>
          <m:t>{</m:t>
        </m:r>
        <m:r>
          <m:t>0.1</m:t>
        </m:r>
        <m:r>
          <m:rPr>
            <m:sty m:val="p"/>
          </m:rPr>
          <m:t>,</m:t>
        </m:r>
        <m:r>
          <m:t> </m:t>
        </m:r>
        <m:r>
          <m:t>0.5</m:t>
        </m:r>
        <m:r>
          <m:rPr>
            <m:sty m:val="p"/>
          </m:rPr>
          <m:t>,</m:t>
        </m:r>
        <m:r>
          <m:t> </m:t>
        </m:r>
        <m:r>
          <m:t>0.9</m:t>
        </m:r>
        <m:r>
          <m:rPr>
            <m:sty m:val="p"/>
          </m:rPr>
          <m:t>}</m:t>
        </m:r>
        <m:r>
          <m:rPr>
            <m:sty m:val="p"/>
          </m:rPr>
          <m:t>,</m:t>
        </m:r>
        <m:r>
          <m:t> </m:t>
        </m:r>
        <m:r>
          <m:t>b</m:t>
        </m:r>
        <m:r>
          <m:rPr>
            <m:sty m:val="p"/>
          </m:rPr>
          <m:t>=</m:t>
        </m:r>
        <m:r>
          <m:t>1</m:t>
        </m:r>
        <m:r>
          <m:rPr>
            <m:sty m:val="p"/>
          </m:rPr>
          <m:t>,</m:t>
        </m:r>
        <m:r>
          <m:rPr>
            <m:sty m:val="p"/>
          </m:rPr>
          <m:t>…</m:t>
        </m:r>
        <m:r>
          <m:rPr>
            <m:sty m:val="p"/>
          </m:rPr>
          <m:t>,</m:t>
        </m:r>
        <m:r>
          <m:t>B</m:t>
        </m:r>
      </m:oMath>
      <w:r>
        <w:tab/>
        <w:t>(3.29)</w:t>
      </w:r>
    </w:p>
    <w:p>
      <w:pPr>
        <w:tabs>
          <w:tab w:val="center" w:pos="4535"/>
          <w:tab w:val="right" w:pos="9071"/>
        </w:tabs>
        <w:spacing w:before="60" w:after="60"/>
        <w:ind w:firstLine="0"/>
      </w:pPr>
      <w:r>
        <w:tab/>
      </w:r>
      <m:oMath xmlns:a="http://schemas.openxmlformats.org/drawingml/2006/main" xmlns:pic="http://schemas.openxmlformats.org/drawingml/2006/picture">
        <m:sSub>
          <m:e>
            <m:r>
              <m:t>P</m:t>
            </m:r>
          </m:e>
          <m:sub>
            <m:r>
              <m:t>α</m:t>
            </m:r>
          </m:sub>
        </m:sSub>
        <m:d>
          <m:dPr>
            <m:begChr m:val="("/>
            <m:sepChr m:val=""/>
            <m:endChr m:val=")"/>
            <m:grow/>
          </m:dPr>
          <m:e>
            <m:r>
              <m:t>i</m:t>
            </m:r>
            <m:r>
              <m:rPr>
                <m:sty m:val="p"/>
              </m:rPr>
              <m:t>,</m:t>
            </m:r>
            <m:r>
              <m:t>t</m:t>
            </m:r>
          </m:e>
        </m:d>
        <m:r>
          <m:rPr>
            <m:sty m:val="p"/>
          </m:rPr>
          <m:t>=</m:t>
        </m:r>
        <m:r>
          <m:rPr>
            <m:sty m:val="p"/>
          </m:rPr>
          <m:t>max</m:t>
        </m:r>
        <m:d>
          <m:dPr>
            <m:begChr m:val="{"/>
            <m:sepChr m:val=""/>
            <m:endChr m:val="}"/>
            <m:grow/>
          </m:dPr>
          <m:e>
            <m:r>
              <m:t>0</m:t>
            </m:r>
            <m:r>
              <m:rPr>
                <m:sty m:val="p"/>
              </m:rPr>
              <m:t>,</m:t>
            </m:r>
            <m:r>
              <m:t> </m:t>
            </m:r>
            <m:sSub>
              <m:e>
                <m:acc>
                  <m:accPr>
                    <m:chr m:val="̂"/>
                  </m:accPr>
                  <m:e>
                    <m:r>
                      <m:t>y</m:t>
                    </m:r>
                  </m:e>
                </m:acc>
              </m:e>
              <m:sub>
                <m:r>
                  <m:t>i</m:t>
                </m:r>
                <m:r>
                  <m:rPr>
                    <m:sty m:val="p"/>
                  </m:rPr>
                  <m:t>,</m:t>
                </m:r>
                <m:r>
                  <m:t>t</m:t>
                </m:r>
              </m:sub>
            </m:sSub>
            <m:r>
              <m:rPr>
                <m:sty m:val="p"/>
              </m:rPr>
              <m:t>+</m:t>
            </m:r>
            <m:sSub>
              <m:e>
                <m:acc>
                  <m:accPr>
                    <m:chr m:val="̂"/>
                  </m:accPr>
                  <m:e>
                    <m:r>
                      <m:t>q</m:t>
                    </m:r>
                  </m:e>
                </m:acc>
              </m:e>
              <m:sub>
                <m:r>
                  <m:t>α</m:t>
                </m:r>
                <m:r>
                  <m:rPr>
                    <m:sty m:val="p"/>
                  </m:rPr>
                  <m:t>,</m:t>
                </m:r>
                <m:r>
                  <m:t> </m:t>
                </m:r>
                <m:r>
                  <m:t>b</m:t>
                </m:r>
                <m:d>
                  <m:dPr>
                    <m:begChr m:val="("/>
                    <m:sepChr m:val=""/>
                    <m:endChr m:val=")"/>
                    <m:grow/>
                  </m:dPr>
                  <m:e>
                    <m:sSub>
                      <m:e>
                        <m:acc>
                          <m:accPr>
                            <m:chr m:val="̂"/>
                          </m:accPr>
                          <m:e>
                            <m:r>
                              <m:t>y</m:t>
                            </m:r>
                          </m:e>
                        </m:acc>
                      </m:e>
                      <m:sub>
                        <m:r>
                          <m:t>i</m:t>
                        </m:r>
                        <m:r>
                          <m:rPr>
                            <m:sty m:val="p"/>
                          </m:rPr>
                          <m:t>,</m:t>
                        </m:r>
                        <m:r>
                          <m:t>t</m:t>
                        </m:r>
                      </m:sub>
                    </m:sSub>
                  </m:e>
                </m:d>
              </m:sub>
            </m:sSub>
          </m:e>
        </m:d>
        <m:r>
          <m:rPr>
            <m:sty m:val="p"/>
          </m:rPr>
          <m:t>,</m:t>
        </m:r>
        <m:r>
          <m:t>  </m:t>
        </m:r>
        <m:sSub>
          <m:e>
            <m:acc>
              <m:accPr>
                <m:chr m:val="̂"/>
              </m:accPr>
              <m:e>
                <m:r>
                  <m:t>y</m:t>
                </m:r>
              </m:e>
            </m:acc>
          </m:e>
          <m:sub>
            <m:r>
              <m:t>i</m:t>
            </m:r>
            <m:r>
              <m:rPr>
                <m:sty m:val="p"/>
              </m:rPr>
              <m:t>,</m:t>
            </m:r>
            <m:r>
              <m:t>t</m:t>
            </m:r>
          </m:sub>
        </m:sSub>
        <m:r>
          <m:rPr>
            <m:sty m:val="p"/>
          </m:rPr>
          <m:t>=</m:t>
        </m:r>
        <m:r>
          <m:rPr>
            <m:sty m:val="p"/>
          </m:rPr>
          <m:t>max</m:t>
        </m:r>
        <m:r>
          <m:rPr>
            <m:sty m:val="p"/>
          </m:rPr>
          <m:t>{</m:t>
        </m:r>
        <m:r>
          <m:t>0</m:t>
        </m:r>
        <m:r>
          <m:rPr>
            <m:sty m:val="p"/>
          </m:rPr>
          <m:t>,</m:t>
        </m:r>
        <m:sSup>
          <m:e>
            <m:acc>
              <m:accPr>
                <m:chr m:val="̂"/>
              </m:accPr>
              <m:e>
                <m:r>
                  <m:t>f</m:t>
                </m:r>
              </m:e>
            </m:acc>
          </m:e>
          <m:sup>
            <m:d>
              <m:dPr>
                <m:begChr m:val="("/>
                <m:sepChr m:val=""/>
                <m:endChr m:val=")"/>
                <m:grow/>
              </m:dPr>
              <m:e>
                <m:r>
                  <m:rPr>
                    <m:sty m:val="p"/>
                  </m:rPr>
                  <m:t>&lt;</m:t>
                </m:r>
                <m:r>
                  <m:t>31</m:t>
                </m:r>
                <m:r>
                  <m:rPr>
                    <m:sty m:val="p"/>
                  </m:rPr>
                  <m:t>/</m:t>
                </m:r>
                <m:r>
                  <m:t>07</m:t>
                </m:r>
              </m:e>
            </m:d>
          </m:sup>
        </m:sSup>
        <m:d>
          <m:dPr>
            <m:begChr m:val="("/>
            <m:sepChr m:val=""/>
            <m:endChr m:val=")"/>
            <m:grow/>
          </m:dPr>
          <m:e>
            <m:sSub>
              <m:e>
                <m:r>
                  <m:rPr>
                    <m:sty m:val="b"/>
                  </m:rPr>
                  <m:t>x</m:t>
                </m:r>
              </m:e>
              <m:sub>
                <m:r>
                  <m:t>i</m:t>
                </m:r>
                <m:r>
                  <m:rPr>
                    <m:sty m:val="p"/>
                  </m:rPr>
                  <m:t>,</m:t>
                </m:r>
                <m:r>
                  <m:t>t</m:t>
                </m:r>
              </m:sub>
            </m:sSub>
          </m:e>
        </m:d>
        <m:r>
          <m:rPr>
            <m:sty m:val="p"/>
          </m:rPr>
          <m:t>}</m:t>
        </m:r>
        <m:r>
          <m:rPr>
            <m:sty m:val="p"/>
          </m:rPr>
          <m:t>,</m:t>
        </m:r>
        <m:r>
          <m:t>  </m:t>
        </m:r>
        <m:r>
          <m:t>t</m:t>
        </m:r>
        <m:r>
          <m:rPr>
            <m:sty m:val="p"/>
          </m:rPr>
          <m:t>∈</m:t>
        </m:r>
        <m:d>
          <m:dPr>
            <m:begChr m:val="["/>
            <m:sepChr m:val=""/>
            <m:endChr m:val="]"/>
            <m:grow/>
          </m:dPr>
          <m:e>
            <m:r>
              <m:t>31</m:t>
            </m:r>
            <m:r>
              <m:rPr>
                <m:sty m:val="p"/>
              </m:rPr>
              <m:t>/</m:t>
            </m:r>
            <m:r>
              <m:t>07</m:t>
            </m:r>
            <m:r>
              <m:rPr>
                <m:sty m:val="p"/>
              </m:rPr>
              <m:t>/</m:t>
            </m:r>
            <m:r>
              <m:t>2017</m:t>
            </m:r>
            <m:r>
              <m:rPr>
                <m:sty m:val="p"/>
              </m:rPr>
              <m:t>,</m:t>
            </m:r>
            <m:r>
              <m:t> </m:t>
            </m:r>
            <m:r>
              <m:t>15</m:t>
            </m:r>
            <m:r>
              <m:rPr>
                <m:sty m:val="p"/>
              </m:rPr>
              <m:t>/</m:t>
            </m:r>
            <m:r>
              <m:t>08</m:t>
            </m:r>
            <m:r>
              <m:rPr>
                <m:sty m:val="p"/>
              </m:rPr>
              <m:t>/</m:t>
            </m:r>
            <m:r>
              <m:t>2017</m:t>
            </m:r>
          </m:e>
        </m:d>
      </m:oMath>
      <w:r>
        <w:tab/>
        <w:t>(3.30)</w:t>
      </w:r>
    </w:p>
    <w:p>
      <w:pPr>
        <w:keepLines w:val="0"/>
        <w:spacing w:after="120"/>
        <w:ind w:firstLine="567"/>
      </w:pPr>
      <w:r>
        <w:t xml:space="preserve">Việc dùng hai mô hình có hai hệ quả. Thứ nhất, quy trình ngầm giả định rằng phân phối sai số theo nhóm của mô hình trước 15/07/2017 trên cửa sổ hiệu chỉnh chuyển giao được sang mô hình trước 31/07/2017, vốn học thêm 16 ngày lịch sử, trên tập kiểm tra cuối. Thứ hai, mô hình tính phần dư và mô hình cuối dùng cùng cấu hình và cùng quy tắc dữ liệu (với XGBoost là toàn bộ dữ liệu trước mốc tương ứng); nếu hai mô hình học theo hai quy tắc khác nhau, chẳng hạn một bên chỉ học trên mẫu con, sai số trên cửa sổ hiệu chỉnh và sai số trên tập kiểm tra cuối sẽ đến từ hai cơ chế khác nhau và phân vị phần dư mất tính đại diện. Vì mô hình tính phần dư dùng cùng dữ liệu và cấu hình với mô hình XGBoost của lần kiểm định 3, phần dư hiệu chỉnh về bản chất là phần dư ngoài mẫu của chính lần kiểm định đó.</w:t>
      </w:r>
    </w:p>
    <w:p>
      <w:pPr>
        <w:pStyle w:val="Heading3"/>
        <w:keepNext/>
      </w:pPr>
      <w:r>
        <w:t xml:space="preserve">3.10.3. Nhóm Mondrian trong lần chạy và cấu trúc khoảng dự báo</w:t>
      </w:r>
    </w:p>
    <w:p>
      <w:pPr>
        <w:keepLines w:val="0"/>
        <w:spacing w:after="120"/>
        <w:ind w:firstLine="567"/>
      </w:pPr>
      <w:r>
        <w:t xml:space="preserve">Về thiết kế, cửa sổ hiệu chỉnh được chia thành tối đa 10 nhóm theo các phân vị thập phân của dự báo điểm; lý do là nếu dùng một bộ phân vị phần dư chung cho mọi chuỗi thì độ rộng khoảng gần như bằng nhau bất kể quy mô, quá rộng cho chuỗi nhỏ và quá hẹp cho chuỗi lớn. Trong lần chạy chính thức, chỉ còn 9 nhóm thực tế, như trình bày trong 3.8. Nguyên nhân là phân phối dự báo điểm có một khối lớn tại 0: phân vị 0% và 10% cùng bằng 0, nên hai biên trùng nhau và bị gộp. Nhóm đầu tiên vì thế chứa 5.703 quan sát, xấp xỉ hai lần cỡ mỗi nhóm còn lại (2.851 hoặc 2.852). Việc gộp biên là hành vi đúng của thuật toán, nhưng cho thấy số nhóm thực tế phải được đọc từ conformal_bins.csv thay vì mặc định là 10.</w:t>
      </w:r>
    </w:p>
    <w:p>
      <w:pPr>
        <w:keepNext/>
        <w:spacing w:before="120" w:after="60"/>
        <w:ind w:firstLine="0"/>
        <w:jc w:val="center"/>
      </w:pPr>
      <w:r>
        <w:t xml:space="preserve">Bảng 3.8. Chín nhóm Mondrian của lớp dự báo xác suất: biên dự báo điểm, cỡ nhóm và phân vị phần dư trên cửa sổ hiệu chỉnh 15/07/2017–30/07/2017</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79"/>
        <w:gridCol w:w="1749"/>
        <w:gridCol w:w="1428"/>
        <w:gridCol w:w="1079"/>
        <w:gridCol w:w="1079"/>
        <w:gridCol w:w="1079"/>
        <w:gridCol w:w="1578"/>
      </w:tblGrid>
      <w:tr>
        <w:trPr>
          <w:tblHeader/>
          <w:cantSplit/>
        </w:trPr>
        <w:tc>
          <w:tcPr>
            <w:tcW w:type="dxa" w:w="1079"/>
            <w:shd w:val="clear" w:color="auto" w:fill="D9E2F3"/>
            <w:vAlign w:val="center"/>
          </w:tcPr>
          <w:p>
            <w:pPr>
              <w:spacing w:before="20" w:after="20" w:line="260" w:lineRule="auto"/>
              <w:ind w:firstLine="0"/>
              <w:jc w:val="center"/>
            </w:pPr>
            <w:r>
              <w:rPr>
                <w:b/>
                <w:sz w:val="20"/>
                <w:szCs w:val="20"/>
              </w:rPr>
              <w:t xml:space="preserve">Nhóm</w:t>
            </w:r>
          </w:p>
        </w:tc>
        <w:tc>
          <w:tcPr>
            <w:tcW w:type="dxa" w:w="1749"/>
            <w:shd w:val="clear" w:color="auto" w:fill="D9E2F3"/>
            <w:vAlign w:val="center"/>
          </w:tcPr>
          <w:p>
            <w:pPr>
              <w:spacing w:before="20" w:after="20" w:line="260" w:lineRule="auto"/>
              <w:ind w:firstLine="0"/>
              <w:jc w:val="center"/>
            </w:pPr>
            <w:r>
              <w:rPr>
                <w:b/>
                <w:sz w:val="20"/>
                <w:szCs w:val="20"/>
              </w:rPr>
              <w:t xml:space="preserve">Khoảng dự báo điểm</w:t>
            </w:r>
          </w:p>
        </w:tc>
        <w:tc>
          <w:tcPr>
            <w:tcW w:type="dxa" w:w="1428"/>
            <w:shd w:val="clear" w:color="auto" w:fill="D9E2F3"/>
            <w:vAlign w:val="center"/>
          </w:tcPr>
          <w:p>
            <w:pPr>
              <w:spacing w:before="20" w:after="20" w:line="260" w:lineRule="auto"/>
              <w:ind w:firstLine="0"/>
              <w:jc w:val="center"/>
            </w:pPr>
            <w:r>
              <w:rPr>
                <w:b/>
                <w:sz w:val="20"/>
                <w:szCs w:val="20"/>
              </w:rPr>
              <w:t xml:space="preserve">n (hiệu chỉnh)</w:t>
            </w:r>
          </w:p>
        </w:tc>
        <w:tc>
          <w:tcPr>
            <w:tcW w:type="dxa" w:w="1079"/>
            <w:shd w:val="clear" w:color="auto" w:fill="D9E2F3"/>
            <w:vAlign w:val="center"/>
          </w:tcPr>
          <w:p>
            <w:pPr>
              <w:spacing w:before="20" w:after="20" w:line="260" w:lineRule="auto"/>
              <w:ind w:firstLine="0"/>
              <w:jc w:val="center"/>
            </w:pPr>
            <w:r>
              <w:rPr>
                <w:b/>
                <w:sz w:val="20"/>
                <w:szCs w:val="20"/>
              </w:rPr>
              <w:t xml:space="preserve">q10</w:t>
            </w:r>
          </w:p>
        </w:tc>
        <w:tc>
          <w:tcPr>
            <w:tcW w:type="dxa" w:w="1079"/>
            <w:shd w:val="clear" w:color="auto" w:fill="D9E2F3"/>
            <w:vAlign w:val="center"/>
          </w:tcPr>
          <w:p>
            <w:pPr>
              <w:spacing w:before="20" w:after="20" w:line="260" w:lineRule="auto"/>
              <w:ind w:firstLine="0"/>
              <w:jc w:val="center"/>
            </w:pPr>
            <w:r>
              <w:rPr>
                <w:b/>
                <w:sz w:val="20"/>
                <w:szCs w:val="20"/>
              </w:rPr>
              <w:t xml:space="preserve">q50</w:t>
            </w:r>
          </w:p>
        </w:tc>
        <w:tc>
          <w:tcPr>
            <w:tcW w:type="dxa" w:w="1079"/>
            <w:shd w:val="clear" w:color="auto" w:fill="D9E2F3"/>
            <w:vAlign w:val="center"/>
          </w:tcPr>
          <w:p>
            <w:pPr>
              <w:spacing w:before="20" w:after="20" w:line="260" w:lineRule="auto"/>
              <w:ind w:firstLine="0"/>
              <w:jc w:val="center"/>
            </w:pPr>
            <w:r>
              <w:rPr>
                <w:b/>
                <w:sz w:val="20"/>
                <w:szCs w:val="20"/>
              </w:rPr>
              <w:t xml:space="preserve">q90</w:t>
            </w:r>
          </w:p>
        </w:tc>
        <w:tc>
          <w:tcPr>
            <w:tcW w:type="dxa" w:w="1578"/>
            <w:shd w:val="clear" w:color="auto" w:fill="D9E2F3"/>
            <w:vAlign w:val="center"/>
          </w:tcPr>
          <w:p>
            <w:pPr>
              <w:spacing w:before="20" w:after="20" w:line="260" w:lineRule="auto"/>
              <w:ind w:firstLine="0"/>
              <w:jc w:val="center"/>
            </w:pPr>
            <w:r>
              <w:rPr>
                <w:b/>
                <w:sz w:val="20"/>
                <w:szCs w:val="20"/>
              </w:rPr>
              <w:t xml:space="preserve">Độ rộng q90 − q10</w:t>
            </w:r>
          </w:p>
        </w:tc>
      </w:tr>
      <w:tr>
        <w:trPr>
          <w:cantSplit/>
        </w:trPr>
        <w:tc>
          <w:tcPr>
            <w:tcW w:type="dxa" w:w="1079"/>
            <w:vAlign w:val="center"/>
          </w:tcPr>
          <w:p>
            <w:pPr>
              <w:spacing w:before="20" w:after="20" w:line="260" w:lineRule="auto"/>
              <w:ind w:firstLine="0"/>
              <w:jc w:val="center"/>
            </w:pPr>
            <w:r>
              <w:rPr>
                <w:sz w:val="20"/>
                <w:szCs w:val="20"/>
              </w:rPr>
              <w:t xml:space="preserve">1</w:t>
            </w:r>
          </w:p>
        </w:tc>
        <w:tc>
          <w:tcPr>
            <w:tcW w:type="dxa" w:w="1749"/>
            <w:vAlign w:val="center"/>
          </w:tcPr>
          <w:p>
            <w:pPr>
              <w:spacing w:before="20" w:after="20" w:line="260" w:lineRule="auto"/>
              <w:ind w:firstLine="0"/>
              <w:jc w:val="left"/>
            </w:pPr>
            <w:r>
              <w:rPr>
                <w:sz w:val="20"/>
                <w:szCs w:val="20"/>
              </w:rPr>
              <w:t xml:space="preserve">[0,00; 1,00)</w:t>
            </w:r>
          </w:p>
        </w:tc>
        <w:tc>
          <w:tcPr>
            <w:tcW w:type="dxa" w:w="1428"/>
            <w:vAlign w:val="center"/>
          </w:tcPr>
          <w:p>
            <w:pPr>
              <w:spacing w:before="20" w:after="20" w:line="260" w:lineRule="auto"/>
              <w:ind w:firstLine="0"/>
              <w:jc w:val="center"/>
            </w:pPr>
            <w:r>
              <w:rPr>
                <w:sz w:val="20"/>
                <w:szCs w:val="20"/>
              </w:rPr>
              <w:t xml:space="preserve">5.703</w:t>
            </w:r>
          </w:p>
        </w:tc>
        <w:tc>
          <w:tcPr>
            <w:tcW w:type="dxa" w:w="1079"/>
            <w:vAlign w:val="center"/>
          </w:tcPr>
          <w:p>
            <w:pPr>
              <w:spacing w:before="20" w:after="20" w:line="260" w:lineRule="auto"/>
              <w:ind w:firstLine="0"/>
              <w:jc w:val="center"/>
            </w:pPr>
            <w:r>
              <w:rPr>
                <w:sz w:val="20"/>
                <w:szCs w:val="20"/>
              </w:rPr>
              <w:t xml:space="preserve">−0,22</w:t>
            </w:r>
          </w:p>
        </w:tc>
        <w:tc>
          <w:tcPr>
            <w:tcW w:type="dxa" w:w="1079"/>
            <w:vAlign w:val="center"/>
          </w:tcPr>
          <w:p>
            <w:pPr>
              <w:spacing w:before="20" w:after="20" w:line="260" w:lineRule="auto"/>
              <w:ind w:firstLine="0"/>
              <w:jc w:val="center"/>
            </w:pPr>
            <w:r>
              <w:rPr>
                <w:sz w:val="20"/>
                <w:szCs w:val="20"/>
              </w:rPr>
              <w:t xml:space="preserve">0,00</w:t>
            </w:r>
          </w:p>
        </w:tc>
        <w:tc>
          <w:tcPr>
            <w:tcW w:type="dxa" w:w="1079"/>
            <w:vAlign w:val="center"/>
          </w:tcPr>
          <w:p>
            <w:pPr>
              <w:spacing w:before="20" w:after="20" w:line="260" w:lineRule="auto"/>
              <w:ind w:firstLine="0"/>
              <w:jc w:val="center"/>
            </w:pPr>
            <w:r>
              <w:rPr>
                <w:sz w:val="20"/>
                <w:szCs w:val="20"/>
              </w:rPr>
              <w:t xml:space="preserve">4,00</w:t>
            </w:r>
          </w:p>
        </w:tc>
        <w:tc>
          <w:tcPr>
            <w:tcW w:type="dxa" w:w="1578"/>
            <w:vAlign w:val="center"/>
          </w:tcPr>
          <w:p>
            <w:pPr>
              <w:spacing w:before="20" w:after="20" w:line="260" w:lineRule="auto"/>
              <w:ind w:firstLine="0"/>
              <w:jc w:val="center"/>
            </w:pPr>
            <w:r>
              <w:rPr>
                <w:sz w:val="20"/>
                <w:szCs w:val="20"/>
              </w:rPr>
              <w:t xml:space="preserve">4,22</w:t>
            </w:r>
          </w:p>
        </w:tc>
      </w:tr>
      <w:tr>
        <w:trPr>
          <w:cantSplit/>
        </w:trPr>
        <w:tc>
          <w:tcPr>
            <w:tcW w:type="dxa" w:w="1079"/>
            <w:vAlign w:val="center"/>
          </w:tcPr>
          <w:p>
            <w:pPr>
              <w:spacing w:before="20" w:after="20" w:line="260" w:lineRule="auto"/>
              <w:ind w:firstLine="0"/>
              <w:jc w:val="center"/>
            </w:pPr>
            <w:r>
              <w:rPr>
                <w:sz w:val="20"/>
                <w:szCs w:val="20"/>
              </w:rPr>
              <w:t xml:space="preserve">2</w:t>
            </w:r>
          </w:p>
        </w:tc>
        <w:tc>
          <w:tcPr>
            <w:tcW w:type="dxa" w:w="1749"/>
            <w:vAlign w:val="center"/>
          </w:tcPr>
          <w:p>
            <w:pPr>
              <w:spacing w:before="20" w:after="20" w:line="260" w:lineRule="auto"/>
              <w:ind w:firstLine="0"/>
              <w:jc w:val="left"/>
            </w:pPr>
            <w:r>
              <w:rPr>
                <w:sz w:val="20"/>
                <w:szCs w:val="20"/>
              </w:rPr>
              <w:t xml:space="preserve">[1,00; 3,60)</w:t>
            </w:r>
          </w:p>
        </w:tc>
        <w:tc>
          <w:tcPr>
            <w:tcW w:type="dxa" w:w="1428"/>
            <w:vAlign w:val="center"/>
          </w:tcPr>
          <w:p>
            <w:pPr>
              <w:spacing w:before="20" w:after="20" w:line="260" w:lineRule="auto"/>
              <w:ind w:firstLine="0"/>
              <w:jc w:val="center"/>
            </w:pPr>
            <w:r>
              <w:rPr>
                <w:sz w:val="20"/>
                <w:szCs w:val="20"/>
              </w:rPr>
              <w:t xml:space="preserve">2.851</w:t>
            </w:r>
          </w:p>
        </w:tc>
        <w:tc>
          <w:tcPr>
            <w:tcW w:type="dxa" w:w="1079"/>
            <w:vAlign w:val="center"/>
          </w:tcPr>
          <w:p>
            <w:pPr>
              <w:spacing w:before="20" w:after="20" w:line="260" w:lineRule="auto"/>
              <w:ind w:firstLine="0"/>
              <w:jc w:val="center"/>
            </w:pPr>
            <w:r>
              <w:rPr>
                <w:sz w:val="20"/>
                <w:szCs w:val="20"/>
              </w:rPr>
              <w:t xml:space="preserve">−1,98</w:t>
            </w:r>
          </w:p>
        </w:tc>
        <w:tc>
          <w:tcPr>
            <w:tcW w:type="dxa" w:w="1079"/>
            <w:vAlign w:val="center"/>
          </w:tcPr>
          <w:p>
            <w:pPr>
              <w:spacing w:before="20" w:after="20" w:line="260" w:lineRule="auto"/>
              <w:ind w:firstLine="0"/>
              <w:jc w:val="center"/>
            </w:pPr>
            <w:r>
              <w:rPr>
                <w:sz w:val="20"/>
                <w:szCs w:val="20"/>
              </w:rPr>
              <w:t xml:space="preserve">0,73</w:t>
            </w:r>
          </w:p>
        </w:tc>
        <w:tc>
          <w:tcPr>
            <w:tcW w:type="dxa" w:w="1079"/>
            <w:vAlign w:val="center"/>
          </w:tcPr>
          <w:p>
            <w:pPr>
              <w:spacing w:before="20" w:after="20" w:line="260" w:lineRule="auto"/>
              <w:ind w:firstLine="0"/>
              <w:jc w:val="center"/>
            </w:pPr>
            <w:r>
              <w:rPr>
                <w:sz w:val="20"/>
                <w:szCs w:val="20"/>
              </w:rPr>
              <w:t xml:space="preserve">6,86</w:t>
            </w:r>
          </w:p>
        </w:tc>
        <w:tc>
          <w:tcPr>
            <w:tcW w:type="dxa" w:w="1578"/>
            <w:vAlign w:val="center"/>
          </w:tcPr>
          <w:p>
            <w:pPr>
              <w:spacing w:before="20" w:after="20" w:line="260" w:lineRule="auto"/>
              <w:ind w:firstLine="0"/>
              <w:jc w:val="center"/>
            </w:pPr>
            <w:r>
              <w:rPr>
                <w:sz w:val="20"/>
                <w:szCs w:val="20"/>
              </w:rPr>
              <w:t xml:space="preserve">8,83</w:t>
            </w:r>
          </w:p>
        </w:tc>
      </w:tr>
      <w:tr>
        <w:trPr>
          <w:cantSplit/>
        </w:trPr>
        <w:tc>
          <w:tcPr>
            <w:tcW w:type="dxa" w:w="1079"/>
            <w:vAlign w:val="center"/>
          </w:tcPr>
          <w:p>
            <w:pPr>
              <w:spacing w:before="20" w:after="20" w:line="260" w:lineRule="auto"/>
              <w:ind w:firstLine="0"/>
              <w:jc w:val="center"/>
            </w:pPr>
            <w:r>
              <w:rPr>
                <w:sz w:val="20"/>
                <w:szCs w:val="20"/>
              </w:rPr>
              <w:t xml:space="preserve">3</w:t>
            </w:r>
          </w:p>
        </w:tc>
        <w:tc>
          <w:tcPr>
            <w:tcW w:type="dxa" w:w="1749"/>
            <w:vAlign w:val="center"/>
          </w:tcPr>
          <w:p>
            <w:pPr>
              <w:spacing w:before="20" w:after="20" w:line="260" w:lineRule="auto"/>
              <w:ind w:firstLine="0"/>
              <w:jc w:val="left"/>
            </w:pPr>
            <w:r>
              <w:rPr>
                <w:sz w:val="20"/>
                <w:szCs w:val="20"/>
              </w:rPr>
              <w:t xml:space="preserve">[3,60; 11,98)</w:t>
            </w:r>
          </w:p>
        </w:tc>
        <w:tc>
          <w:tcPr>
            <w:tcW w:type="dxa" w:w="1428"/>
            <w:vAlign w:val="center"/>
          </w:tcPr>
          <w:p>
            <w:pPr>
              <w:spacing w:before="20" w:after="20" w:line="260" w:lineRule="auto"/>
              <w:ind w:firstLine="0"/>
              <w:jc w:val="center"/>
            </w:pPr>
            <w:r>
              <w:rPr>
                <w:sz w:val="20"/>
                <w:szCs w:val="20"/>
              </w:rPr>
              <w:t xml:space="preserve">2.851</w:t>
            </w:r>
          </w:p>
        </w:tc>
        <w:tc>
          <w:tcPr>
            <w:tcW w:type="dxa" w:w="1079"/>
            <w:vAlign w:val="center"/>
          </w:tcPr>
          <w:p>
            <w:pPr>
              <w:spacing w:before="20" w:after="20" w:line="260" w:lineRule="auto"/>
              <w:ind w:firstLine="0"/>
              <w:jc w:val="center"/>
            </w:pPr>
            <w:r>
              <w:rPr>
                <w:sz w:val="20"/>
                <w:szCs w:val="20"/>
              </w:rPr>
              <w:t xml:space="preserve">−3,57</w:t>
            </w:r>
          </w:p>
        </w:tc>
        <w:tc>
          <w:tcPr>
            <w:tcW w:type="dxa" w:w="1079"/>
            <w:vAlign w:val="center"/>
          </w:tcPr>
          <w:p>
            <w:pPr>
              <w:spacing w:before="20" w:after="20" w:line="260" w:lineRule="auto"/>
              <w:ind w:firstLine="0"/>
              <w:jc w:val="center"/>
            </w:pPr>
            <w:r>
              <w:rPr>
                <w:sz w:val="20"/>
                <w:szCs w:val="20"/>
              </w:rPr>
              <w:t xml:space="preserve">2,73</w:t>
            </w:r>
          </w:p>
        </w:tc>
        <w:tc>
          <w:tcPr>
            <w:tcW w:type="dxa" w:w="1079"/>
            <w:vAlign w:val="center"/>
          </w:tcPr>
          <w:p>
            <w:pPr>
              <w:spacing w:before="20" w:after="20" w:line="260" w:lineRule="auto"/>
              <w:ind w:firstLine="0"/>
              <w:jc w:val="center"/>
            </w:pPr>
            <w:r>
              <w:rPr>
                <w:sz w:val="20"/>
                <w:szCs w:val="20"/>
              </w:rPr>
              <w:t xml:space="preserve">11,25</w:t>
            </w:r>
          </w:p>
        </w:tc>
        <w:tc>
          <w:tcPr>
            <w:tcW w:type="dxa" w:w="1578"/>
            <w:vAlign w:val="center"/>
          </w:tcPr>
          <w:p>
            <w:pPr>
              <w:spacing w:before="20" w:after="20" w:line="260" w:lineRule="auto"/>
              <w:ind w:firstLine="0"/>
              <w:jc w:val="center"/>
            </w:pPr>
            <w:r>
              <w:rPr>
                <w:sz w:val="20"/>
                <w:szCs w:val="20"/>
              </w:rPr>
              <w:t xml:space="preserve">14,82</w:t>
            </w:r>
          </w:p>
        </w:tc>
      </w:tr>
      <w:tr>
        <w:trPr>
          <w:cantSplit/>
        </w:trPr>
        <w:tc>
          <w:tcPr>
            <w:tcW w:type="dxa" w:w="1079"/>
            <w:vAlign w:val="center"/>
          </w:tcPr>
          <w:p>
            <w:pPr>
              <w:spacing w:before="20" w:after="20" w:line="260" w:lineRule="auto"/>
              <w:ind w:firstLine="0"/>
              <w:jc w:val="center"/>
            </w:pPr>
            <w:r>
              <w:rPr>
                <w:sz w:val="20"/>
                <w:szCs w:val="20"/>
              </w:rPr>
              <w:t xml:space="preserve">4</w:t>
            </w:r>
          </w:p>
        </w:tc>
        <w:tc>
          <w:tcPr>
            <w:tcW w:type="dxa" w:w="1749"/>
            <w:vAlign w:val="center"/>
          </w:tcPr>
          <w:p>
            <w:pPr>
              <w:spacing w:before="20" w:after="20" w:line="260" w:lineRule="auto"/>
              <w:ind w:firstLine="0"/>
              <w:jc w:val="left"/>
            </w:pPr>
            <w:r>
              <w:rPr>
                <w:sz w:val="20"/>
                <w:szCs w:val="20"/>
              </w:rPr>
              <w:t xml:space="preserve">[11,98; 33,10)</w:t>
            </w:r>
          </w:p>
        </w:tc>
        <w:tc>
          <w:tcPr>
            <w:tcW w:type="dxa" w:w="1428"/>
            <w:vAlign w:val="center"/>
          </w:tcPr>
          <w:p>
            <w:pPr>
              <w:spacing w:before="20" w:after="20" w:line="260" w:lineRule="auto"/>
              <w:ind w:firstLine="0"/>
              <w:jc w:val="center"/>
            </w:pPr>
            <w:r>
              <w:rPr>
                <w:sz w:val="20"/>
                <w:szCs w:val="20"/>
              </w:rPr>
              <w:t xml:space="preserve">2.851</w:t>
            </w:r>
          </w:p>
        </w:tc>
        <w:tc>
          <w:tcPr>
            <w:tcW w:type="dxa" w:w="1079"/>
            <w:vAlign w:val="center"/>
          </w:tcPr>
          <w:p>
            <w:pPr>
              <w:spacing w:before="20" w:after="20" w:line="260" w:lineRule="auto"/>
              <w:ind w:firstLine="0"/>
              <w:jc w:val="center"/>
            </w:pPr>
            <w:r>
              <w:rPr>
                <w:sz w:val="20"/>
                <w:szCs w:val="20"/>
              </w:rPr>
              <w:t xml:space="preserve">−14,63</w:t>
            </w:r>
          </w:p>
        </w:tc>
        <w:tc>
          <w:tcPr>
            <w:tcW w:type="dxa" w:w="1079"/>
            <w:vAlign w:val="center"/>
          </w:tcPr>
          <w:p>
            <w:pPr>
              <w:spacing w:before="20" w:after="20" w:line="260" w:lineRule="auto"/>
              <w:ind w:firstLine="0"/>
              <w:jc w:val="center"/>
            </w:pPr>
            <w:r>
              <w:rPr>
                <w:sz w:val="20"/>
                <w:szCs w:val="20"/>
              </w:rPr>
              <w:t xml:space="preserve">−2,33</w:t>
            </w:r>
          </w:p>
        </w:tc>
        <w:tc>
          <w:tcPr>
            <w:tcW w:type="dxa" w:w="1079"/>
            <w:vAlign w:val="center"/>
          </w:tcPr>
          <w:p>
            <w:pPr>
              <w:spacing w:before="20" w:after="20" w:line="260" w:lineRule="auto"/>
              <w:ind w:firstLine="0"/>
              <w:jc w:val="center"/>
            </w:pPr>
            <w:r>
              <w:rPr>
                <w:sz w:val="20"/>
                <w:szCs w:val="20"/>
              </w:rPr>
              <w:t xml:space="preserve">14,36</w:t>
            </w:r>
          </w:p>
        </w:tc>
        <w:tc>
          <w:tcPr>
            <w:tcW w:type="dxa" w:w="1578"/>
            <w:vAlign w:val="center"/>
          </w:tcPr>
          <w:p>
            <w:pPr>
              <w:spacing w:before="20" w:after="20" w:line="260" w:lineRule="auto"/>
              <w:ind w:firstLine="0"/>
              <w:jc w:val="center"/>
            </w:pPr>
            <w:r>
              <w:rPr>
                <w:sz w:val="20"/>
                <w:szCs w:val="20"/>
              </w:rPr>
              <w:t xml:space="preserve">28,99</w:t>
            </w:r>
          </w:p>
        </w:tc>
      </w:tr>
      <w:tr>
        <w:trPr>
          <w:cantSplit/>
        </w:trPr>
        <w:tc>
          <w:tcPr>
            <w:tcW w:type="dxa" w:w="1079"/>
            <w:vAlign w:val="center"/>
          </w:tcPr>
          <w:p>
            <w:pPr>
              <w:spacing w:before="20" w:after="20" w:line="260" w:lineRule="auto"/>
              <w:ind w:firstLine="0"/>
              <w:jc w:val="center"/>
            </w:pPr>
            <w:r>
              <w:rPr>
                <w:sz w:val="20"/>
                <w:szCs w:val="20"/>
              </w:rPr>
              <w:t xml:space="preserve">5</w:t>
            </w:r>
          </w:p>
        </w:tc>
        <w:tc>
          <w:tcPr>
            <w:tcW w:type="dxa" w:w="1749"/>
            <w:vAlign w:val="center"/>
          </w:tcPr>
          <w:p>
            <w:pPr>
              <w:spacing w:before="20" w:after="20" w:line="260" w:lineRule="auto"/>
              <w:ind w:firstLine="0"/>
              <w:jc w:val="left"/>
            </w:pPr>
            <w:r>
              <w:rPr>
                <w:sz w:val="20"/>
                <w:szCs w:val="20"/>
              </w:rPr>
              <w:t xml:space="preserve">[33,10; 82,09)</w:t>
            </w:r>
          </w:p>
        </w:tc>
        <w:tc>
          <w:tcPr>
            <w:tcW w:type="dxa" w:w="1428"/>
            <w:vAlign w:val="center"/>
          </w:tcPr>
          <w:p>
            <w:pPr>
              <w:spacing w:before="20" w:after="20" w:line="260" w:lineRule="auto"/>
              <w:ind w:firstLine="0"/>
              <w:jc w:val="center"/>
            </w:pPr>
            <w:r>
              <w:rPr>
                <w:sz w:val="20"/>
                <w:szCs w:val="20"/>
              </w:rPr>
              <w:t xml:space="preserve">2.851</w:t>
            </w:r>
          </w:p>
        </w:tc>
        <w:tc>
          <w:tcPr>
            <w:tcW w:type="dxa" w:w="1079"/>
            <w:vAlign w:val="center"/>
          </w:tcPr>
          <w:p>
            <w:pPr>
              <w:spacing w:before="20" w:after="20" w:line="260" w:lineRule="auto"/>
              <w:ind w:firstLine="0"/>
              <w:jc w:val="center"/>
            </w:pPr>
            <w:r>
              <w:rPr>
                <w:sz w:val="20"/>
                <w:szCs w:val="20"/>
              </w:rPr>
              <w:t xml:space="preserve">−24,40</w:t>
            </w:r>
          </w:p>
        </w:tc>
        <w:tc>
          <w:tcPr>
            <w:tcW w:type="dxa" w:w="1079"/>
            <w:vAlign w:val="center"/>
          </w:tcPr>
          <w:p>
            <w:pPr>
              <w:spacing w:before="20" w:after="20" w:line="260" w:lineRule="auto"/>
              <w:ind w:firstLine="0"/>
              <w:jc w:val="center"/>
            </w:pPr>
            <w:r>
              <w:rPr>
                <w:sz w:val="20"/>
                <w:szCs w:val="20"/>
              </w:rPr>
              <w:t xml:space="preserve">−5,37</w:t>
            </w:r>
          </w:p>
        </w:tc>
        <w:tc>
          <w:tcPr>
            <w:tcW w:type="dxa" w:w="1079"/>
            <w:vAlign w:val="center"/>
          </w:tcPr>
          <w:p>
            <w:pPr>
              <w:spacing w:before="20" w:after="20" w:line="260" w:lineRule="auto"/>
              <w:ind w:firstLine="0"/>
              <w:jc w:val="center"/>
            </w:pPr>
            <w:r>
              <w:rPr>
                <w:sz w:val="20"/>
                <w:szCs w:val="20"/>
              </w:rPr>
              <w:t xml:space="preserve">21,32</w:t>
            </w:r>
          </w:p>
        </w:tc>
        <w:tc>
          <w:tcPr>
            <w:tcW w:type="dxa" w:w="1578"/>
            <w:vAlign w:val="center"/>
          </w:tcPr>
          <w:p>
            <w:pPr>
              <w:spacing w:before="20" w:after="20" w:line="260" w:lineRule="auto"/>
              <w:ind w:firstLine="0"/>
              <w:jc w:val="center"/>
            </w:pPr>
            <w:r>
              <w:rPr>
                <w:sz w:val="20"/>
                <w:szCs w:val="20"/>
              </w:rPr>
              <w:t xml:space="preserve">45,72</w:t>
            </w:r>
          </w:p>
        </w:tc>
      </w:tr>
      <w:tr>
        <w:trPr>
          <w:cantSplit/>
        </w:trPr>
        <w:tc>
          <w:tcPr>
            <w:tcW w:type="dxa" w:w="1079"/>
            <w:vAlign w:val="center"/>
          </w:tcPr>
          <w:p>
            <w:pPr>
              <w:spacing w:before="20" w:after="20" w:line="260" w:lineRule="auto"/>
              <w:ind w:firstLine="0"/>
              <w:jc w:val="center"/>
            </w:pPr>
            <w:r>
              <w:rPr>
                <w:sz w:val="20"/>
                <w:szCs w:val="20"/>
              </w:rPr>
              <w:t xml:space="preserve">6</w:t>
            </w:r>
          </w:p>
        </w:tc>
        <w:tc>
          <w:tcPr>
            <w:tcW w:type="dxa" w:w="1749"/>
            <w:vAlign w:val="center"/>
          </w:tcPr>
          <w:p>
            <w:pPr>
              <w:spacing w:before="20" w:after="20" w:line="260" w:lineRule="auto"/>
              <w:ind w:firstLine="0"/>
              <w:jc w:val="left"/>
            </w:pPr>
            <w:r>
              <w:rPr>
                <w:sz w:val="20"/>
                <w:szCs w:val="20"/>
              </w:rPr>
              <w:t xml:space="preserve">[82,09; 196,13)</w:t>
            </w:r>
          </w:p>
        </w:tc>
        <w:tc>
          <w:tcPr>
            <w:tcW w:type="dxa" w:w="1428"/>
            <w:vAlign w:val="center"/>
          </w:tcPr>
          <w:p>
            <w:pPr>
              <w:spacing w:before="20" w:after="20" w:line="260" w:lineRule="auto"/>
              <w:ind w:firstLine="0"/>
              <w:jc w:val="center"/>
            </w:pPr>
            <w:r>
              <w:rPr>
                <w:sz w:val="20"/>
                <w:szCs w:val="20"/>
              </w:rPr>
              <w:t xml:space="preserve">2.851</w:t>
            </w:r>
          </w:p>
        </w:tc>
        <w:tc>
          <w:tcPr>
            <w:tcW w:type="dxa" w:w="1079"/>
            <w:vAlign w:val="center"/>
          </w:tcPr>
          <w:p>
            <w:pPr>
              <w:spacing w:before="20" w:after="20" w:line="260" w:lineRule="auto"/>
              <w:ind w:firstLine="0"/>
              <w:jc w:val="center"/>
            </w:pPr>
            <w:r>
              <w:rPr>
                <w:sz w:val="20"/>
                <w:szCs w:val="20"/>
              </w:rPr>
              <w:t xml:space="preserve">−36,94</w:t>
            </w:r>
          </w:p>
        </w:tc>
        <w:tc>
          <w:tcPr>
            <w:tcW w:type="dxa" w:w="1079"/>
            <w:vAlign w:val="center"/>
          </w:tcPr>
          <w:p>
            <w:pPr>
              <w:spacing w:before="20" w:after="20" w:line="260" w:lineRule="auto"/>
              <w:ind w:firstLine="0"/>
              <w:jc w:val="center"/>
            </w:pPr>
            <w:r>
              <w:rPr>
                <w:sz w:val="20"/>
                <w:szCs w:val="20"/>
              </w:rPr>
              <w:t xml:space="preserve">0,33</w:t>
            </w:r>
          </w:p>
        </w:tc>
        <w:tc>
          <w:tcPr>
            <w:tcW w:type="dxa" w:w="1079"/>
            <w:vAlign w:val="center"/>
          </w:tcPr>
          <w:p>
            <w:pPr>
              <w:spacing w:before="20" w:after="20" w:line="260" w:lineRule="auto"/>
              <w:ind w:firstLine="0"/>
              <w:jc w:val="center"/>
            </w:pPr>
            <w:r>
              <w:rPr>
                <w:sz w:val="20"/>
                <w:szCs w:val="20"/>
              </w:rPr>
              <w:t xml:space="preserve">43,96</w:t>
            </w:r>
          </w:p>
        </w:tc>
        <w:tc>
          <w:tcPr>
            <w:tcW w:type="dxa" w:w="1578"/>
            <w:vAlign w:val="center"/>
          </w:tcPr>
          <w:p>
            <w:pPr>
              <w:spacing w:before="20" w:after="20" w:line="260" w:lineRule="auto"/>
              <w:ind w:firstLine="0"/>
              <w:jc w:val="center"/>
            </w:pPr>
            <w:r>
              <w:rPr>
                <w:sz w:val="20"/>
                <w:szCs w:val="20"/>
              </w:rPr>
              <w:t xml:space="preserve">80,90</w:t>
            </w:r>
          </w:p>
        </w:tc>
      </w:tr>
      <w:tr>
        <w:trPr>
          <w:cantSplit/>
        </w:trPr>
        <w:tc>
          <w:tcPr>
            <w:tcW w:type="dxa" w:w="1079"/>
            <w:vAlign w:val="center"/>
          </w:tcPr>
          <w:p>
            <w:pPr>
              <w:spacing w:before="20" w:after="20" w:line="260" w:lineRule="auto"/>
              <w:ind w:firstLine="0"/>
              <w:jc w:val="center"/>
            </w:pPr>
            <w:r>
              <w:rPr>
                <w:sz w:val="20"/>
                <w:szCs w:val="20"/>
              </w:rPr>
              <w:t xml:space="preserve">7</w:t>
            </w:r>
          </w:p>
        </w:tc>
        <w:tc>
          <w:tcPr>
            <w:tcW w:type="dxa" w:w="1749"/>
            <w:vAlign w:val="center"/>
          </w:tcPr>
          <w:p>
            <w:pPr>
              <w:spacing w:before="20" w:after="20" w:line="260" w:lineRule="auto"/>
              <w:ind w:firstLine="0"/>
              <w:jc w:val="left"/>
            </w:pPr>
            <w:r>
              <w:rPr>
                <w:sz w:val="20"/>
                <w:szCs w:val="20"/>
              </w:rPr>
              <w:t xml:space="preserve">[196,13; 413,65)</w:t>
            </w:r>
          </w:p>
        </w:tc>
        <w:tc>
          <w:tcPr>
            <w:tcW w:type="dxa" w:w="1428"/>
            <w:vAlign w:val="center"/>
          </w:tcPr>
          <w:p>
            <w:pPr>
              <w:spacing w:before="20" w:after="20" w:line="260" w:lineRule="auto"/>
              <w:ind w:firstLine="0"/>
              <w:jc w:val="center"/>
            </w:pPr>
            <w:r>
              <w:rPr>
                <w:sz w:val="20"/>
                <w:szCs w:val="20"/>
              </w:rPr>
              <w:t xml:space="preserve">2.851</w:t>
            </w:r>
          </w:p>
        </w:tc>
        <w:tc>
          <w:tcPr>
            <w:tcW w:type="dxa" w:w="1079"/>
            <w:vAlign w:val="center"/>
          </w:tcPr>
          <w:p>
            <w:pPr>
              <w:spacing w:before="20" w:after="20" w:line="260" w:lineRule="auto"/>
              <w:ind w:firstLine="0"/>
              <w:jc w:val="center"/>
            </w:pPr>
            <w:r>
              <w:rPr>
                <w:sz w:val="20"/>
                <w:szCs w:val="20"/>
              </w:rPr>
              <w:t xml:space="preserve">−57,21</w:t>
            </w:r>
          </w:p>
        </w:tc>
        <w:tc>
          <w:tcPr>
            <w:tcW w:type="dxa" w:w="1079"/>
            <w:vAlign w:val="center"/>
          </w:tcPr>
          <w:p>
            <w:pPr>
              <w:spacing w:before="20" w:after="20" w:line="260" w:lineRule="auto"/>
              <w:ind w:firstLine="0"/>
              <w:jc w:val="center"/>
            </w:pPr>
            <w:r>
              <w:rPr>
                <w:sz w:val="20"/>
                <w:szCs w:val="20"/>
              </w:rPr>
              <w:t xml:space="preserve">−1,18</w:t>
            </w:r>
          </w:p>
        </w:tc>
        <w:tc>
          <w:tcPr>
            <w:tcW w:type="dxa" w:w="1079"/>
            <w:vAlign w:val="center"/>
          </w:tcPr>
          <w:p>
            <w:pPr>
              <w:spacing w:before="20" w:after="20" w:line="260" w:lineRule="auto"/>
              <w:ind w:firstLine="0"/>
              <w:jc w:val="center"/>
            </w:pPr>
            <w:r>
              <w:rPr>
                <w:sz w:val="20"/>
                <w:szCs w:val="20"/>
              </w:rPr>
              <w:t xml:space="preserve">70,72</w:t>
            </w:r>
          </w:p>
        </w:tc>
        <w:tc>
          <w:tcPr>
            <w:tcW w:type="dxa" w:w="1578"/>
            <w:vAlign w:val="center"/>
          </w:tcPr>
          <w:p>
            <w:pPr>
              <w:spacing w:before="20" w:after="20" w:line="260" w:lineRule="auto"/>
              <w:ind w:firstLine="0"/>
              <w:jc w:val="center"/>
            </w:pPr>
            <w:r>
              <w:rPr>
                <w:sz w:val="20"/>
                <w:szCs w:val="20"/>
              </w:rPr>
              <w:t xml:space="preserve">127,92</w:t>
            </w:r>
          </w:p>
        </w:tc>
      </w:tr>
      <w:tr>
        <w:trPr>
          <w:cantSplit/>
        </w:trPr>
        <w:tc>
          <w:tcPr>
            <w:tcW w:type="dxa" w:w="1079"/>
            <w:vAlign w:val="center"/>
          </w:tcPr>
          <w:p>
            <w:pPr>
              <w:spacing w:before="20" w:after="20" w:line="260" w:lineRule="auto"/>
              <w:ind w:firstLine="0"/>
              <w:jc w:val="center"/>
            </w:pPr>
            <w:r>
              <w:rPr>
                <w:sz w:val="20"/>
                <w:szCs w:val="20"/>
              </w:rPr>
              <w:t xml:space="preserve">8</w:t>
            </w:r>
          </w:p>
        </w:tc>
        <w:tc>
          <w:tcPr>
            <w:tcW w:type="dxa" w:w="1749"/>
            <w:vAlign w:val="center"/>
          </w:tcPr>
          <w:p>
            <w:pPr>
              <w:spacing w:before="20" w:after="20" w:line="260" w:lineRule="auto"/>
              <w:ind w:firstLine="0"/>
              <w:jc w:val="left"/>
            </w:pPr>
            <w:r>
              <w:rPr>
                <w:sz w:val="20"/>
                <w:szCs w:val="20"/>
              </w:rPr>
              <w:t xml:space="preserve">[413,65; 1.226,78)</w:t>
            </w:r>
          </w:p>
        </w:tc>
        <w:tc>
          <w:tcPr>
            <w:tcW w:type="dxa" w:w="1428"/>
            <w:vAlign w:val="center"/>
          </w:tcPr>
          <w:p>
            <w:pPr>
              <w:spacing w:before="20" w:after="20" w:line="260" w:lineRule="auto"/>
              <w:ind w:firstLine="0"/>
              <w:jc w:val="center"/>
            </w:pPr>
            <w:r>
              <w:rPr>
                <w:sz w:val="20"/>
                <w:szCs w:val="20"/>
              </w:rPr>
              <w:t xml:space="preserve">2.851</w:t>
            </w:r>
          </w:p>
        </w:tc>
        <w:tc>
          <w:tcPr>
            <w:tcW w:type="dxa" w:w="1079"/>
            <w:vAlign w:val="center"/>
          </w:tcPr>
          <w:p>
            <w:pPr>
              <w:spacing w:before="20" w:after="20" w:line="260" w:lineRule="auto"/>
              <w:ind w:firstLine="0"/>
              <w:jc w:val="center"/>
            </w:pPr>
            <w:r>
              <w:rPr>
                <w:sz w:val="20"/>
                <w:szCs w:val="20"/>
              </w:rPr>
              <w:t xml:space="preserve">−132,06</w:t>
            </w:r>
          </w:p>
        </w:tc>
        <w:tc>
          <w:tcPr>
            <w:tcW w:type="dxa" w:w="1079"/>
            <w:vAlign w:val="center"/>
          </w:tcPr>
          <w:p>
            <w:pPr>
              <w:spacing w:before="20" w:after="20" w:line="260" w:lineRule="auto"/>
              <w:ind w:firstLine="0"/>
              <w:jc w:val="center"/>
            </w:pPr>
            <w:r>
              <w:rPr>
                <w:sz w:val="20"/>
                <w:szCs w:val="20"/>
              </w:rPr>
              <w:t xml:space="preserve">−9,54</w:t>
            </w:r>
          </w:p>
        </w:tc>
        <w:tc>
          <w:tcPr>
            <w:tcW w:type="dxa" w:w="1079"/>
            <w:vAlign w:val="center"/>
          </w:tcPr>
          <w:p>
            <w:pPr>
              <w:spacing w:before="20" w:after="20" w:line="260" w:lineRule="auto"/>
              <w:ind w:firstLine="0"/>
              <w:jc w:val="center"/>
            </w:pPr>
            <w:r>
              <w:rPr>
                <w:sz w:val="20"/>
                <w:szCs w:val="20"/>
              </w:rPr>
              <w:t xml:space="preserve">144,36</w:t>
            </w:r>
          </w:p>
        </w:tc>
        <w:tc>
          <w:tcPr>
            <w:tcW w:type="dxa" w:w="1578"/>
            <w:vAlign w:val="center"/>
          </w:tcPr>
          <w:p>
            <w:pPr>
              <w:spacing w:before="20" w:after="20" w:line="260" w:lineRule="auto"/>
              <w:ind w:firstLine="0"/>
              <w:jc w:val="center"/>
            </w:pPr>
            <w:r>
              <w:rPr>
                <w:sz w:val="20"/>
                <w:szCs w:val="20"/>
              </w:rPr>
              <w:t xml:space="preserve">276,42</w:t>
            </w:r>
          </w:p>
        </w:tc>
      </w:tr>
      <w:tr>
        <w:trPr>
          <w:cantSplit/>
        </w:trPr>
        <w:tc>
          <w:tcPr>
            <w:tcW w:type="dxa" w:w="1079"/>
            <w:vAlign w:val="center"/>
          </w:tcPr>
          <w:p>
            <w:pPr>
              <w:spacing w:before="20" w:after="20" w:line="260" w:lineRule="auto"/>
              <w:ind w:firstLine="0"/>
              <w:jc w:val="center"/>
            </w:pPr>
            <w:r>
              <w:rPr>
                <w:sz w:val="20"/>
                <w:szCs w:val="20"/>
              </w:rPr>
              <w:t xml:space="preserve">9</w:t>
            </w:r>
          </w:p>
        </w:tc>
        <w:tc>
          <w:tcPr>
            <w:tcW w:type="dxa" w:w="1749"/>
            <w:vAlign w:val="center"/>
          </w:tcPr>
          <w:p>
            <w:pPr>
              <w:spacing w:before="20" w:after="20" w:line="260" w:lineRule="auto"/>
              <w:ind w:firstLine="0"/>
              <w:jc w:val="left"/>
            </w:pPr>
            <w:r>
              <w:rPr>
                <w:sz w:val="20"/>
                <w:szCs w:val="20"/>
              </w:rPr>
              <w:t xml:space="preserve">[1.226,78; 14.739,35)</w:t>
            </w:r>
          </w:p>
        </w:tc>
        <w:tc>
          <w:tcPr>
            <w:tcW w:type="dxa" w:w="1428"/>
            <w:vAlign w:val="center"/>
          </w:tcPr>
          <w:p>
            <w:pPr>
              <w:spacing w:before="20" w:after="20" w:line="260" w:lineRule="auto"/>
              <w:ind w:firstLine="0"/>
              <w:jc w:val="center"/>
            </w:pPr>
            <w:r>
              <w:rPr>
                <w:sz w:val="20"/>
                <w:szCs w:val="20"/>
              </w:rPr>
              <w:t xml:space="preserve">2.852</w:t>
            </w:r>
          </w:p>
        </w:tc>
        <w:tc>
          <w:tcPr>
            <w:tcW w:type="dxa" w:w="1079"/>
            <w:vAlign w:val="center"/>
          </w:tcPr>
          <w:p>
            <w:pPr>
              <w:spacing w:before="20" w:after="20" w:line="260" w:lineRule="auto"/>
              <w:ind w:firstLine="0"/>
              <w:jc w:val="center"/>
            </w:pPr>
            <w:r>
              <w:rPr>
                <w:sz w:val="20"/>
                <w:szCs w:val="20"/>
              </w:rPr>
              <w:t xml:space="preserve">−408,53</w:t>
            </w:r>
          </w:p>
        </w:tc>
        <w:tc>
          <w:tcPr>
            <w:tcW w:type="dxa" w:w="1079"/>
            <w:vAlign w:val="center"/>
          </w:tcPr>
          <w:p>
            <w:pPr>
              <w:spacing w:before="20" w:after="20" w:line="260" w:lineRule="auto"/>
              <w:ind w:firstLine="0"/>
              <w:jc w:val="center"/>
            </w:pPr>
            <w:r>
              <w:rPr>
                <w:sz w:val="20"/>
                <w:szCs w:val="20"/>
              </w:rPr>
              <w:t xml:space="preserve">8,96</w:t>
            </w:r>
          </w:p>
        </w:tc>
        <w:tc>
          <w:tcPr>
            <w:tcW w:type="dxa" w:w="1079"/>
            <w:vAlign w:val="center"/>
          </w:tcPr>
          <w:p>
            <w:pPr>
              <w:spacing w:before="20" w:after="20" w:line="260" w:lineRule="auto"/>
              <w:ind w:firstLine="0"/>
              <w:jc w:val="center"/>
            </w:pPr>
            <w:r>
              <w:rPr>
                <w:sz w:val="20"/>
                <w:szCs w:val="20"/>
              </w:rPr>
              <w:t xml:space="preserve">767,44</w:t>
            </w:r>
          </w:p>
        </w:tc>
        <w:tc>
          <w:tcPr>
            <w:tcW w:type="dxa" w:w="1578"/>
            <w:vAlign w:val="center"/>
          </w:tcPr>
          <w:p>
            <w:pPr>
              <w:spacing w:before="20" w:after="20" w:line="260" w:lineRule="auto"/>
              <w:ind w:firstLine="0"/>
              <w:jc w:val="center"/>
            </w:pPr>
            <w:r>
              <w:rPr>
                <w:sz w:val="20"/>
                <w:szCs w:val="20"/>
              </w:rPr>
              <w:t xml:space="preserve">1.175,96</w:t>
            </w:r>
          </w:p>
        </w:tc>
      </w:tr>
    </w:tbl>
    <w:p>
      <w:pPr>
        <w:spacing w:before="40" w:after="160"/>
        <w:ind w:firstLine="0"/>
      </w:pPr>
      <w:r>
        <w:rPr>
          <w:i/>
          <w:sz w:val="22"/>
          <w:szCs w:val="22"/>
        </w:rPr>
        <w:t xml:space="preserve">Nguồn: conformal_bins.csv (REPORT_READY/tables/22_conformal_bins.csv) của lần chạy chính thức. Thiết kế đặt tối đa 10 nhóm; biên phân vị 0% và 10% trùng nhau ở vùng dự báo bằng 0 nên được gộp.</w:t>
      </w:r>
    </w:p>
    <w:p>
      <w:pPr>
        <w:keepLines w:val="0"/>
        <w:spacing w:after="120"/>
        <w:ind w:firstLine="567"/>
      </w:pPr>
      <w:r>
        <w:t xml:space="preserve">Bảng cho thấy cơ chế thích ứng của khoảng dự báo: độ rộng q90 − q10 tăng đơn điệu từ 4,22 ở nhóm dự báo gần 0 đến 1.175,96 ở nhóm lớn nhất. Khoảng cũng bất đối xứng ở các nhóm lớn: ở nhóm 9, phần phía trên (767,44) dài gần gấp đôi phần phía dưới (408,53 theo trị tuyệt đối), phản ánh những ngày thực tế vượt xa dự báo. Trung vị phần dư q50 dao động quanh 0 với dấu không cố định, nên P50 lệch nhẹ khỏi dự báo điểm. Trên tập kiểm tra cuối, số dòng mỗi nhóm từ 2.834 đến 3.816, và chỉ 5 dòng vượt biên trên 14.739,35 nên được áp phân vị của nhóm 9.</w:t>
      </w:r>
    </w:p>
    <w:p>
      <w:pPr>
        <w:keepLines w:val="0"/>
        <w:spacing w:after="120"/>
        <w:ind w:firstLine="567"/>
      </w:pPr>
      <w:r>
        <w:t xml:space="preserve">Bảng đồng thời chỉ ra giới hạn cấu trúc của cách chia nhóm. Độ rộng tăng chậm hơn quy mô dự báo: ở nhóm 2, độ rộng 8,83 lớn hơn gấp đôi biên trên 3,60, trong khi ở nhóm 9, độ rộng 1.175,96 còn nhỏ hơn biên dưới 1.226,78. Nhóm cuối trải trên hơn một bậc độ lớn của dự báo điểm nhưng dùng một bộ phân vị duy nhất, nên chuỗi lớn nhất nhận khoảng tương đối hẹp nhất. Mondrian theo 9 nhóm vì vậy chỉ là bước xấp xỉ bao phủ có điều kiện, không phải bảo đảm cho từng chuỗi; mục 4.9 kiểm tra điều này qua độ bao phủ theo mức nhu cầu.</w:t>
      </w:r>
    </w:p>
    <w:p>
      <w:pPr>
        <w:pStyle w:val="Heading3"/>
        <w:keepNext/>
      </w:pPr>
      <w:r>
        <w:t xml:space="preserve">3.10.4. Thước đo đánh giá và hậu xử lý phân vị</w:t>
      </w:r>
    </w:p>
    <w:p>
      <w:pPr>
        <w:keepLines w:val="0"/>
        <w:spacing w:after="120"/>
        <w:ind w:firstLine="567"/>
      </w:pPr>
      <w:r>
        <w:t xml:space="preserve">Chất lượng dự báo xác suất được đánh giá bằng hàm mất mát phân vị cho từng mức, độ bao phủ thực nghiệm của khoảng P10–P90 và độ rộng trung bình, định nghĩa ở (3.31) và (3.32). Hàm mất mát phân vị (pinball loss) bắt nguồn từ hàm kiểm tra của Koenker và Bassett (1978) và là quy tắc chấm điểm thích hợp cho phân vị (Gneiting và Raftery, 2007); ở P90, mỗi đơn vị dự báo thấp hơn thực tế bị phạt gấp 9 lần mỗi đơn vị dự báo vượt. Tại α = 0,5, hàm này bằng một nửa sai số tuyệt đối, nên hai lần pinball của P50 bằng đúng MAE của P50 theo định nghĩa; trong lần chạy chính thức cả hai cùng bằng 66,855. Vì P50 không trùng dự báo điểm, giá trị này khác MAE của dự báo điểm XGBoost (66,927).</w:t>
      </w:r>
    </w:p>
    <w:p>
      <w:pPr>
        <w:tabs>
          <w:tab w:val="center" w:pos="4535"/>
          <w:tab w:val="right" w:pos="9071"/>
        </w:tabs>
        <w:spacing w:before="60" w:after="60"/>
        <w:ind w:firstLine="0"/>
      </w:pPr>
      <w:r>
        <w:tab/>
      </w:r>
      <m:oMath xmlns:a="http://schemas.openxmlformats.org/drawingml/2006/main" xmlns:pic="http://schemas.openxmlformats.org/drawingml/2006/picture">
        <m:sSub>
          <m:e>
            <m:r>
              <m:t>L</m:t>
            </m:r>
          </m:e>
          <m:sub>
            <m:r>
              <m:t>α</m:t>
            </m:r>
          </m:sub>
        </m:sSub>
        <m:d>
          <m:dPr>
            <m:begChr m:val="("/>
            <m:sepChr m:val=""/>
            <m:endChr m:val=")"/>
            <m:grow/>
          </m:dPr>
          <m:e>
            <m:r>
              <m:t>y</m:t>
            </m:r>
            <m:r>
              <m:rPr>
                <m:sty m:val="p"/>
              </m:rPr>
              <m:t>,</m:t>
            </m:r>
            <m:r>
              <m:t>q</m:t>
            </m:r>
          </m:e>
        </m:d>
        <m:r>
          <m:rPr>
            <m:sty m:val="p"/>
          </m:rPr>
          <m:t>=</m:t>
        </m:r>
        <m:d>
          <m:dPr>
            <m:begChr m:val="{"/>
            <m:sepChr m:val=""/>
            <m:endChr m:val=""/>
            <m:grow/>
          </m:dPr>
          <m:e>
            <m:m>
              <m:mPr>
                <m:baseJc m:val="center"/>
                <m:plcHide m:val="on"/>
                <m:mcs>
                  <m:mc>
                    <m:mcPr>
                      <m:count m:val="1"/>
                      <m:mcJc m:val="left"/>
                    </m:mcPr>
                  </m:mc>
                  <m:mc>
                    <m:mcPr>
                      <m:count m:val="1"/>
                      <m:mcJc m:val="left"/>
                    </m:mcPr>
                  </m:mc>
                </m:mcs>
              </m:mPr>
              <m:mr>
                <m:e>
                  <m:r>
                    <m:t>α</m:t>
                  </m:r>
                  <m:r>
                    <m:t> </m:t>
                  </m:r>
                  <m:d>
                    <m:dPr>
                      <m:begChr m:val="("/>
                      <m:sepChr m:val=""/>
                      <m:endChr m:val=")"/>
                      <m:grow/>
                    </m:dPr>
                    <m:e>
                      <m:r>
                        <m:t>y</m:t>
                      </m:r>
                      <m:r>
                        <m:rPr>
                          <m:sty m:val="p"/>
                        </m:rPr>
                        <m:t>−</m:t>
                      </m:r>
                      <m:r>
                        <m:t>q</m:t>
                      </m:r>
                    </m:e>
                  </m:d>
                  <m:r>
                    <m:rPr>
                      <m:sty m:val="p"/>
                    </m:rPr>
                    <m:t>,</m:t>
                  </m:r>
                </m:e>
                <m:e>
                  <m:r>
                    <m:t>y</m:t>
                  </m:r>
                  <m:r>
                    <m:rPr>
                      <m:sty m:val="p"/>
                    </m:rPr>
                    <m:t>≥</m:t>
                  </m:r>
                  <m:r>
                    <m:t>q</m:t>
                  </m:r>
                </m:e>
              </m:mr>
              <m:mr>
                <m:e>
                  <m:d>
                    <m:dPr>
                      <m:begChr m:val="("/>
                      <m:sepChr m:val=""/>
                      <m:endChr m:val=")"/>
                      <m:grow/>
                    </m:dPr>
                    <m:e>
                      <m:r>
                        <m:t>1</m:t>
                      </m:r>
                      <m:r>
                        <m:rPr>
                          <m:sty m:val="p"/>
                        </m:rPr>
                        <m:t>−</m:t>
                      </m:r>
                      <m:r>
                        <m:t>α</m:t>
                      </m:r>
                    </m:e>
                  </m:d>
                  <m:r>
                    <m:t> </m:t>
                  </m:r>
                  <m:d>
                    <m:dPr>
                      <m:begChr m:val="("/>
                      <m:sepChr m:val=""/>
                      <m:endChr m:val=")"/>
                      <m:grow/>
                    </m:dPr>
                    <m:e>
                      <m:r>
                        <m:t>q</m:t>
                      </m:r>
                      <m:r>
                        <m:rPr>
                          <m:sty m:val="p"/>
                        </m:rPr>
                        <m:t>−</m:t>
                      </m:r>
                      <m:r>
                        <m:t>y</m:t>
                      </m:r>
                    </m:e>
                  </m:d>
                  <m:r>
                    <m:rPr>
                      <m:sty m:val="p"/>
                    </m:rPr>
                    <m:t>,</m:t>
                  </m:r>
                </m:e>
                <m:e>
                  <m:r>
                    <m:t>y</m:t>
                  </m:r>
                  <m:r>
                    <m:rPr>
                      <m:sty m:val="p"/>
                    </m:rPr>
                    <m:t>&lt;</m:t>
                  </m:r>
                  <m:r>
                    <m:t>q</m:t>
                  </m:r>
                </m:e>
              </m:mr>
            </m:m>
          </m:e>
        </m:d>
        <m:r>
          <m:rPr>
            <m:sty m:val="p"/>
          </m:rPr>
          <m:t>,</m:t>
        </m:r>
        <m:r>
          <m:t>  </m:t>
        </m:r>
        <m:sSub>
          <m:e>
            <m:acc>
              <m:accPr>
                <m:chr m:val="‾"/>
              </m:accPr>
              <m:e>
                <m:r>
                  <m:t>L</m:t>
                </m:r>
              </m:e>
            </m:acc>
          </m:e>
          <m:sub>
            <m:r>
              <m:t>α</m:t>
            </m:r>
          </m:sub>
        </m:sSub>
        <m:r>
          <m:rPr>
            <m:sty m:val="p"/>
          </m:rPr>
          <m:t>=</m:t>
        </m:r>
        <m:f>
          <m:fPr>
            <m:type m:val="bar"/>
          </m:fPr>
          <m:num>
            <m:r>
              <m:t>1</m:t>
            </m:r>
          </m:num>
          <m:den>
            <m:r>
              <m:t>N</m:t>
            </m:r>
          </m:den>
        </m:f>
        <m:nary>
          <m:naryPr>
            <m:chr m:val="∑"/>
            <m:limLoc m:val="undOvr"/>
            <m:subHide m:val="off"/>
            <m:supHide m:val="on"/>
          </m:naryPr>
          <m:sub>
            <m:d>
              <m:dPr>
                <m:begChr m:val="("/>
                <m:sepChr m:val=""/>
                <m:endChr m:val=")"/>
                <m:grow/>
              </m:dPr>
              <m:e>
                <m:r>
                  <m:t>i</m:t>
                </m:r>
                <m:r>
                  <m:rPr>
                    <m:sty m:val="p"/>
                  </m:rPr>
                  <m:t>,</m:t>
                </m:r>
                <m:r>
                  <m:t>t</m:t>
                </m:r>
              </m:e>
            </m:d>
          </m:sub>
          <m:sup>
            <m:r>
              <m:t>​</m:t>
            </m:r>
          </m:sup>
          <m:e>
            <m:sSub>
              <m:e>
                <m:r>
                  <m:t>L</m:t>
                </m:r>
              </m:e>
              <m:sub>
                <m:r>
                  <m:t>α</m:t>
                </m:r>
              </m:sub>
            </m:sSub>
          </m:e>
        </m:nary>
        <m:d>
          <m:dPr>
            <m:begChr m:val="("/>
            <m:sepChr m:val=""/>
            <m:endChr m:val=")"/>
            <m:grow/>
          </m:dPr>
          <m:e>
            <m:sSub>
              <m:e>
                <m:r>
                  <m:t>y</m:t>
                </m:r>
              </m:e>
              <m:sub>
                <m:r>
                  <m:t>i</m:t>
                </m:r>
                <m:r>
                  <m:rPr>
                    <m:sty m:val="p"/>
                  </m:rPr>
                  <m:t>,</m:t>
                </m:r>
                <m:r>
                  <m:t>t</m:t>
                </m:r>
              </m:sub>
            </m:sSub>
            <m:r>
              <m:rPr>
                <m:sty m:val="p"/>
              </m:rPr>
              <m:t>,</m:t>
            </m:r>
            <m:sSub>
              <m:e>
                <m:r>
                  <m:t>P</m:t>
                </m:r>
              </m:e>
              <m:sub>
                <m:r>
                  <m:t>α</m:t>
                </m:r>
              </m:sub>
            </m:sSub>
            <m:d>
              <m:dPr>
                <m:begChr m:val="("/>
                <m:sepChr m:val=""/>
                <m:endChr m:val=")"/>
                <m:grow/>
              </m:dPr>
              <m:e>
                <m:r>
                  <m:t>i</m:t>
                </m:r>
                <m:r>
                  <m:rPr>
                    <m:sty m:val="p"/>
                  </m:rPr>
                  <m:t>,</m:t>
                </m:r>
                <m:r>
                  <m:t>t</m:t>
                </m:r>
              </m:e>
            </m:d>
          </m:e>
        </m:d>
      </m:oMath>
      <w:r>
        <w:tab/>
        <w:t>(3.31)</w:t>
      </w:r>
    </w:p>
    <w:p>
      <w:pPr>
        <w:tabs>
          <w:tab w:val="center" w:pos="4535"/>
          <w:tab w:val="right" w:pos="9071"/>
        </w:tabs>
        <w:spacing w:before="60" w:after="60"/>
        <w:ind w:firstLine="0"/>
      </w:pPr>
      <w:r>
        <w:tab/>
      </w:r>
      <m:oMath xmlns:a="http://schemas.openxmlformats.org/drawingml/2006/main" xmlns:pic="http://schemas.openxmlformats.org/drawingml/2006/picture">
        <m:r>
          <m:rPr>
            <m:sty m:val="p"/>
          </m:rPr>
          <m:t>C</m:t>
        </m:r>
        <m:r>
          <m:rPr>
            <m:sty m:val="p"/>
          </m:rPr>
          <m:t>o</m:t>
        </m:r>
        <m:r>
          <m:rPr>
            <m:sty m:val="p"/>
          </m:rPr>
          <m:t>v</m:t>
        </m:r>
        <m:r>
          <m:rPr>
            <m:sty m:val="p"/>
          </m:rPr>
          <m:t>e</m:t>
        </m:r>
        <m:r>
          <m:rPr>
            <m:sty m:val="p"/>
          </m:rPr>
          <m:t>r</m:t>
        </m:r>
        <m:r>
          <m:rPr>
            <m:sty m:val="p"/>
          </m:rPr>
          <m:t>a</m:t>
        </m:r>
        <m:r>
          <m:rPr>
            <m:sty m:val="p"/>
          </m:rPr>
          <m:t>g</m:t>
        </m:r>
        <m:r>
          <m:rPr>
            <m:sty m:val="p"/>
          </m:rPr>
          <m:t>e</m:t>
        </m:r>
        <m:r>
          <m:rPr>
            <m:sty m:val="p"/>
          </m:rPr>
          <m:t>=</m:t>
        </m:r>
        <m:f>
          <m:fPr>
            <m:type m:val="bar"/>
          </m:fPr>
          <m:num>
            <m:r>
              <m:t>1</m:t>
            </m:r>
          </m:num>
          <m:den>
            <m:r>
              <m:t>N</m:t>
            </m:r>
          </m:den>
        </m:f>
        <m:nary>
          <m:naryPr>
            <m:chr m:val="∑"/>
            <m:limLoc m:val="undOvr"/>
            <m:subHide m:val="off"/>
            <m:supHide m:val="on"/>
          </m:naryPr>
          <m:sub>
            <m:d>
              <m:dPr>
                <m:begChr m:val="("/>
                <m:sepChr m:val=""/>
                <m:endChr m:val=")"/>
                <m:grow/>
              </m:dPr>
              <m:e>
                <m:r>
                  <m:t>i</m:t>
                </m:r>
                <m:r>
                  <m:rPr>
                    <m:sty m:val="p"/>
                  </m:rPr>
                  <m:t>,</m:t>
                </m:r>
                <m:r>
                  <m:t>t</m:t>
                </m:r>
              </m:e>
            </m:d>
          </m:sub>
          <m:sup>
            <m:r>
              <m:t>​</m:t>
            </m:r>
          </m:sup>
          <m:e>
            <m:r>
              <m:rPr>
                <m:sty m:val="b"/>
              </m:rPr>
              <m:t>1</m:t>
            </m:r>
          </m:e>
        </m:nary>
        <m:d>
          <m:dPr>
            <m:begChr m:val="{"/>
            <m:sepChr m:val=""/>
            <m:endChr m:val="}"/>
            <m:grow/>
          </m:dPr>
          <m:e>
            <m:sSub>
              <m:e>
                <m:r>
                  <m:t>P</m:t>
                </m:r>
              </m:e>
              <m:sub>
                <m:r>
                  <m:t>0.1</m:t>
                </m:r>
              </m:sub>
            </m:sSub>
            <m:d>
              <m:dPr>
                <m:begChr m:val="("/>
                <m:sepChr m:val=""/>
                <m:endChr m:val=")"/>
                <m:grow/>
              </m:dPr>
              <m:e>
                <m:r>
                  <m:t>i</m:t>
                </m:r>
                <m:r>
                  <m:rPr>
                    <m:sty m:val="p"/>
                  </m:rPr>
                  <m:t>,</m:t>
                </m:r>
                <m:r>
                  <m:t>t</m:t>
                </m:r>
              </m:e>
            </m:d>
            <m:r>
              <m:rPr>
                <m:sty m:val="p"/>
              </m:rPr>
              <m:t>≤</m:t>
            </m:r>
            <m:sSub>
              <m:e>
                <m:r>
                  <m:t>y</m:t>
                </m:r>
              </m:e>
              <m:sub>
                <m:r>
                  <m:t>i</m:t>
                </m:r>
                <m:r>
                  <m:rPr>
                    <m:sty m:val="p"/>
                  </m:rPr>
                  <m:t>,</m:t>
                </m:r>
                <m:r>
                  <m:t>t</m:t>
                </m:r>
              </m:sub>
            </m:sSub>
            <m:r>
              <m:rPr>
                <m:sty m:val="p"/>
              </m:rPr>
              <m:t>≤</m:t>
            </m:r>
            <m:sSub>
              <m:e>
                <m:r>
                  <m:t>P</m:t>
                </m:r>
              </m:e>
              <m:sub>
                <m:r>
                  <m:t>0.9</m:t>
                </m:r>
              </m:sub>
            </m:sSub>
            <m:d>
              <m:dPr>
                <m:begChr m:val="("/>
                <m:sepChr m:val=""/>
                <m:endChr m:val=")"/>
                <m:grow/>
              </m:dPr>
              <m:e>
                <m:r>
                  <m:t>i</m:t>
                </m:r>
                <m:r>
                  <m:rPr>
                    <m:sty m:val="p"/>
                  </m:rPr>
                  <m:t>,</m:t>
                </m:r>
                <m:r>
                  <m:t>t</m:t>
                </m:r>
              </m:e>
            </m:d>
          </m:e>
        </m:d>
        <m:r>
          <m:rPr>
            <m:sty m:val="p"/>
          </m:rPr>
          <m:t>,</m:t>
        </m:r>
        <m:r>
          <m:t>  </m:t>
        </m:r>
        <m:r>
          <m:rPr>
            <m:sty m:val="p"/>
          </m:rPr>
          <m:t>W</m:t>
        </m:r>
        <m:r>
          <m:rPr>
            <m:sty m:val="p"/>
          </m:rPr>
          <m:t>i</m:t>
        </m:r>
        <m:r>
          <m:rPr>
            <m:sty m:val="p"/>
          </m:rPr>
          <m:t>d</m:t>
        </m:r>
        <m:r>
          <m:rPr>
            <m:sty m:val="p"/>
          </m:rPr>
          <m:t>t</m:t>
        </m:r>
        <m:r>
          <m:rPr>
            <m:sty m:val="p"/>
          </m:rPr>
          <m:t>h</m:t>
        </m:r>
        <m:r>
          <m:rPr>
            <m:sty m:val="p"/>
          </m:rPr>
          <m:t>=</m:t>
        </m:r>
        <m:f>
          <m:fPr>
            <m:type m:val="bar"/>
          </m:fPr>
          <m:num>
            <m:r>
              <m:t>1</m:t>
            </m:r>
          </m:num>
          <m:den>
            <m:r>
              <m:t>N</m:t>
            </m:r>
          </m:den>
        </m:f>
        <m:nary>
          <m:naryPr>
            <m:chr m:val="∑"/>
            <m:limLoc m:val="undOvr"/>
            <m:subHide m:val="off"/>
            <m:supHide m:val="on"/>
          </m:naryPr>
          <m:sub>
            <m:d>
              <m:dPr>
                <m:begChr m:val="("/>
                <m:sepChr m:val=""/>
                <m:endChr m:val=")"/>
                <m:grow/>
              </m:dPr>
              <m:e>
                <m:r>
                  <m:t>i</m:t>
                </m:r>
                <m:r>
                  <m:rPr>
                    <m:sty m:val="p"/>
                  </m:rPr>
                  <m:t>,</m:t>
                </m:r>
                <m:r>
                  <m:t>t</m:t>
                </m:r>
              </m:e>
            </m:d>
          </m:sub>
          <m:sup>
            <m:r>
              <m:t>​</m:t>
            </m:r>
          </m:sup>
          <m:e>
            <m:d>
              <m:dPr>
                <m:begChr m:val="("/>
                <m:sepChr m:val=""/>
                <m:endChr m:val=")"/>
                <m:grow/>
              </m:dPr>
              <m:e>
                <m:sSub>
                  <m:e>
                    <m:r>
                      <m:t>P</m:t>
                    </m:r>
                  </m:e>
                  <m:sub>
                    <m:r>
                      <m:t>0.9</m:t>
                    </m:r>
                  </m:sub>
                </m:sSub>
                <m:d>
                  <m:dPr>
                    <m:begChr m:val="("/>
                    <m:sepChr m:val=""/>
                    <m:endChr m:val=")"/>
                    <m:grow/>
                  </m:dPr>
                  <m:e>
                    <m:r>
                      <m:t>i</m:t>
                    </m:r>
                    <m:r>
                      <m:rPr>
                        <m:sty m:val="p"/>
                      </m:rPr>
                      <m:t>,</m:t>
                    </m:r>
                    <m:r>
                      <m:t>t</m:t>
                    </m:r>
                  </m:e>
                </m:d>
                <m:r>
                  <m:rPr>
                    <m:sty m:val="p"/>
                  </m:rPr>
                  <m:t>−</m:t>
                </m:r>
                <m:sSub>
                  <m:e>
                    <m:r>
                      <m:t>P</m:t>
                    </m:r>
                  </m:e>
                  <m:sub>
                    <m:r>
                      <m:t>0.1</m:t>
                    </m:r>
                  </m:sub>
                </m:sSub>
                <m:d>
                  <m:dPr>
                    <m:begChr m:val="("/>
                    <m:sepChr m:val=""/>
                    <m:endChr m:val=")"/>
                    <m:grow/>
                  </m:dPr>
                  <m:e>
                    <m:r>
                      <m:t>i</m:t>
                    </m:r>
                    <m:r>
                      <m:rPr>
                        <m:sty m:val="p"/>
                      </m:rPr>
                      <m:t>,</m:t>
                    </m:r>
                    <m:r>
                      <m:t>t</m:t>
                    </m:r>
                  </m:e>
                </m:d>
              </m:e>
            </m:d>
          </m:e>
        </m:nary>
      </m:oMath>
      <w:r>
        <w:tab/>
        <w:t>(3.32)</w:t>
      </w:r>
    </w:p>
    <w:p>
      <w:pPr>
        <w:keepLines w:val="0"/>
        <w:spacing w:after="120"/>
        <w:ind w:firstLine="567"/>
      </w:pPr>
      <w:r>
        <w:t xml:space="preserve">Độ bao phủ được so với mức danh nghĩa 80%, còn độ rộng phản ánh độ sắc nét; hai chỉ số được xem đồng thời theo nguyên tắc tối đa hóa độ sắc nét với ràng buộc hiệu chỉnh (Gneiting và cộng sự, 2007). Sau khi cộng phân vị và chặn tại 0, ba giá trị của mỗi dòng được sắp xếp tăng dần để bảo đảm P10 ≤ P50 ≤ P90 và loại bỏ khả năng giao cắt phân vị (quantile crossing). Trong từng nhóm của lần chạy, q10 &lt; q50 &lt; q90 và phép chặn bảo toàn thứ tự, nên bước này chủ yếu là chốt chặn. Các phân vị được tính riêng cho từng ngày, nên khi cộng qua 16 ngày, kết quả chỉ là đại lượng mô tả (mục 3.11.2).</w:t>
      </w:r>
    </w:p>
    <w:p>
      <w:pPr>
        <w:pStyle w:val="Heading3"/>
        <w:keepNext/>
      </w:pPr>
      <w:r>
        <w:t xml:space="preserve">3.10.5. Giả định và giới hạn của lớp xác suất</w:t>
      </w:r>
    </w:p>
    <w:p>
      <w:pPr>
        <w:keepLines w:val="0"/>
        <w:spacing w:after="120"/>
        <w:ind w:firstLine="567"/>
      </w:pPr>
      <w:r>
        <w:t xml:space="preserve">Giới hạn thứ nhất là cửa sổ hiệu chỉnh trùng với lần kiểm định 3. Sai số trên cửa sổ này đã tham gia vào WAPE trung bình dùng để chọn XGBoost, nên việc chọn mô hình có sai số thấp nhất có thể khiến phần dư hiệu chỉnh thuận lợi hơn một chút so với phần dư của một cửa sổ chưa từng được nhìn thấy, và khoảng có thể hẹp hơn mức cần thiết. Hiệu ứng này được kỳ vọng là nhỏ vì quyết định dựa trên trung bình ba cửa sổ, nhưng một thiết kế chặt chẽ hơn sẽ dành cửa sổ hiệu chỉnh riêng giữa lần kiểm định cuối và tập kiểm tra cuối. Luận văn ghi nhận điểm này như một giới hạn của thiết kế; tập kiểm tra cuối vẫn tách biệt khỏi cả hai bước.</w:t>
      </w:r>
    </w:p>
    <w:p>
      <w:pPr>
        <w:keepLines w:val="0"/>
        <w:spacing w:after="120"/>
        <w:ind w:firstLine="567"/>
      </w:pPr>
      <w:r>
        <w:t xml:space="preserve">Giới hạn thứ hai là giả định hoán đổi được. Cửa sổ hiệu chỉnh và tập kiểm tra cuối là hai giai đoạn liền kề nhưng khác nhau về lịch và khuyến mãi, còn phần dư giữa các ngày và các chuỗi có thể tương quan; trong điều kiện đó, mức danh nghĩa 80% chỉ là mục tiêu, không phải bảo đảm. Lần chạy chính thức cho độ bao phủ tổng 75,40%, thấp hơn danh nghĩa 4,60 điểm phần trăm, và nhóm nhu cầu thấp nhất chỉ đạt 70,86%. Các hướng cải tiến chưa triển khai gồm: hồi quy phân vị phù hợp (conformalized quantile regression) cho khoảng thích ứng theo điều kiện (Romano và cộng sự, 2019); chia nhỏ nhóm cuối hoặc kết hợp quy mô với nhóm sản phẩm; và dùng cửa sổ hiệu chỉnh dài hơn, tách biệt.</w:t>
      </w:r>
    </w:p>
    <w:p>
      <w:pPr>
        <w:pStyle w:val="Heading2"/>
        <w:keepNext/>
      </w:pPr>
      <w:r>
        <w:t xml:space="preserve">3.11. Kịch bản khuyến mãi có điều kiện</w:t>
      </w:r>
    </w:p>
    <w:p>
      <w:pPr>
        <w:pStyle w:val="Heading3"/>
        <w:keepNext/>
      </w:pPr>
      <w:r>
        <w:t xml:space="preserve">3.11.1. Thiết kế năm mức kịch bản onpromotion</w:t>
      </w:r>
    </w:p>
    <w:p>
      <w:pPr>
        <w:keepLines w:val="0"/>
        <w:spacing w:after="120"/>
        <w:ind w:firstLine="567"/>
      </w:pPr>
      <w:r>
        <w:t xml:space="preserve">Lớp kịch bản khuyến mãi (Stage 06, 06_promotion_scenarios.py) trả lời câu hỏi có điều kiện: nếu biến onpromotion của tập kiểm tra cuối nhận một giá trị khác, mô hình đã chọn sẽ dự báo doanh số như thế nào. Quy trình lấy 16 ngày của tập kiểm tra cuối, thay giá trị onpromotion theo năm mức được mô tả trong 3.9, giữ nguyên mọi đặc trưng còn lại và đưa vào mô hình XGBoost cuối (selected_point_model.joblib) để dự báo lại, với kết quả được chặn tại 0. Về hình thức, véc-tơ đặc trưng x(i,t) được thay bằng x⁽ˢ⁾(i,t) chỉ khác ở thành phần onpromotion, và phản ứng dự báo có điều kiện được xác định theo (3.33).</w:t>
      </w:r>
    </w:p>
    <w:p>
      <w:pPr>
        <w:keepNext/>
        <w:spacing w:before="120" w:after="60"/>
        <w:ind w:firstLine="0"/>
        <w:jc w:val="center"/>
      </w:pPr>
      <w:r>
        <w:t xml:space="preserve">Bảng 3.9. Năm mức kịch bản onpromotion của Stage 06</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391"/>
        <w:gridCol w:w="2125"/>
        <w:gridCol w:w="2602"/>
        <w:gridCol w:w="2953"/>
      </w:tblGrid>
      <w:tr>
        <w:trPr>
          <w:tblHeader/>
          <w:cantSplit/>
        </w:trPr>
        <w:tc>
          <w:tcPr>
            <w:tcW w:type="dxa" w:w="1391"/>
            <w:shd w:val="clear" w:color="auto" w:fill="D9E2F3"/>
            <w:vAlign w:val="center"/>
          </w:tcPr>
          <w:p>
            <w:pPr>
              <w:spacing w:before="20" w:after="20" w:line="260" w:lineRule="auto"/>
              <w:ind w:firstLine="0"/>
              <w:jc w:val="center"/>
            </w:pPr>
            <w:r>
              <w:rPr>
                <w:b/>
                <w:sz w:val="20"/>
                <w:szCs w:val="20"/>
              </w:rPr>
              <w:t xml:space="preserve">Kịch bản</w:t>
            </w:r>
          </w:p>
        </w:tc>
        <w:tc>
          <w:tcPr>
            <w:tcW w:type="dxa" w:w="2125"/>
            <w:shd w:val="clear" w:color="auto" w:fill="D9E2F3"/>
            <w:vAlign w:val="center"/>
          </w:tcPr>
          <w:p>
            <w:pPr>
              <w:spacing w:before="20" w:after="20" w:line="260" w:lineRule="auto"/>
              <w:ind w:firstLine="0"/>
              <w:jc w:val="center"/>
            </w:pPr>
            <w:r>
              <w:rPr>
                <w:b/>
                <w:sz w:val="20"/>
                <w:szCs w:val="20"/>
              </w:rPr>
              <w:t xml:space="preserve">Giá trị onpromotion được gán</w:t>
            </w:r>
          </w:p>
        </w:tc>
        <w:tc>
          <w:tcPr>
            <w:tcW w:type="dxa" w:w="2602"/>
            <w:shd w:val="clear" w:color="auto" w:fill="D9E2F3"/>
            <w:vAlign w:val="center"/>
          </w:tcPr>
          <w:p>
            <w:pPr>
              <w:spacing w:before="20" w:after="20" w:line="260" w:lineRule="auto"/>
              <w:ind w:firstLine="0"/>
              <w:jc w:val="center"/>
            </w:pPr>
            <w:r>
              <w:rPr>
                <w:b/>
                <w:sz w:val="20"/>
                <w:szCs w:val="20"/>
              </w:rPr>
              <w:t xml:space="preserve">Phạm vi áp dụng</w:t>
            </w:r>
          </w:p>
        </w:tc>
        <w:tc>
          <w:tcPr>
            <w:tcW w:type="dxa" w:w="2953"/>
            <w:shd w:val="clear" w:color="auto" w:fill="D9E2F3"/>
            <w:vAlign w:val="center"/>
          </w:tcPr>
          <w:p>
            <w:pPr>
              <w:spacing w:before="20" w:after="20" w:line="260" w:lineRule="auto"/>
              <w:ind w:firstLine="0"/>
              <w:jc w:val="center"/>
            </w:pPr>
            <w:r>
              <w:rPr>
                <w:b/>
                <w:sz w:val="20"/>
                <w:szCs w:val="20"/>
              </w:rPr>
              <w:t xml:space="preserve">Cách diễn giải</w:t>
            </w:r>
          </w:p>
        </w:tc>
      </w:tr>
      <w:tr>
        <w:trPr>
          <w:cantSplit/>
        </w:trPr>
        <w:tc>
          <w:tcPr>
            <w:tcW w:type="dxa" w:w="1391"/>
            <w:vAlign w:val="center"/>
          </w:tcPr>
          <w:p>
            <w:pPr>
              <w:spacing w:before="20" w:after="20" w:line="260" w:lineRule="auto"/>
              <w:ind w:firstLine="0"/>
              <w:jc w:val="left"/>
            </w:pPr>
            <w:r>
              <w:rPr>
                <w:sz w:val="20"/>
                <w:szCs w:val="20"/>
              </w:rPr>
              <w:t xml:space="preserve">No promotion</w:t>
            </w:r>
          </w:p>
        </w:tc>
        <w:tc>
          <w:tcPr>
            <w:tcW w:type="dxa" w:w="2125"/>
            <w:vAlign w:val="center"/>
          </w:tcPr>
          <w:p>
            <w:pPr>
              <w:spacing w:before="20" w:after="20" w:line="260" w:lineRule="auto"/>
              <w:ind w:firstLine="0"/>
              <w:jc w:val="center"/>
            </w:pPr>
            <w:r>
              <w:rPr>
                <w:sz w:val="20"/>
                <w:szCs w:val="20"/>
              </w:rPr>
              <w:t xml:space="preserve">0</w:t>
            </w:r>
          </w:p>
        </w:tc>
        <w:tc>
          <w:tcPr>
            <w:tcW w:type="dxa" w:w="2602"/>
            <w:vAlign w:val="center"/>
          </w:tcPr>
          <w:p>
            <w:pPr>
              <w:spacing w:before="20" w:after="20" w:line="260" w:lineRule="auto"/>
              <w:ind w:firstLine="0"/>
              <w:jc w:val="left"/>
            </w:pPr>
            <w:r>
              <w:rPr>
                <w:sz w:val="20"/>
                <w:szCs w:val="20"/>
              </w:rPr>
              <w:t xml:space="preserve">Mọi ngày × mọi chuỗi của tập kiểm tra cuối</w:t>
            </w:r>
          </w:p>
        </w:tc>
        <w:tc>
          <w:tcPr>
            <w:tcW w:type="dxa" w:w="2953"/>
            <w:vAlign w:val="center"/>
          </w:tcPr>
          <w:p>
            <w:pPr>
              <w:spacing w:before="20" w:after="20" w:line="260" w:lineRule="auto"/>
              <w:ind w:firstLine="0"/>
              <w:jc w:val="left"/>
            </w:pPr>
            <w:r>
              <w:rPr>
                <w:sz w:val="20"/>
                <w:szCs w:val="20"/>
              </w:rPr>
              <w:t xml:space="preserve">Không có mặt hàng nào trong nhóm được khuyến mãi</w:t>
            </w:r>
          </w:p>
        </w:tc>
      </w:tr>
      <w:tr>
        <w:trPr>
          <w:cantSplit/>
        </w:trPr>
        <w:tc>
          <w:tcPr>
            <w:tcW w:type="dxa" w:w="1391"/>
            <w:vAlign w:val="center"/>
          </w:tcPr>
          <w:p>
            <w:pPr>
              <w:spacing w:before="20" w:after="20" w:line="260" w:lineRule="auto"/>
              <w:ind w:firstLine="0"/>
              <w:jc w:val="left"/>
            </w:pPr>
            <w:r>
              <w:rPr>
                <w:sz w:val="20"/>
                <w:szCs w:val="20"/>
              </w:rPr>
              <w:t xml:space="preserve">Current</w:t>
            </w:r>
          </w:p>
        </w:tc>
        <w:tc>
          <w:tcPr>
            <w:tcW w:type="dxa" w:w="2125"/>
            <w:vAlign w:val="center"/>
          </w:tcPr>
          <w:p>
            <w:pPr>
              <w:spacing w:before="20" w:after="20" w:line="260" w:lineRule="auto"/>
              <w:ind w:firstLine="0"/>
              <w:jc w:val="left"/>
            </w:pPr>
            <w:r>
              <w:rPr>
                <w:sz w:val="20"/>
                <w:szCs w:val="20"/>
              </w:rPr>
              <w:t xml:space="preserve">Giữ nguyên giá trị thực tế</w:t>
            </w:r>
          </w:p>
        </w:tc>
        <w:tc>
          <w:tcPr>
            <w:tcW w:type="dxa" w:w="2602"/>
            <w:vAlign w:val="center"/>
          </w:tcPr>
          <w:p>
            <w:pPr>
              <w:spacing w:before="20" w:after="20" w:line="260" w:lineRule="auto"/>
              <w:ind w:firstLine="0"/>
              <w:jc w:val="left"/>
            </w:pPr>
            <w:r>
              <w:rPr>
                <w:sz w:val="20"/>
                <w:szCs w:val="20"/>
              </w:rPr>
              <w:t xml:space="preserve">Như dữ liệu gốc</w:t>
            </w:r>
          </w:p>
        </w:tc>
        <w:tc>
          <w:tcPr>
            <w:tcW w:type="dxa" w:w="2953"/>
            <w:vAlign w:val="center"/>
          </w:tcPr>
          <w:p>
            <w:pPr>
              <w:spacing w:before="20" w:after="20" w:line="260" w:lineRule="auto"/>
              <w:ind w:firstLine="0"/>
              <w:jc w:val="left"/>
            </w:pPr>
            <w:r>
              <w:rPr>
                <w:sz w:val="20"/>
                <w:szCs w:val="20"/>
              </w:rPr>
              <w:t xml:space="preserve">Mốc so sánh; P50 kịch bản bằng dự báo điểm của XGBoost</w:t>
            </w:r>
          </w:p>
        </w:tc>
      </w:tr>
      <w:tr>
        <w:trPr>
          <w:cantSplit/>
        </w:trPr>
        <w:tc>
          <w:tcPr>
            <w:tcW w:type="dxa" w:w="1391"/>
            <w:vAlign w:val="center"/>
          </w:tcPr>
          <w:p>
            <w:pPr>
              <w:spacing w:before="20" w:after="20" w:line="260" w:lineRule="auto"/>
              <w:ind w:firstLine="0"/>
              <w:jc w:val="left"/>
            </w:pPr>
            <w:r>
              <w:rPr>
                <w:sz w:val="20"/>
                <w:szCs w:val="20"/>
              </w:rPr>
              <w:t xml:space="preserve">Low</w:t>
            </w:r>
          </w:p>
        </w:tc>
        <w:tc>
          <w:tcPr>
            <w:tcW w:type="dxa" w:w="2125"/>
            <w:vAlign w:val="center"/>
          </w:tcPr>
          <w:p>
            <w:pPr>
              <w:spacing w:before="20" w:after="20" w:line="260" w:lineRule="auto"/>
              <w:ind w:firstLine="0"/>
              <w:jc w:val="center"/>
            </w:pPr>
            <w:r>
              <w:rPr>
                <w:sz w:val="20"/>
                <w:szCs w:val="20"/>
              </w:rPr>
              <w:t xml:space="preserve">1</w:t>
            </w:r>
          </w:p>
        </w:tc>
        <w:tc>
          <w:tcPr>
            <w:tcW w:type="dxa" w:w="2602"/>
            <w:vAlign w:val="center"/>
          </w:tcPr>
          <w:p>
            <w:pPr>
              <w:spacing w:before="20" w:after="20" w:line="260" w:lineRule="auto"/>
              <w:ind w:firstLine="0"/>
              <w:jc w:val="left"/>
            </w:pPr>
            <w:r>
              <w:rPr>
                <w:sz w:val="20"/>
                <w:szCs w:val="20"/>
              </w:rPr>
              <w:t xml:space="preserve">Mọi ngày × mọi chuỗi</w:t>
            </w:r>
          </w:p>
        </w:tc>
        <w:tc>
          <w:tcPr>
            <w:tcW w:type="dxa" w:w="2953"/>
            <w:vAlign w:val="center"/>
          </w:tcPr>
          <w:p>
            <w:pPr>
              <w:spacing w:before="20" w:after="20" w:line="260" w:lineRule="auto"/>
              <w:ind w:firstLine="0"/>
              <w:jc w:val="left"/>
            </w:pPr>
            <w:r>
              <w:rPr>
                <w:sz w:val="20"/>
                <w:szCs w:val="20"/>
              </w:rPr>
              <w:t xml:space="preserve">Một mặt hàng trong nhóm được khuyến mãi mỗi ngày</w:t>
            </w:r>
          </w:p>
        </w:tc>
      </w:tr>
      <w:tr>
        <w:trPr>
          <w:cantSplit/>
        </w:trPr>
        <w:tc>
          <w:tcPr>
            <w:tcW w:type="dxa" w:w="1391"/>
            <w:vAlign w:val="center"/>
          </w:tcPr>
          <w:p>
            <w:pPr>
              <w:spacing w:before="20" w:after="20" w:line="260" w:lineRule="auto"/>
              <w:ind w:firstLine="0"/>
              <w:jc w:val="left"/>
            </w:pPr>
            <w:r>
              <w:rPr>
                <w:sz w:val="20"/>
                <w:szCs w:val="20"/>
              </w:rPr>
              <w:t xml:space="preserve">Medium</w:t>
            </w:r>
          </w:p>
        </w:tc>
        <w:tc>
          <w:tcPr>
            <w:tcW w:type="dxa" w:w="2125"/>
            <w:vAlign w:val="center"/>
          </w:tcPr>
          <w:p>
            <w:pPr>
              <w:spacing w:before="20" w:after="20" w:line="260" w:lineRule="auto"/>
              <w:ind w:firstLine="0"/>
              <w:jc w:val="center"/>
            </w:pPr>
            <w:r>
              <w:rPr>
                <w:sz w:val="20"/>
                <w:szCs w:val="20"/>
              </w:rPr>
              <w:t xml:space="preserve">5</w:t>
            </w:r>
          </w:p>
        </w:tc>
        <w:tc>
          <w:tcPr>
            <w:tcW w:type="dxa" w:w="2602"/>
            <w:vAlign w:val="center"/>
          </w:tcPr>
          <w:p>
            <w:pPr>
              <w:spacing w:before="20" w:after="20" w:line="260" w:lineRule="auto"/>
              <w:ind w:firstLine="0"/>
              <w:jc w:val="left"/>
            </w:pPr>
            <w:r>
              <w:rPr>
                <w:sz w:val="20"/>
                <w:szCs w:val="20"/>
              </w:rPr>
              <w:t xml:space="preserve">Mọi ngày × mọi chuỗi</w:t>
            </w:r>
          </w:p>
        </w:tc>
        <w:tc>
          <w:tcPr>
            <w:tcW w:type="dxa" w:w="2953"/>
            <w:vAlign w:val="center"/>
          </w:tcPr>
          <w:p>
            <w:pPr>
              <w:spacing w:before="20" w:after="20" w:line="260" w:lineRule="auto"/>
              <w:ind w:firstLine="0"/>
              <w:jc w:val="left"/>
            </w:pPr>
            <w:r>
              <w:rPr>
                <w:sz w:val="20"/>
                <w:szCs w:val="20"/>
              </w:rPr>
              <w:t xml:space="preserve">Năm mặt hàng trong nhóm được khuyến mãi mỗi ngày</w:t>
            </w:r>
          </w:p>
        </w:tc>
      </w:tr>
      <w:tr>
        <w:trPr>
          <w:cantSplit/>
        </w:trPr>
        <w:tc>
          <w:tcPr>
            <w:tcW w:type="dxa" w:w="1391"/>
            <w:vAlign w:val="center"/>
          </w:tcPr>
          <w:p>
            <w:pPr>
              <w:spacing w:before="20" w:after="20" w:line="260" w:lineRule="auto"/>
              <w:ind w:firstLine="0"/>
              <w:jc w:val="left"/>
            </w:pPr>
            <w:r>
              <w:rPr>
                <w:sz w:val="20"/>
                <w:szCs w:val="20"/>
              </w:rPr>
              <w:t xml:space="preserve">High</w:t>
            </w:r>
          </w:p>
        </w:tc>
        <w:tc>
          <w:tcPr>
            <w:tcW w:type="dxa" w:w="2125"/>
            <w:vAlign w:val="center"/>
          </w:tcPr>
          <w:p>
            <w:pPr>
              <w:spacing w:before="20" w:after="20" w:line="260" w:lineRule="auto"/>
              <w:ind w:firstLine="0"/>
              <w:jc w:val="center"/>
            </w:pPr>
            <w:r>
              <w:rPr>
                <w:sz w:val="20"/>
                <w:szCs w:val="20"/>
              </w:rPr>
              <w:t xml:space="preserve">10</w:t>
            </w:r>
          </w:p>
        </w:tc>
        <w:tc>
          <w:tcPr>
            <w:tcW w:type="dxa" w:w="2602"/>
            <w:vAlign w:val="center"/>
          </w:tcPr>
          <w:p>
            <w:pPr>
              <w:spacing w:before="20" w:after="20" w:line="260" w:lineRule="auto"/>
              <w:ind w:firstLine="0"/>
              <w:jc w:val="left"/>
            </w:pPr>
            <w:r>
              <w:rPr>
                <w:sz w:val="20"/>
                <w:szCs w:val="20"/>
              </w:rPr>
              <w:t xml:space="preserve">Mọi ngày × mọi chuỗi</w:t>
            </w:r>
          </w:p>
        </w:tc>
        <w:tc>
          <w:tcPr>
            <w:tcW w:type="dxa" w:w="2953"/>
            <w:vAlign w:val="center"/>
          </w:tcPr>
          <w:p>
            <w:pPr>
              <w:spacing w:before="20" w:after="20" w:line="260" w:lineRule="auto"/>
              <w:ind w:firstLine="0"/>
              <w:jc w:val="left"/>
            </w:pPr>
            <w:r>
              <w:rPr>
                <w:sz w:val="20"/>
                <w:szCs w:val="20"/>
              </w:rPr>
              <w:t xml:space="preserve">Mười mặt hàng trong nhóm được khuyến mãi mỗi ngày</w:t>
            </w:r>
          </w:p>
        </w:tc>
      </w:tr>
    </w:tbl>
    <w:p>
      <w:pPr>
        <w:spacing w:before="40" w:after="160"/>
        <w:ind w:firstLine="0"/>
      </w:pPr>
      <w:r>
        <w:rPr>
          <w:i/>
          <w:sz w:val="22"/>
          <w:szCs w:val="22"/>
        </w:rPr>
        <w:t xml:space="preserve">Nguồn: tổng hợp của tác giả từ 06_promotion_scenarios.py. onpromotion là số mặt hàng của nhóm đang được khuyến mãi, không phải tỷ lệ giảm giá.</w:t>
      </w:r>
    </w:p>
    <w:p>
      <w:pPr>
        <w:tabs>
          <w:tab w:val="center" w:pos="4535"/>
          <w:tab w:val="right" w:pos="9071"/>
        </w:tabs>
        <w:spacing w:before="60" w:after="60"/>
        <w:ind w:firstLine="0"/>
      </w:pPr>
      <w:r>
        <w:tab/>
      </w:r>
      <m:oMath xmlns:a="http://schemas.openxmlformats.org/drawingml/2006/main" xmlns:pic="http://schemas.openxmlformats.org/drawingml/2006/picture">
        <m:sSubSup>
          <m:e>
            <m:acc>
              <m:accPr>
                <m:chr m:val="̂"/>
              </m:accPr>
              <m:e>
                <m:r>
                  <m:t>y</m:t>
                </m:r>
              </m:e>
            </m:acc>
          </m:e>
          <m:sub>
            <m:r>
              <m:t>i</m:t>
            </m:r>
            <m:r>
              <m:rPr>
                <m:sty m:val="p"/>
              </m:rPr>
              <m:t>,</m:t>
            </m:r>
            <m:r>
              <m:t>t</m:t>
            </m:r>
          </m:sub>
          <m:sup>
            <m:d>
              <m:dPr>
                <m:begChr m:val="("/>
                <m:sepChr m:val=""/>
                <m:endChr m:val=")"/>
                <m:grow/>
              </m:dPr>
              <m:e>
                <m:r>
                  <m:t>s</m:t>
                </m:r>
              </m:e>
            </m:d>
          </m:sup>
        </m:sSubSup>
        <m:r>
          <m:rPr>
            <m:sty m:val="p"/>
          </m:rPr>
          <m:t>=</m:t>
        </m:r>
        <m:r>
          <m:rPr>
            <m:sty m:val="p"/>
          </m:rPr>
          <m:t>max</m:t>
        </m:r>
        <m:d>
          <m:dPr>
            <m:begChr m:val="{"/>
            <m:sepChr m:val=""/>
            <m:endChr m:val="}"/>
            <m:grow/>
          </m:dPr>
          <m:e>
            <m:r>
              <m:t>0</m:t>
            </m:r>
            <m:r>
              <m:rPr>
                <m:sty m:val="p"/>
              </m:rPr>
              <m:t>,</m:t>
            </m:r>
            <m:r>
              <m:t> </m:t>
            </m:r>
            <m:acc>
              <m:accPr>
                <m:chr m:val="̂"/>
              </m:accPr>
              <m:e>
                <m:r>
                  <m:t>f</m:t>
                </m:r>
              </m:e>
            </m:acc>
            <m:d>
              <m:dPr>
                <m:begChr m:val="("/>
                <m:sepChr m:val=""/>
                <m:endChr m:val=")"/>
                <m:grow/>
              </m:dPr>
              <m:e>
                <m:sSubSup>
                  <m:e>
                    <m:r>
                      <m:rPr>
                        <m:sty m:val="b"/>
                      </m:rPr>
                      <m:t>x</m:t>
                    </m:r>
                  </m:e>
                  <m:sub>
                    <m:r>
                      <m:t>i</m:t>
                    </m:r>
                    <m:r>
                      <m:rPr>
                        <m:sty m:val="p"/>
                      </m:rPr>
                      <m:t>,</m:t>
                    </m:r>
                    <m:r>
                      <m:t>t</m:t>
                    </m:r>
                  </m:sub>
                  <m:sup>
                    <m:d>
                      <m:dPr>
                        <m:begChr m:val="("/>
                        <m:sepChr m:val=""/>
                        <m:endChr m:val=")"/>
                        <m:grow/>
                      </m:dPr>
                      <m:e>
                        <m:r>
                          <m:t>s</m:t>
                        </m:r>
                      </m:e>
                    </m:d>
                  </m:sup>
                </m:sSubSup>
              </m:e>
            </m:d>
          </m:e>
        </m:d>
        <m:r>
          <m:rPr>
            <m:sty m:val="p"/>
          </m:rPr>
          <m:t>,</m:t>
        </m:r>
        <m:r>
          <m:t>  </m:t>
        </m:r>
        <m:sSubSup>
          <m:e>
            <m:r>
              <m:t>Δ</m:t>
            </m:r>
          </m:e>
          <m:sub>
            <m:r>
              <m:t>i</m:t>
            </m:r>
          </m:sub>
          <m:sup>
            <m:d>
              <m:dPr>
                <m:begChr m:val="("/>
                <m:sepChr m:val=""/>
                <m:endChr m:val=")"/>
                <m:grow/>
              </m:dPr>
              <m:e>
                <m:r>
                  <m:t>s</m:t>
                </m:r>
              </m:e>
            </m:d>
          </m:sup>
        </m:sSubSup>
        <m:r>
          <m:rPr>
            <m:sty m:val="p"/>
          </m:rPr>
          <m:t>=</m:t>
        </m:r>
        <m:nary>
          <m:naryPr>
            <m:chr m:val="∑"/>
            <m:limLoc m:val="undOvr"/>
            <m:subHide m:val="off"/>
            <m:supHide m:val="on"/>
          </m:naryPr>
          <m:sub>
            <m:r>
              <m:t>t</m:t>
            </m:r>
          </m:sub>
          <m:sup>
            <m:r>
              <m:t>​</m:t>
            </m:r>
          </m:sup>
          <m:e>
            <m:sSubSup>
              <m:e>
                <m:acc>
                  <m:accPr>
                    <m:chr m:val="̂"/>
                  </m:accPr>
                  <m:e>
                    <m:r>
                      <m:t>y</m:t>
                    </m:r>
                  </m:e>
                </m:acc>
              </m:e>
              <m:sub>
                <m:r>
                  <m:t>i</m:t>
                </m:r>
                <m:r>
                  <m:rPr>
                    <m:sty m:val="p"/>
                  </m:rPr>
                  <m:t>,</m:t>
                </m:r>
                <m:r>
                  <m:t>t</m:t>
                </m:r>
              </m:sub>
              <m:sup>
                <m:d>
                  <m:dPr>
                    <m:begChr m:val="("/>
                    <m:sepChr m:val=""/>
                    <m:endChr m:val=")"/>
                    <m:grow/>
                  </m:dPr>
                  <m:e>
                    <m:r>
                      <m:t>s</m:t>
                    </m:r>
                  </m:e>
                </m:d>
              </m:sup>
            </m:sSubSup>
          </m:e>
        </m:nary>
        <m:r>
          <m:rPr>
            <m:sty m:val="p"/>
          </m:rPr>
          <m:t>−</m:t>
        </m:r>
        <m:nary>
          <m:naryPr>
            <m:chr m:val="∑"/>
            <m:limLoc m:val="undOvr"/>
            <m:subHide m:val="off"/>
            <m:supHide m:val="on"/>
          </m:naryPr>
          <m:sub>
            <m:r>
              <m:t>t</m:t>
            </m:r>
          </m:sub>
          <m:sup>
            <m:r>
              <m:t>​</m:t>
            </m:r>
          </m:sup>
          <m:e>
            <m:sSubSup>
              <m:e>
                <m:acc>
                  <m:accPr>
                    <m:chr m:val="̂"/>
                  </m:accPr>
                  <m:e>
                    <m:r>
                      <m:t>y</m:t>
                    </m:r>
                  </m:e>
                </m:acc>
              </m:e>
              <m:sub>
                <m:r>
                  <m:t>i</m:t>
                </m:r>
                <m:r>
                  <m:rPr>
                    <m:sty m:val="p"/>
                  </m:rPr>
                  <m:t>,</m:t>
                </m:r>
                <m:r>
                  <m:t>t</m:t>
                </m:r>
              </m:sub>
              <m:sup>
                <m:d>
                  <m:dPr>
                    <m:begChr m:val="("/>
                    <m:sepChr m:val=""/>
                    <m:endChr m:val=")"/>
                    <m:grow/>
                  </m:dPr>
                  <m:e>
                    <m:r>
                      <m:rPr>
                        <m:sty m:val="p"/>
                      </m:rPr>
                      <m:t>C</m:t>
                    </m:r>
                    <m:r>
                      <m:rPr>
                        <m:sty m:val="p"/>
                      </m:rPr>
                      <m:t>u</m:t>
                    </m:r>
                    <m:r>
                      <m:rPr>
                        <m:sty m:val="p"/>
                      </m:rPr>
                      <m:t>r</m:t>
                    </m:r>
                    <m:r>
                      <m:rPr>
                        <m:sty m:val="p"/>
                      </m:rPr>
                      <m:t>r</m:t>
                    </m:r>
                    <m:r>
                      <m:rPr>
                        <m:sty m:val="p"/>
                      </m:rPr>
                      <m:t>e</m:t>
                    </m:r>
                    <m:r>
                      <m:rPr>
                        <m:sty m:val="p"/>
                      </m:rPr>
                      <m:t>n</m:t>
                    </m:r>
                    <m:r>
                      <m:rPr>
                        <m:sty m:val="p"/>
                      </m:rPr>
                      <m:t>t</m:t>
                    </m:r>
                  </m:e>
                </m:d>
              </m:sup>
            </m:sSubSup>
          </m:e>
        </m:nary>
        <m:r>
          <m:rPr>
            <m:sty m:val="p"/>
          </m:rPr>
          <m:t>,</m:t>
        </m:r>
        <m:r>
          <m:t>  </m:t>
        </m:r>
        <m:r>
          <m:t>s</m:t>
        </m:r>
        <m:r>
          <m:rPr>
            <m:sty m:val="p"/>
          </m:rPr>
          <m:t>∈</m:t>
        </m:r>
        <m:r>
          <m:rPr>
            <m:sty m:val="p"/>
          </m:rPr>
          <m:t>{</m:t>
        </m:r>
        <m:r>
          <m:rPr>
            <m:nor/>
          </m:rPr>
          <m:t>No, Low, Medium, High</m:t>
        </m:r>
        <m:r>
          <m:rPr>
            <m:sty m:val="p"/>
          </m:rPr>
          <m:t>}</m:t>
        </m:r>
      </m:oMath>
      <w:r>
        <w:tab/>
        <w:t>(3.33)</w:t>
      </w:r>
    </w:p>
    <w:p>
      <w:pPr>
        <w:keepLines w:val="0"/>
        <w:spacing w:after="120"/>
        <w:ind w:firstLine="567"/>
      </w:pPr>
      <w:r>
        <w:t xml:space="preserve">Hai đặc điểm của thiết kế cần được hiểu đúng. Thứ nhất, onpromotion biểu thị số mặt hàng trong nhóm đang được khuyến mãi, nên các mức 1, 5 và 10 là số lượng mặt hàng, không phải tỷ lệ giảm giá, điều mà quy định mẫu POL-PROMO-002 cũng nhắc lại. Thứ hai, chỉ đặc trưng đồng thời onpromotion được thay đổi; các đặc trưng lịch sử như lag_16 hay roll_mean_7 giữ nguyên. Kịch bản vì vậy mô phỏng một thay đổi tức thời của đầu vào, không mô phỏng tác động của khuyến mãi hôm trước lên nhu cầu các ngày sau. Việc gán cùng một mức cho mọi chuỗi, kể cả những nhóm hiếm khi có khuyến mãi, là phép đơn giản hóa có chủ đích và là nguồn gốc của hiện tượng ngoại suy (mục 3.11.3).</w:t>
      </w:r>
    </w:p>
    <w:p>
      <w:pPr>
        <w:pStyle w:val="Heading3"/>
        <w:keepNext/>
      </w:pPr>
      <w:r>
        <w:t xml:space="preserve">3.11.2. Dải bất định theo từng dòng và tổng hợp theo kỳ dự báo</w:t>
      </w:r>
    </w:p>
    <w:p>
      <w:pPr>
        <w:keepLines w:val="0"/>
        <w:spacing w:after="120"/>
        <w:ind w:firstLine="567"/>
      </w:pPr>
      <w:r>
        <w:t xml:space="preserve">Dải bất định của mỗi kịch bản được dựng từ độ rộng theo từng dòng của lớp xác suất, không dùng một hằng số chung cho mọi chuỗi. Với mỗi cặp chuỗi – ngày, Stage 06 lấy khoảng cách dưới P50 − P10 và khoảng cách trên P90 − P50 của chính dòng đó trong probabilistic_predictions.parquet, rồi áp chúng quanh dự báo kịch bản theo (3.34). Dải bất định của kịch bản vì vậy thừa hưởng tính thích ứng theo quy mô của Stage 05. P50 của kịch bản là dự báo điểm XGBoost dưới kịch bản đó, nên ở kịch bản Current, tổng P50 bằng đúng tổng dự báo điểm 13.773.080, khác tổng P50 của lớp xác suất.</w:t>
      </w:r>
    </w:p>
    <w:p>
      <w:pPr>
        <w:tabs>
          <w:tab w:val="center" w:pos="4535"/>
          <w:tab w:val="right" w:pos="9071"/>
        </w:tabs>
        <w:spacing w:before="60" w:after="60"/>
        <w:ind w:firstLine="0"/>
      </w:pPr>
      <w:r>
        <w:tab/>
      </w:r>
      <m:oMath xmlns:a="http://schemas.openxmlformats.org/drawingml/2006/main" xmlns:pic="http://schemas.openxmlformats.org/drawingml/2006/picture">
        <m:sSubSup>
          <m:e>
            <m:r>
              <m:t>P</m:t>
            </m:r>
          </m:e>
          <m:sub>
            <m:r>
              <m:t>0.5</m:t>
            </m:r>
          </m:sub>
          <m:sup>
            <m:d>
              <m:dPr>
                <m:begChr m:val="("/>
                <m:sepChr m:val=""/>
                <m:endChr m:val=")"/>
                <m:grow/>
              </m:dPr>
              <m:e>
                <m:r>
                  <m:t>s</m:t>
                </m:r>
              </m:e>
            </m:d>
          </m:sup>
        </m:sSubSup>
        <m:d>
          <m:dPr>
            <m:begChr m:val="("/>
            <m:sepChr m:val=""/>
            <m:endChr m:val=")"/>
            <m:grow/>
          </m:dPr>
          <m:e>
            <m:r>
              <m:t>i</m:t>
            </m:r>
            <m:r>
              <m:rPr>
                <m:sty m:val="p"/>
              </m:rPr>
              <m:t>,</m:t>
            </m:r>
            <m:r>
              <m:t>t</m:t>
            </m:r>
          </m:e>
        </m:d>
        <m:r>
          <m:rPr>
            <m:sty m:val="p"/>
          </m:rPr>
          <m:t>=</m:t>
        </m:r>
        <m:sSubSup>
          <m:e>
            <m:acc>
              <m:accPr>
                <m:chr m:val="̂"/>
              </m:accPr>
              <m:e>
                <m:r>
                  <m:t>y</m:t>
                </m:r>
              </m:e>
            </m:acc>
          </m:e>
          <m:sub>
            <m:r>
              <m:t>i</m:t>
            </m:r>
            <m:r>
              <m:rPr>
                <m:sty m:val="p"/>
              </m:rPr>
              <m:t>,</m:t>
            </m:r>
            <m:r>
              <m:t>t</m:t>
            </m:r>
          </m:sub>
          <m:sup>
            <m:d>
              <m:dPr>
                <m:begChr m:val="("/>
                <m:sepChr m:val=""/>
                <m:endChr m:val=")"/>
                <m:grow/>
              </m:dPr>
              <m:e>
                <m:r>
                  <m:t>s</m:t>
                </m:r>
              </m:e>
            </m:d>
          </m:sup>
        </m:sSubSup>
        <m:r>
          <m:rPr>
            <m:sty m:val="p"/>
          </m:rPr>
          <m:t>,</m:t>
        </m:r>
        <m:r>
          <m:t>  </m:t>
        </m:r>
        <m:sSubSup>
          <m:e>
            <m:r>
              <m:t>P</m:t>
            </m:r>
          </m:e>
          <m:sub>
            <m:r>
              <m:t>0.1</m:t>
            </m:r>
          </m:sub>
          <m:sup>
            <m:d>
              <m:dPr>
                <m:begChr m:val="("/>
                <m:sepChr m:val=""/>
                <m:endChr m:val=")"/>
                <m:grow/>
              </m:dPr>
              <m:e>
                <m:r>
                  <m:t>s</m:t>
                </m:r>
              </m:e>
            </m:d>
          </m:sup>
        </m:sSubSup>
        <m:d>
          <m:dPr>
            <m:begChr m:val="("/>
            <m:sepChr m:val=""/>
            <m:endChr m:val=")"/>
            <m:grow/>
          </m:dPr>
          <m:e>
            <m:r>
              <m:t>i</m:t>
            </m:r>
            <m:r>
              <m:rPr>
                <m:sty m:val="p"/>
              </m:rPr>
              <m:t>,</m:t>
            </m:r>
            <m:r>
              <m:t>t</m:t>
            </m:r>
          </m:e>
        </m:d>
        <m:r>
          <m:rPr>
            <m:sty m:val="p"/>
          </m:rPr>
          <m:t>=</m:t>
        </m:r>
        <m:r>
          <m:rPr>
            <m:sty m:val="p"/>
          </m:rPr>
          <m:t>max</m:t>
        </m:r>
        <m:d>
          <m:dPr>
            <m:begChr m:val="{"/>
            <m:sepChr m:val=""/>
            <m:endChr m:val="}"/>
            <m:grow/>
          </m:dPr>
          <m:e>
            <m:r>
              <m:t>0</m:t>
            </m:r>
            <m:r>
              <m:rPr>
                <m:sty m:val="p"/>
              </m:rPr>
              <m:t>,</m:t>
            </m:r>
            <m:r>
              <m:t> </m:t>
            </m:r>
            <m:sSubSup>
              <m:e>
                <m:acc>
                  <m:accPr>
                    <m:chr m:val="̂"/>
                  </m:accPr>
                  <m:e>
                    <m:r>
                      <m:t>y</m:t>
                    </m:r>
                  </m:e>
                </m:acc>
              </m:e>
              <m:sub>
                <m:r>
                  <m:t>i</m:t>
                </m:r>
                <m:r>
                  <m:rPr>
                    <m:sty m:val="p"/>
                  </m:rPr>
                  <m:t>,</m:t>
                </m:r>
                <m:r>
                  <m:t>t</m:t>
                </m:r>
              </m:sub>
              <m:sup>
                <m:d>
                  <m:dPr>
                    <m:begChr m:val="("/>
                    <m:sepChr m:val=""/>
                    <m:endChr m:val=")"/>
                    <m:grow/>
                  </m:dPr>
                  <m:e>
                    <m:r>
                      <m:t>s</m:t>
                    </m:r>
                  </m:e>
                </m:d>
              </m:sup>
            </m:sSubSup>
            <m:r>
              <m:rPr>
                <m:sty m:val="p"/>
              </m:rPr>
              <m:t>−</m:t>
            </m:r>
            <m:sSub>
              <m:e>
                <m:d>
                  <m:dPr>
                    <m:begChr m:val="("/>
                    <m:sepChr m:val=""/>
                    <m:endChr m:val=")"/>
                    <m:grow/>
                  </m:dPr>
                  <m:e>
                    <m:sSub>
                      <m:e>
                        <m:r>
                          <m:t>P</m:t>
                        </m:r>
                      </m:e>
                      <m:sub>
                        <m:r>
                          <m:t>0.5</m:t>
                        </m:r>
                      </m:sub>
                    </m:sSub>
                    <m:r>
                      <m:rPr>
                        <m:sty m:val="p"/>
                      </m:rPr>
                      <m:t>−</m:t>
                    </m:r>
                    <m:sSub>
                      <m:e>
                        <m:r>
                          <m:t>P</m:t>
                        </m:r>
                      </m:e>
                      <m:sub>
                        <m:r>
                          <m:t>0.1</m:t>
                        </m:r>
                      </m:sub>
                    </m:sSub>
                  </m:e>
                </m:d>
              </m:e>
              <m:sub>
                <m:r>
                  <m:t>i</m:t>
                </m:r>
                <m:r>
                  <m:rPr>
                    <m:sty m:val="p"/>
                  </m:rPr>
                  <m:t>,</m:t>
                </m:r>
                <m:r>
                  <m:t>t</m:t>
                </m:r>
              </m:sub>
            </m:sSub>
          </m:e>
        </m:d>
        <m:r>
          <m:rPr>
            <m:sty m:val="p"/>
          </m:rPr>
          <m:t>,</m:t>
        </m:r>
        <m:r>
          <m:t>  </m:t>
        </m:r>
        <m:sSubSup>
          <m:e>
            <m:r>
              <m:t>P</m:t>
            </m:r>
          </m:e>
          <m:sub>
            <m:r>
              <m:t>0.9</m:t>
            </m:r>
          </m:sub>
          <m:sup>
            <m:d>
              <m:dPr>
                <m:begChr m:val="("/>
                <m:sepChr m:val=""/>
                <m:endChr m:val=")"/>
                <m:grow/>
              </m:dPr>
              <m:e>
                <m:r>
                  <m:t>s</m:t>
                </m:r>
              </m:e>
            </m:d>
          </m:sup>
        </m:sSubSup>
        <m:d>
          <m:dPr>
            <m:begChr m:val="("/>
            <m:sepChr m:val=""/>
            <m:endChr m:val=")"/>
            <m:grow/>
          </m:dPr>
          <m:e>
            <m:r>
              <m:t>i</m:t>
            </m:r>
            <m:r>
              <m:rPr>
                <m:sty m:val="p"/>
              </m:rPr>
              <m:t>,</m:t>
            </m:r>
            <m:r>
              <m:t>t</m:t>
            </m:r>
          </m:e>
        </m:d>
        <m:r>
          <m:rPr>
            <m:sty m:val="p"/>
          </m:rPr>
          <m:t>=</m:t>
        </m:r>
        <m:sSubSup>
          <m:e>
            <m:acc>
              <m:accPr>
                <m:chr m:val="̂"/>
              </m:accPr>
              <m:e>
                <m:r>
                  <m:t>y</m:t>
                </m:r>
              </m:e>
            </m:acc>
          </m:e>
          <m:sub>
            <m:r>
              <m:t>i</m:t>
            </m:r>
            <m:r>
              <m:rPr>
                <m:sty m:val="p"/>
              </m:rPr>
              <m:t>,</m:t>
            </m:r>
            <m:r>
              <m:t>t</m:t>
            </m:r>
          </m:sub>
          <m:sup>
            <m:d>
              <m:dPr>
                <m:begChr m:val="("/>
                <m:sepChr m:val=""/>
                <m:endChr m:val=")"/>
                <m:grow/>
              </m:dPr>
              <m:e>
                <m:r>
                  <m:t>s</m:t>
                </m:r>
              </m:e>
            </m:d>
          </m:sup>
        </m:sSubSup>
        <m:r>
          <m:rPr>
            <m:sty m:val="p"/>
          </m:rPr>
          <m:t>+</m:t>
        </m:r>
        <m:sSub>
          <m:e>
            <m:d>
              <m:dPr>
                <m:begChr m:val="("/>
                <m:sepChr m:val=""/>
                <m:endChr m:val=")"/>
                <m:grow/>
              </m:dPr>
              <m:e>
                <m:sSub>
                  <m:e>
                    <m:r>
                      <m:t>P</m:t>
                    </m:r>
                  </m:e>
                  <m:sub>
                    <m:r>
                      <m:t>0.9</m:t>
                    </m:r>
                  </m:sub>
                </m:sSub>
                <m:r>
                  <m:rPr>
                    <m:sty m:val="p"/>
                  </m:rPr>
                  <m:t>−</m:t>
                </m:r>
                <m:sSub>
                  <m:e>
                    <m:r>
                      <m:t>P</m:t>
                    </m:r>
                  </m:e>
                  <m:sub>
                    <m:r>
                      <m:t>0.5</m:t>
                    </m:r>
                  </m:sub>
                </m:sSub>
              </m:e>
            </m:d>
          </m:e>
          <m:sub>
            <m:r>
              <m:t>i</m:t>
            </m:r>
            <m:r>
              <m:rPr>
                <m:sty m:val="p"/>
              </m:rPr>
              <m:t>,</m:t>
            </m:r>
            <m:r>
              <m:t>t</m:t>
            </m:r>
          </m:sub>
        </m:sSub>
      </m:oMath>
      <w:r>
        <w:tab/>
        <w:t>(3.34)</w:t>
      </w:r>
    </w:p>
    <w:p>
      <w:pPr>
        <w:keepLines w:val="0"/>
        <w:spacing w:after="120"/>
        <w:ind w:firstLine="567"/>
      </w:pPr>
      <w:r>
        <w:t xml:space="preserve">Cách xây dựng này có một hệ quả tinh tế. Độ rộng được gắn với nhóm của dự báo Current, không phải nhóm mà dự báo kịch bản sẽ rơi vào. Khi một kịch bản đẩy dự báo của chuỗi nhỏ lên nhiều bậc độ lớn, như xảy ra ở một số nhóm hiếm khi có khuyến mãi, dải bất định vẫn giữ độ rộng của nhóm dự báo nhỏ, nên dải này đánh giá thấp bất định đúng ở những nơi mô hình ngoại suy mạnh nhất. Các giá trị theo ngày sau đó được cộng qua 16 ngày cho từng tổ hợp Store × Family theo (3.35), và chênh lệch conditional_change_vs_current được tính bằng P50 kịch bản trừ P50 Current của cùng chuỗi, lưu trong promotion_scenarios.csv. Bảng tổng hợp promotion_scenario_summary.csv ghi cột change_mean là trung bình của chênh lệch này theo từng kịch bản.</w:t>
      </w:r>
    </w:p>
    <w:p>
      <w:pPr>
        <w:tabs>
          <w:tab w:val="center" w:pos="4535"/>
          <w:tab w:val="right" w:pos="9071"/>
        </w:tabs>
        <w:spacing w:before="60" w:after="60"/>
        <w:ind w:firstLine="0"/>
      </w:pPr>
      <w:r>
        <w:tab/>
      </w:r>
      <m:oMath xmlns:a="http://schemas.openxmlformats.org/drawingml/2006/main" xmlns:pic="http://schemas.openxmlformats.org/drawingml/2006/picture">
        <m:sSubSup>
          <m:e>
            <m:r>
              <m:t>S</m:t>
            </m:r>
          </m:e>
          <m:sub>
            <m:r>
              <m:t>α</m:t>
            </m:r>
          </m:sub>
          <m:sup>
            <m:d>
              <m:dPr>
                <m:begChr m:val="("/>
                <m:sepChr m:val=""/>
                <m:endChr m:val=")"/>
                <m:grow/>
              </m:dPr>
              <m:e>
                <m:r>
                  <m:t>s</m:t>
                </m:r>
              </m:e>
            </m:d>
          </m:sup>
        </m:sSubSup>
        <m:d>
          <m:dPr>
            <m:begChr m:val="("/>
            <m:sepChr m:val=""/>
            <m:endChr m:val=")"/>
            <m:grow/>
          </m:dPr>
          <m:e>
            <m:r>
              <m:t>i</m:t>
            </m:r>
          </m:e>
        </m:d>
        <m:r>
          <m:rPr>
            <m:sty m:val="p"/>
          </m:rPr>
          <m:t>=</m:t>
        </m:r>
        <m:nary>
          <m:naryPr>
            <m:chr m:val="∑"/>
            <m:limLoc m:val="undOvr"/>
            <m:subHide m:val="off"/>
            <m:supHide m:val="off"/>
          </m:naryPr>
          <m:sub>
            <m:r>
              <m:t>t</m:t>
            </m:r>
            <m:r>
              <m:rPr>
                <m:sty m:val="p"/>
              </m:rPr>
              <m:t>=</m:t>
            </m:r>
            <m:r>
              <m:t>31</m:t>
            </m:r>
            <m:r>
              <m:rPr>
                <m:sty m:val="p"/>
              </m:rPr>
              <m:t>/</m:t>
            </m:r>
            <m:r>
              <m:t>07</m:t>
            </m:r>
            <m:r>
              <m:rPr>
                <m:sty m:val="p"/>
              </m:rPr>
              <m:t>/</m:t>
            </m:r>
            <m:r>
              <m:t>2017</m:t>
            </m:r>
          </m:sub>
          <m:sup>
            <m:r>
              <m:t>15</m:t>
            </m:r>
            <m:r>
              <m:rPr>
                <m:sty m:val="p"/>
              </m:rPr>
              <m:t>/</m:t>
            </m:r>
            <m:r>
              <m:t>08</m:t>
            </m:r>
            <m:r>
              <m:rPr>
                <m:sty m:val="p"/>
              </m:rPr>
              <m:t>/</m:t>
            </m:r>
            <m:r>
              <m:t>2017</m:t>
            </m:r>
          </m:sup>
          <m:e>
            <m:sSubSup>
              <m:e>
                <m:r>
                  <m:t>P</m:t>
                </m:r>
              </m:e>
              <m:sub>
                <m:r>
                  <m:t>α</m:t>
                </m:r>
              </m:sub>
              <m:sup>
                <m:d>
                  <m:dPr>
                    <m:begChr m:val="("/>
                    <m:sepChr m:val=""/>
                    <m:endChr m:val=")"/>
                    <m:grow/>
                  </m:dPr>
                  <m:e>
                    <m:r>
                      <m:t>s</m:t>
                    </m:r>
                  </m:e>
                </m:d>
              </m:sup>
            </m:sSubSup>
          </m:e>
        </m:nary>
        <m:d>
          <m:dPr>
            <m:begChr m:val="("/>
            <m:sepChr m:val=""/>
            <m:endChr m:val=")"/>
            <m:grow/>
          </m:dPr>
          <m:e>
            <m:r>
              <m:t>i</m:t>
            </m:r>
            <m:r>
              <m:rPr>
                <m:sty m:val="p"/>
              </m:rPr>
              <m:t>,</m:t>
            </m:r>
            <m:r>
              <m:t>t</m:t>
            </m:r>
          </m:e>
        </m:d>
        <m:r>
          <m:rPr>
            <m:sty m:val="p"/>
          </m:rPr>
          <m:t>,</m:t>
        </m:r>
        <m:r>
          <m:t>  </m:t>
        </m:r>
        <m:r>
          <m:t>α</m:t>
        </m:r>
        <m:r>
          <m:rPr>
            <m:sty m:val="p"/>
          </m:rPr>
          <m:t>∈</m:t>
        </m:r>
        <m:r>
          <m:rPr>
            <m:sty m:val="p"/>
          </m:rPr>
          <m:t>{</m:t>
        </m:r>
        <m:r>
          <m:t>0.1</m:t>
        </m:r>
        <m:r>
          <m:rPr>
            <m:sty m:val="p"/>
          </m:rPr>
          <m:t>,</m:t>
        </m:r>
        <m:r>
          <m:t> </m:t>
        </m:r>
        <m:r>
          <m:t>0.5</m:t>
        </m:r>
        <m:r>
          <m:rPr>
            <m:sty m:val="p"/>
          </m:rPr>
          <m:t>,</m:t>
        </m:r>
        <m:r>
          <m:t> </m:t>
        </m:r>
        <m:r>
          <m:t>0.9</m:t>
        </m:r>
        <m:r>
          <m:rPr>
            <m:sty m:val="p"/>
          </m:rPr>
          <m:t>}</m:t>
        </m:r>
      </m:oMath>
      <w:r>
        <w:tab/>
        <w:t>(3.35)</w:t>
      </w:r>
    </w:p>
    <w:p>
      <w:pPr>
        <w:keepLines w:val="0"/>
        <w:spacing w:after="120"/>
        <w:ind w:firstLine="567"/>
      </w:pPr>
      <w:r>
        <w:t xml:space="preserve">Tổng các phân vị theo ngày không phải phân vị của tổng khi phân phối đồng thời giữa các ngày chưa được mô hình hóa; đồng biến hoàn toàn (comonotonic) là điều kiện đủ, không phải điều kiện cần, cho đẳng thức. Do không mô hình hóa cấu trúc phụ thuộc giữa các ngày, luận văn chỉ xem tổng P10/P50/P90 ở lớp này và ở lớp tồn kho là đại lượng mô tả, và phiếu khuyến nghị ở Stage 08 ghi rõ giả định này.</w:t>
      </w:r>
    </w:p>
    <w:p>
      <w:pPr>
        <w:pStyle w:val="Heading3"/>
        <w:keepNext/>
      </w:pPr>
      <w:r>
        <w:t xml:space="preserve">3.11.3. Ranh giới diễn giải: phản ứng dự báo, không phải hiệu ứng nhân quả</w:t>
      </w:r>
    </w:p>
    <w:p>
      <w:pPr>
        <w:keepLines w:val="0"/>
        <w:spacing w:after="120"/>
        <w:ind w:firstLine="567"/>
      </w:pPr>
      <w:r>
        <w:t xml:space="preserve">Đại lượng Δ⁽ˢ⁾ là phản ứng của một mô hình dự báo đối với thay đổi đầu vào, không phải tác động can thiệp của khuyến mãi. Một mô hình được tối ưu cho độ chính xác dự báo không đương nhiên mang ý nghĩa giải thích (Shmueli, 2010); để suy luận nhân quả cần hiểu cơ chế phân bổ can thiệp và các điều kiện như không có yếu tố gây nhiễu chưa quan sát (Imbens và Rubin, 2015), trong khi dữ liệu Favorita không cho biết vì sao một nhóm được khuyến mãi vào một ngày nhất định. Vì thế, kết quả kịch bản được dùng để sàng lọc các chuỗi mà dự báo nhạy với onpromotion và cần được xem xét kỹ, không dùng để ước lượng lợi nhuận hay phê duyệt ngân sách khuyến mãi.</w:t>
      </w:r>
    </w:p>
    <w:p>
      <w:pPr>
        <w:keepLines w:val="0"/>
        <w:spacing w:after="120"/>
        <w:ind w:firstLine="567"/>
      </w:pPr>
      <w:r>
        <w:t xml:space="preserve">Giới hạn thứ hai là ngoại suy ngoài miền dữ liệu. Mô hình cây như XGBoost học các vùng phân tách trên không gian đặc trưng đã quan sát; khi một nhóm gần như không bao giờ có khuyến mãi được gán onpromotion = 10, dự báo phụ thuộc vào các ngưỡng học từ nhóm khác và có thể phi thực tế. Trong lần chạy chính thức, xét các chuỗi có P50 Current &gt; 0, 783 chuỗi có P50 kịch bản High chênh lệch hơn 100% so với Current, tập trung ở các nhóm nhỏ như AUTOMOTIVE, BABY CARE, BOOKS (mục 4.10). Luận văn xử lý vấn đề này ở lớp quyết định: Stage 08 gắn mã PROMO_EXTRAPOLATION và cảnh báo ngoại suy cho mọi chuỗi có kịch bản làm P50 thay đổi quá 100%, theo quy định mẫu POL-PROMO-004 (809 phiếu, gồm cả 26 chuỗi có P50 Current = 0, nơi mọi thay đổi dương được coi là ngoại suy), và loại các kịch bản đó khỏi căn cứ đề xuất khuyến mãi. Một bước kiểm tra miền dữ liệu so với phân bố lịch sử của chính chuỗi vẫn chưa được triển khai.</w:t>
      </w:r>
    </w:p>
    <w:p>
      <w:pPr>
        <w:pStyle w:val="Heading2"/>
        <w:keepNext/>
      </w:pPr>
      <w:r>
        <w:t xml:space="preserve">3.12. Hỗ trợ quyết định tồn kho và quy tắc nhãn rủi ro</w:t>
      </w:r>
    </w:p>
    <w:p>
      <w:pPr>
        <w:pStyle w:val="Heading3"/>
        <w:keepNext/>
      </w:pPr>
      <w:r>
        <w:t xml:space="preserve">3.12.1. Logic Newsvendor và giả định chi phí</w:t>
      </w:r>
    </w:p>
    <w:p>
      <w:pPr>
        <w:keepLines w:val="0"/>
        <w:spacing w:after="120"/>
        <w:ind w:firstLine="567"/>
      </w:pPr>
      <w:r>
        <w:t xml:space="preserve">Lớp hỗ trợ quyết định tồn kho (Stage 07, 07_inventory_decision.py) chuyển dự báo xác suất thành các đại lượng gợi ý theo logic Newsvendor. Trong mô hình Newsvendor, với chi phí thiếu hàng trên mỗi đơn vị Cu và chi phí thừa hàng trên mỗi đơn vị Co, lượng đặt tối ưu là phân vị của phân phối nhu cầu tại tỷ lệ tới hạn (critical fractile) q* = Cu/(Cu + Co), như ở (3.36) (Arrow và cộng sự, 1951; Qin và cộng sự, 2011). Quy trình đặt Cu = 3 và Co = 1, nên q* = 0,75. Đây là giả định minh họa: dữ liệu không có giá bán, biên lợi nhuận hay chi phí lưu kho, nên tỷ lệ 3:1 không được ước lượng từ dữ liệu mà chỉ biểu thị quan điểm rằng thiếu hàng tốn kém hơn thừa hàng. Đầu vào của Stage 07 là P10/P50/P90 theo ngày của lớp Mondrian (Stage 05), nên các đại lượng tồn kho thừa hưởng tính thích ứng theo quy mô của khoảng dự báo.</w:t>
      </w:r>
    </w:p>
    <w:p>
      <w:pPr>
        <w:tabs>
          <w:tab w:val="center" w:pos="4535"/>
          <w:tab w:val="right" w:pos="9071"/>
        </w:tabs>
        <w:spacing w:before="60" w:after="60"/>
        <w:ind w:firstLine="0"/>
      </w:pPr>
      <w:r>
        <w:tab/>
      </w:r>
      <m:oMath xmlns:a="http://schemas.openxmlformats.org/drawingml/2006/main" xmlns:pic="http://schemas.openxmlformats.org/drawingml/2006/picture">
        <m:sSup>
          <m:e>
            <m:r>
              <m:t>Q</m:t>
            </m:r>
          </m:e>
          <m:sup>
            <m:r>
              <m:rPr>
                <m:sty m:val="p"/>
              </m:rPr>
              <m:t>*</m:t>
            </m:r>
          </m:sup>
        </m:sSup>
        <m:r>
          <m:rPr>
            <m:sty m:val="p"/>
          </m:rPr>
          <m:t>=</m:t>
        </m:r>
        <m:sSup>
          <m:e>
            <m:r>
              <m:t>F</m:t>
            </m:r>
          </m:e>
          <m:sup>
            <m:r>
              <m:rPr>
                <m:sty m:val="p"/>
              </m:rPr>
              <m:t>−</m:t>
            </m:r>
            <m:r>
              <m:t>1</m:t>
            </m:r>
          </m:sup>
        </m:sSup>
        <m:r>
          <m:t>​</m:t>
        </m:r>
        <m:d>
          <m:dPr>
            <m:begChr m:val="("/>
            <m:sepChr m:val=""/>
            <m:endChr m:val=")"/>
            <m:grow/>
          </m:dPr>
          <m:e>
            <m:sSup>
              <m:e>
                <m:r>
                  <m:t>q</m:t>
                </m:r>
              </m:e>
              <m:sup>
                <m:r>
                  <m:rPr>
                    <m:sty m:val="p"/>
                  </m:rPr>
                  <m:t>*</m:t>
                </m:r>
              </m:sup>
            </m:sSup>
          </m:e>
        </m:d>
        <m:r>
          <m:rPr>
            <m:sty m:val="p"/>
          </m:rPr>
          <m:t>,</m:t>
        </m:r>
        <m:r>
          <m:t>  </m:t>
        </m:r>
        <m:sSup>
          <m:e>
            <m:r>
              <m:t>q</m:t>
            </m:r>
          </m:e>
          <m:sup>
            <m:r>
              <m:rPr>
                <m:sty m:val="p"/>
              </m:rPr>
              <m:t>*</m:t>
            </m:r>
          </m:sup>
        </m:sSup>
        <m:r>
          <m:rPr>
            <m:sty m:val="p"/>
          </m:rPr>
          <m:t>=</m:t>
        </m:r>
        <m:f>
          <m:fPr>
            <m:type m:val="bar"/>
          </m:fPr>
          <m:num>
            <m:sSub>
              <m:e>
                <m:r>
                  <m:t>C</m:t>
                </m:r>
              </m:e>
              <m:sub>
                <m:r>
                  <m:t>u</m:t>
                </m:r>
              </m:sub>
            </m:sSub>
          </m:num>
          <m:den>
            <m:sSub>
              <m:e>
                <m:r>
                  <m:t>C</m:t>
                </m:r>
              </m:e>
              <m:sub>
                <m:r>
                  <m:t>u</m:t>
                </m:r>
              </m:sub>
            </m:sSub>
            <m:r>
              <m:rPr>
                <m:sty m:val="p"/>
              </m:rPr>
              <m:t>+</m:t>
            </m:r>
            <m:sSub>
              <m:e>
                <m:r>
                  <m:t>C</m:t>
                </m:r>
              </m:e>
              <m:sub>
                <m:r>
                  <m:t>o</m:t>
                </m:r>
              </m:sub>
            </m:sSub>
          </m:den>
        </m:f>
        <m:r>
          <m:rPr>
            <m:sty m:val="p"/>
          </m:rPr>
          <m:t>=</m:t>
        </m:r>
        <m:f>
          <m:fPr>
            <m:type m:val="bar"/>
          </m:fPr>
          <m:num>
            <m:r>
              <m:t>3</m:t>
            </m:r>
          </m:num>
          <m:den>
            <m:r>
              <m:t>3</m:t>
            </m:r>
            <m:r>
              <m:rPr>
                <m:sty m:val="p"/>
              </m:rPr>
              <m:t>+</m:t>
            </m:r>
            <m:r>
              <m:t>1</m:t>
            </m:r>
          </m:den>
        </m:f>
        <m:r>
          <m:rPr>
            <m:sty m:val="p"/>
          </m:rPr>
          <m:t>=</m:t>
        </m:r>
        <m:r>
          <m:t>0.75</m:t>
        </m:r>
      </m:oMath>
      <w:r>
        <w:tab/>
        <w:t>(3.36)</w:t>
      </w:r>
    </w:p>
    <w:p>
      <w:pPr>
        <w:keepLines w:val="0"/>
        <w:spacing w:after="120"/>
        <w:ind w:firstLine="567"/>
      </w:pPr>
      <w:r>
        <w:t xml:space="preserve">Vì lớp xác suất chỉ cung cấp ba phân vị, Stage 07 không thể lấy chính xác phân vị 0,75 của nhu cầu. Mã nguồn chọn P90 làm điểm đặt hàng lại đại diện khi q* ≥ 0,75 và P50 trong trường hợp ngược lại. Với q* = 0,75, lựa chọn này thiên về phía an toàn: mức mục tiêu lớn hơn lời giải Newsvendor chính xác. Quy tắc ROP = P90 là một giới hạn của thiết kế; để người phê duyệt thấy mức gần lời giải Newsvendor hơn, Stage 08 bổ sung phương án B nội suy tuyến tính giữa P50 và P90 theo (3.37), với hệ số 0,625 khi q* = 0,75, một xấp xỉ vì phân phối giữa hai phân vị không nhất thiết tuyến tính.</w:t>
      </w:r>
    </w:p>
    <w:p>
      <w:pPr>
        <w:tabs>
          <w:tab w:val="center" w:pos="4535"/>
          <w:tab w:val="right" w:pos="9071"/>
        </w:tabs>
        <w:spacing w:before="60" w:after="60"/>
        <w:ind w:firstLine="0"/>
      </w:pPr>
      <w:r>
        <w:tab/>
      </w:r>
      <m:oMath xmlns:a="http://schemas.openxmlformats.org/drawingml/2006/main" xmlns:pic="http://schemas.openxmlformats.org/drawingml/2006/picture">
        <m:sSub>
          <m:e>
            <m:acc>
              <m:accPr>
                <m:chr m:val="̃"/>
              </m:accPr>
              <m:e>
                <m:r>
                  <m:t>P</m:t>
                </m:r>
              </m:e>
            </m:acc>
          </m:e>
          <m:sub>
            <m:sSup>
              <m:e>
                <m:r>
                  <m:t>q</m:t>
                </m:r>
              </m:e>
              <m:sup>
                <m:r>
                  <m:rPr>
                    <m:sty m:val="p"/>
                  </m:rPr>
                  <m:t>*</m:t>
                </m:r>
              </m:sup>
            </m:sSup>
          </m:sub>
        </m:sSub>
        <m:r>
          <m:rPr>
            <m:sty m:val="p"/>
          </m:rPr>
          <m:t>=</m:t>
        </m:r>
        <m:sSub>
          <m:e>
            <m:r>
              <m:t>S</m:t>
            </m:r>
          </m:e>
          <m:sub>
            <m:r>
              <m:t>0.5</m:t>
            </m:r>
          </m:sub>
        </m:sSub>
        <m:r>
          <m:rPr>
            <m:sty m:val="p"/>
          </m:rPr>
          <m:t>+</m:t>
        </m:r>
        <m:d>
          <m:dPr>
            <m:begChr m:val="("/>
            <m:sepChr m:val=""/>
            <m:endChr m:val=")"/>
            <m:grow/>
          </m:dPr>
          <m:e>
            <m:sSub>
              <m:e>
                <m:r>
                  <m:t>S</m:t>
                </m:r>
              </m:e>
              <m:sub>
                <m:r>
                  <m:t>0.9</m:t>
                </m:r>
              </m:sub>
            </m:sSub>
            <m:r>
              <m:rPr>
                <m:sty m:val="p"/>
              </m:rPr>
              <m:t>−</m:t>
            </m:r>
            <m:sSub>
              <m:e>
                <m:r>
                  <m:t>S</m:t>
                </m:r>
              </m:e>
              <m:sub>
                <m:r>
                  <m:t>0.5</m:t>
                </m:r>
              </m:sub>
            </m:sSub>
          </m:e>
        </m:d>
        <m:f>
          <m:fPr>
            <m:type m:val="bar"/>
          </m:fPr>
          <m:num>
            <m:sSup>
              <m:e>
                <m:r>
                  <m:t>q</m:t>
                </m:r>
              </m:e>
              <m:sup>
                <m:r>
                  <m:rPr>
                    <m:sty m:val="p"/>
                  </m:rPr>
                  <m:t>*</m:t>
                </m:r>
              </m:sup>
            </m:sSup>
            <m:r>
              <m:rPr>
                <m:sty m:val="p"/>
              </m:rPr>
              <m:t>−</m:t>
            </m:r>
            <m:r>
              <m:t>0.5</m:t>
            </m:r>
          </m:num>
          <m:den>
            <m:r>
              <m:t>0.4</m:t>
            </m:r>
          </m:den>
        </m:f>
        <m:r>
          <m:rPr>
            <m:sty m:val="p"/>
          </m:rPr>
          <m:t>,</m:t>
        </m:r>
        <m:r>
          <m:t>  </m:t>
        </m:r>
        <m:r>
          <m:t>0.5</m:t>
        </m:r>
        <m:r>
          <m:rPr>
            <m:sty m:val="p"/>
          </m:rPr>
          <m:t>≤</m:t>
        </m:r>
        <m:sSup>
          <m:e>
            <m:r>
              <m:t>q</m:t>
            </m:r>
          </m:e>
          <m:sup>
            <m:r>
              <m:rPr>
                <m:sty m:val="p"/>
              </m:rPr>
              <m:t>*</m:t>
            </m:r>
          </m:sup>
        </m:sSup>
        <m:r>
          <m:rPr>
            <m:sty m:val="p"/>
          </m:rPr>
          <m:t>≤</m:t>
        </m:r>
        <m:r>
          <m:t>0.9</m:t>
        </m:r>
        <m:r>
          <m:rPr>
            <m:sty m:val="p"/>
          </m:rPr>
          <m:t>;</m:t>
        </m:r>
        <m:r>
          <m:t>  </m:t>
        </m:r>
        <m:sSup>
          <m:e>
            <m:r>
              <m:t>q</m:t>
            </m:r>
          </m:e>
          <m:sup>
            <m:r>
              <m:rPr>
                <m:sty m:val="p"/>
              </m:rPr>
              <m:t>*</m:t>
            </m:r>
          </m:sup>
        </m:sSup>
        <m:r>
          <m:rPr>
            <m:sty m:val="p"/>
          </m:rPr>
          <m:t>=</m:t>
        </m:r>
        <m:r>
          <m:t>0.75</m:t>
        </m:r>
        <m:r>
          <m:rPr>
            <m:sty m:val="p"/>
          </m:rPr>
          <m:t>⇒</m:t>
        </m:r>
        <m:sSub>
          <m:e>
            <m:acc>
              <m:accPr>
                <m:chr m:val="̃"/>
              </m:accPr>
              <m:e>
                <m:r>
                  <m:t>P</m:t>
                </m:r>
              </m:e>
            </m:acc>
          </m:e>
          <m:sub>
            <m:sSup>
              <m:e>
                <m:r>
                  <m:t>q</m:t>
                </m:r>
              </m:e>
              <m:sup>
                <m:r>
                  <m:rPr>
                    <m:sty m:val="p"/>
                  </m:rPr>
                  <m:t>*</m:t>
                </m:r>
              </m:sup>
            </m:sSup>
          </m:sub>
        </m:sSub>
        <m:r>
          <m:rPr>
            <m:sty m:val="p"/>
          </m:rPr>
          <m:t>=</m:t>
        </m:r>
        <m:sSub>
          <m:e>
            <m:r>
              <m:t>S</m:t>
            </m:r>
          </m:e>
          <m:sub>
            <m:r>
              <m:t>0.5</m:t>
            </m:r>
          </m:sub>
        </m:sSub>
        <m:r>
          <m:rPr>
            <m:sty m:val="p"/>
          </m:rPr>
          <m:t>+</m:t>
        </m:r>
        <m:r>
          <m:t>0.625</m:t>
        </m:r>
        <m:d>
          <m:dPr>
            <m:begChr m:val="("/>
            <m:sepChr m:val=""/>
            <m:endChr m:val=")"/>
            <m:grow/>
          </m:dPr>
          <m:e>
            <m:sSub>
              <m:e>
                <m:r>
                  <m:t>S</m:t>
                </m:r>
              </m:e>
              <m:sub>
                <m:r>
                  <m:t>0.9</m:t>
                </m:r>
              </m:sub>
            </m:sSub>
            <m:r>
              <m:rPr>
                <m:sty m:val="p"/>
              </m:rPr>
              <m:t>−</m:t>
            </m:r>
            <m:sSub>
              <m:e>
                <m:r>
                  <m:t>S</m:t>
                </m:r>
              </m:e>
              <m:sub>
                <m:r>
                  <m:t>0.5</m:t>
                </m:r>
              </m:sub>
            </m:sSub>
          </m:e>
        </m:d>
      </m:oMath>
      <w:r>
        <w:tab/>
        <w:t>(3.37)</w:t>
      </w:r>
    </w:p>
    <w:p>
      <w:pPr>
        <w:pStyle w:val="Heading3"/>
        <w:keepNext/>
      </w:pPr>
      <w:r>
        <w:t xml:space="preserve">3.12.2. Các đại lượng tồn kho và công thức</w:t>
      </w:r>
    </w:p>
    <w:p>
      <w:pPr>
        <w:keepLines w:val="0"/>
        <w:spacing w:after="120"/>
        <w:ind w:firstLine="567"/>
      </w:pPr>
      <w:r>
        <w:t xml:space="preserve">Đơn vị của lớp tồn kho là chuỗi Store × Family trên toàn kỳ 16 ngày. Stage 07 cộng P10, P50, P90 theo ngày của tập kiểm tra cuối thành S10, S50, S90 cho từng chuỗi, rồi tính các đại lượng được tổng hợp trong 3.10 và hình thức hóa ở (3.38). Tệp inventory_recommendations.csv có 1.782 dòng; mức bất định tương đối r không lưu thành cột nhưng được Stage 08 tính lại trong gói bằng chứng. Vì không có tồn kho thực, vị thế tồn kho được giả định bằng 0,8 × S50, tức giả định mỗi chuỗi đang có sẵn 80% nhu cầu trung vị của kỳ.</w:t>
      </w:r>
    </w:p>
    <w:p>
      <w:pPr>
        <w:keepNext/>
        <w:spacing w:before="120" w:after="60"/>
        <w:ind w:firstLine="0"/>
        <w:jc w:val="center"/>
      </w:pPr>
      <w:r>
        <w:t xml:space="preserve">Bảng 3.10. Các đại lượng của lớp hỗ trợ quyết định tồn kho, công thức và cột tương ứng trong inventory_recommendations.csv</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934"/>
        <w:gridCol w:w="2512"/>
        <w:gridCol w:w="1743"/>
        <w:gridCol w:w="2882"/>
      </w:tblGrid>
      <w:tr>
        <w:trPr>
          <w:tblHeader/>
          <w:cantSplit/>
        </w:trPr>
        <w:tc>
          <w:tcPr>
            <w:tcW w:type="dxa" w:w="1934"/>
            <w:shd w:val="clear" w:color="auto" w:fill="D9E2F3"/>
            <w:vAlign w:val="center"/>
          </w:tcPr>
          <w:p>
            <w:pPr>
              <w:spacing w:before="20" w:after="20" w:line="260" w:lineRule="auto"/>
              <w:ind w:firstLine="0"/>
              <w:jc w:val="center"/>
            </w:pPr>
            <w:r>
              <w:rPr>
                <w:b/>
                <w:sz w:val="20"/>
                <w:szCs w:val="20"/>
              </w:rPr>
              <w:t xml:space="preserve">Đại lượng</w:t>
            </w:r>
          </w:p>
        </w:tc>
        <w:tc>
          <w:tcPr>
            <w:tcW w:type="dxa" w:w="2512"/>
            <w:shd w:val="clear" w:color="auto" w:fill="D9E2F3"/>
            <w:vAlign w:val="center"/>
          </w:tcPr>
          <w:p>
            <w:pPr>
              <w:spacing w:before="20" w:after="20" w:line="260" w:lineRule="auto"/>
              <w:ind w:firstLine="0"/>
              <w:jc w:val="center"/>
            </w:pPr>
            <w:r>
              <w:rPr>
                <w:b/>
                <w:sz w:val="20"/>
                <w:szCs w:val="20"/>
              </w:rPr>
              <w:t xml:space="preserve">Công thức trong mã</w:t>
            </w:r>
          </w:p>
        </w:tc>
        <w:tc>
          <w:tcPr>
            <w:tcW w:type="dxa" w:w="1743"/>
            <w:shd w:val="clear" w:color="auto" w:fill="D9E2F3"/>
            <w:vAlign w:val="center"/>
          </w:tcPr>
          <w:p>
            <w:pPr>
              <w:spacing w:before="20" w:after="20" w:line="260" w:lineRule="auto"/>
              <w:ind w:firstLine="0"/>
              <w:jc w:val="center"/>
            </w:pPr>
            <w:r>
              <w:rPr>
                <w:b/>
                <w:sz w:val="20"/>
                <w:szCs w:val="20"/>
              </w:rPr>
              <w:t xml:space="preserve">Cột</w:t>
            </w:r>
          </w:p>
        </w:tc>
        <w:tc>
          <w:tcPr>
            <w:tcW w:type="dxa" w:w="2882"/>
            <w:shd w:val="clear" w:color="auto" w:fill="D9E2F3"/>
            <w:vAlign w:val="center"/>
          </w:tcPr>
          <w:p>
            <w:pPr>
              <w:spacing w:before="20" w:after="20" w:line="260" w:lineRule="auto"/>
              <w:ind w:firstLine="0"/>
              <w:jc w:val="center"/>
            </w:pPr>
            <w:r>
              <w:rPr>
                <w:b/>
                <w:sz w:val="20"/>
                <w:szCs w:val="20"/>
              </w:rPr>
              <w:t xml:space="preserve">Ghi chú trong lần chạy chính thức</w:t>
            </w:r>
          </w:p>
        </w:tc>
      </w:tr>
      <w:tr>
        <w:trPr>
          <w:cantSplit/>
        </w:trPr>
        <w:tc>
          <w:tcPr>
            <w:tcW w:type="dxa" w:w="1934"/>
            <w:vAlign w:val="center"/>
          </w:tcPr>
          <w:p>
            <w:pPr>
              <w:spacing w:before="20" w:after="20" w:line="260" w:lineRule="auto"/>
              <w:ind w:firstLine="0"/>
              <w:jc w:val="left"/>
            </w:pPr>
            <w:r>
              <w:rPr>
                <w:sz w:val="20"/>
                <w:szCs w:val="20"/>
              </w:rPr>
              <w:t xml:space="preserve">Tỷ lệ tới hạn q*</w:t>
            </w:r>
          </w:p>
        </w:tc>
        <w:tc>
          <w:tcPr>
            <w:tcW w:type="dxa" w:w="2512"/>
            <w:vAlign w:val="center"/>
          </w:tcPr>
          <w:p>
            <w:pPr>
              <w:spacing w:before="20" w:after="20" w:line="260" w:lineRule="auto"/>
              <w:ind w:firstLine="0"/>
              <w:jc w:val="left"/>
            </w:pPr>
            <w:r>
              <w:rPr>
                <w:sz w:val="20"/>
                <w:szCs w:val="20"/>
              </w:rPr>
              <w:t xml:space="preserve">Cu/(Cu + Co) = 3/(3 + 1) = 0,75</w:t>
            </w:r>
          </w:p>
        </w:tc>
        <w:tc>
          <w:tcPr>
            <w:tcW w:type="dxa" w:w="1743"/>
            <w:vAlign w:val="center"/>
          </w:tcPr>
          <w:p>
            <w:pPr>
              <w:spacing w:before="20" w:after="20" w:line="260" w:lineRule="auto"/>
              <w:ind w:firstLine="0"/>
              <w:jc w:val="left"/>
            </w:pPr>
            <w:r>
              <w:rPr>
                <w:sz w:val="20"/>
                <w:szCs w:val="20"/>
              </w:rPr>
              <w:t xml:space="preserve">critical_fractile</w:t>
            </w:r>
          </w:p>
        </w:tc>
        <w:tc>
          <w:tcPr>
            <w:tcW w:type="dxa" w:w="2882"/>
            <w:vAlign w:val="center"/>
          </w:tcPr>
          <w:p>
            <w:pPr>
              <w:spacing w:before="20" w:after="20" w:line="260" w:lineRule="auto"/>
              <w:ind w:firstLine="0"/>
              <w:jc w:val="left"/>
            </w:pPr>
            <w:r>
              <w:rPr>
                <w:sz w:val="20"/>
                <w:szCs w:val="20"/>
              </w:rPr>
              <w:t xml:space="preserve">Cu = 3, Co = 1 là giả định minh họa</w:t>
            </w:r>
          </w:p>
        </w:tc>
      </w:tr>
      <w:tr>
        <w:trPr>
          <w:cantSplit/>
        </w:trPr>
        <w:tc>
          <w:tcPr>
            <w:tcW w:type="dxa" w:w="1934"/>
            <w:vAlign w:val="center"/>
          </w:tcPr>
          <w:p>
            <w:pPr>
              <w:spacing w:before="20" w:after="20" w:line="260" w:lineRule="auto"/>
              <w:ind w:firstLine="0"/>
              <w:jc w:val="left"/>
            </w:pPr>
            <w:r>
              <w:rPr>
                <w:sz w:val="20"/>
                <w:szCs w:val="20"/>
              </w:rPr>
              <w:t xml:space="preserve">Tổng phân vị 16 ngày</w:t>
            </w:r>
          </w:p>
        </w:tc>
        <w:tc>
          <w:tcPr>
            <w:tcW w:type="dxa" w:w="2512"/>
            <w:vAlign w:val="center"/>
          </w:tcPr>
          <w:p>
            <w:pPr>
              <w:spacing w:before="20" w:after="20" w:line="260" w:lineRule="auto"/>
              <w:ind w:firstLine="0"/>
              <w:jc w:val="left"/>
            </w:pPr>
            <w:r>
              <w:rPr>
                <w:sz w:val="20"/>
                <w:szCs w:val="20"/>
              </w:rPr>
              <w:t xml:space="preserve">S10, S50, S90 = tổng P10, P50, P90 theo ngày của chuỗi</w:t>
            </w:r>
          </w:p>
        </w:tc>
        <w:tc>
          <w:tcPr>
            <w:tcW w:type="dxa" w:w="1743"/>
            <w:vAlign w:val="center"/>
          </w:tcPr>
          <w:p>
            <w:pPr>
              <w:spacing w:before="20" w:after="20" w:line="260" w:lineRule="auto"/>
              <w:ind w:firstLine="0"/>
              <w:jc w:val="left"/>
            </w:pPr>
            <w:r>
              <w:rPr>
                <w:sz w:val="20"/>
                <w:szCs w:val="20"/>
              </w:rPr>
              <w:t xml:space="preserve">p10, p50, p90</w:t>
            </w:r>
          </w:p>
        </w:tc>
        <w:tc>
          <w:tcPr>
            <w:tcW w:type="dxa" w:w="2882"/>
            <w:vAlign w:val="center"/>
          </w:tcPr>
          <w:p>
            <w:pPr>
              <w:spacing w:before="20" w:after="20" w:line="260" w:lineRule="auto"/>
              <w:ind w:firstLine="0"/>
              <w:jc w:val="left"/>
            </w:pPr>
            <w:r>
              <w:rPr>
                <w:sz w:val="20"/>
                <w:szCs w:val="20"/>
              </w:rPr>
              <w:t xml:space="preserve">Đại lượng mô tả, không phải phân vị của tổng</w:t>
            </w:r>
          </w:p>
        </w:tc>
      </w:tr>
      <w:tr>
        <w:trPr>
          <w:cantSplit/>
        </w:trPr>
        <w:tc>
          <w:tcPr>
            <w:tcW w:type="dxa" w:w="1934"/>
            <w:vAlign w:val="center"/>
          </w:tcPr>
          <w:p>
            <w:pPr>
              <w:spacing w:before="20" w:after="20" w:line="260" w:lineRule="auto"/>
              <w:ind w:firstLine="0"/>
              <w:jc w:val="left"/>
            </w:pPr>
            <w:r>
              <w:rPr>
                <w:sz w:val="20"/>
                <w:szCs w:val="20"/>
              </w:rPr>
              <w:t xml:space="preserve">Vị thế tồn kho giả định</w:t>
            </w:r>
          </w:p>
        </w:tc>
        <w:tc>
          <w:tcPr>
            <w:tcW w:type="dxa" w:w="2512"/>
            <w:vAlign w:val="center"/>
          </w:tcPr>
          <w:p>
            <w:pPr>
              <w:spacing w:before="20" w:after="20" w:line="260" w:lineRule="auto"/>
              <w:ind w:firstLine="0"/>
              <w:jc w:val="left"/>
            </w:pPr>
            <w:r>
              <w:rPr>
                <w:sz w:val="20"/>
                <w:szCs w:val="20"/>
              </w:rPr>
              <w:t xml:space="preserve">0,8 × S50</w:t>
            </w:r>
          </w:p>
        </w:tc>
        <w:tc>
          <w:tcPr>
            <w:tcW w:type="dxa" w:w="1743"/>
            <w:vAlign w:val="center"/>
          </w:tcPr>
          <w:p>
            <w:pPr>
              <w:spacing w:before="20" w:after="20" w:line="260" w:lineRule="auto"/>
              <w:ind w:firstLine="0"/>
              <w:jc w:val="left"/>
            </w:pPr>
            <w:r>
              <w:rPr>
                <w:sz w:val="20"/>
                <w:szCs w:val="20"/>
              </w:rPr>
              <w:t xml:space="preserve">assumed_inventory_position</w:t>
            </w:r>
          </w:p>
        </w:tc>
        <w:tc>
          <w:tcPr>
            <w:tcW w:type="dxa" w:w="2882"/>
            <w:vAlign w:val="center"/>
          </w:tcPr>
          <w:p>
            <w:pPr>
              <w:spacing w:before="20" w:after="20" w:line="260" w:lineRule="auto"/>
              <w:ind w:firstLine="0"/>
              <w:jc w:val="left"/>
            </w:pPr>
            <w:r>
              <w:rPr>
                <w:sz w:val="20"/>
                <w:szCs w:val="20"/>
              </w:rPr>
              <w:t xml:space="preserve">Thay cho tồn kho thực không có trong dữ liệu</w:t>
            </w:r>
          </w:p>
        </w:tc>
      </w:tr>
      <w:tr>
        <w:trPr>
          <w:cantSplit/>
        </w:trPr>
        <w:tc>
          <w:tcPr>
            <w:tcW w:type="dxa" w:w="1934"/>
            <w:vAlign w:val="center"/>
          </w:tcPr>
          <w:p>
            <w:pPr>
              <w:spacing w:before="20" w:after="20" w:line="260" w:lineRule="auto"/>
              <w:ind w:firstLine="0"/>
              <w:jc w:val="left"/>
            </w:pPr>
            <w:r>
              <w:rPr>
                <w:sz w:val="20"/>
                <w:szCs w:val="20"/>
              </w:rPr>
              <w:t xml:space="preserve">Điểm đặt hàng lại đại diện (ROP)</w:t>
            </w:r>
          </w:p>
        </w:tc>
        <w:tc>
          <w:tcPr>
            <w:tcW w:type="dxa" w:w="2512"/>
            <w:vAlign w:val="center"/>
          </w:tcPr>
          <w:p>
            <w:pPr>
              <w:spacing w:before="20" w:after="20" w:line="260" w:lineRule="auto"/>
              <w:ind w:firstLine="0"/>
              <w:jc w:val="left"/>
            </w:pPr>
            <w:r>
              <w:rPr>
                <w:sz w:val="20"/>
                <w:szCs w:val="20"/>
              </w:rPr>
              <w:t xml:space="preserve">S90 nếu q* ≥ 0,75; ngược lại S50</w:t>
            </w:r>
          </w:p>
        </w:tc>
        <w:tc>
          <w:tcPr>
            <w:tcW w:type="dxa" w:w="1743"/>
            <w:vAlign w:val="center"/>
          </w:tcPr>
          <w:p>
            <w:pPr>
              <w:spacing w:before="20" w:after="20" w:line="260" w:lineRule="auto"/>
              <w:ind w:firstLine="0"/>
              <w:jc w:val="left"/>
            </w:pPr>
            <w:r>
              <w:rPr>
                <w:sz w:val="20"/>
                <w:szCs w:val="20"/>
              </w:rPr>
              <w:t xml:space="preserve">reorder_point_proxy</w:t>
            </w:r>
          </w:p>
        </w:tc>
        <w:tc>
          <w:tcPr>
            <w:tcW w:type="dxa" w:w="2882"/>
            <w:vAlign w:val="center"/>
          </w:tcPr>
          <w:p>
            <w:pPr>
              <w:spacing w:before="20" w:after="20" w:line="260" w:lineRule="auto"/>
              <w:ind w:firstLine="0"/>
              <w:jc w:val="left"/>
            </w:pPr>
            <w:r>
              <w:rPr>
                <w:sz w:val="20"/>
                <w:szCs w:val="20"/>
              </w:rPr>
              <w:t xml:space="preserve">Với q* = 0,75, ROP = S90 (cao hơn phân vị tới hạn)</w:t>
            </w:r>
          </w:p>
        </w:tc>
      </w:tr>
      <w:tr>
        <w:trPr>
          <w:cantSplit/>
        </w:trPr>
        <w:tc>
          <w:tcPr>
            <w:tcW w:type="dxa" w:w="1934"/>
            <w:vAlign w:val="center"/>
          </w:tcPr>
          <w:p>
            <w:pPr>
              <w:spacing w:before="20" w:after="20" w:line="260" w:lineRule="auto"/>
              <w:ind w:firstLine="0"/>
              <w:jc w:val="left"/>
            </w:pPr>
            <w:r>
              <w:rPr>
                <w:sz w:val="20"/>
                <w:szCs w:val="20"/>
              </w:rPr>
              <w:t xml:space="preserve">Tồn kho an toàn</w:t>
            </w:r>
          </w:p>
        </w:tc>
        <w:tc>
          <w:tcPr>
            <w:tcW w:type="dxa" w:w="2512"/>
            <w:vAlign w:val="center"/>
          </w:tcPr>
          <w:p>
            <w:pPr>
              <w:spacing w:before="20" w:after="20" w:line="260" w:lineRule="auto"/>
              <w:ind w:firstLine="0"/>
              <w:jc w:val="left"/>
            </w:pPr>
            <w:r>
              <w:rPr>
                <w:sz w:val="20"/>
                <w:szCs w:val="20"/>
              </w:rPr>
              <w:t xml:space="preserve">max(ROP − S50, 0) = S90 − S50</w:t>
            </w:r>
          </w:p>
        </w:tc>
        <w:tc>
          <w:tcPr>
            <w:tcW w:type="dxa" w:w="1743"/>
            <w:vAlign w:val="center"/>
          </w:tcPr>
          <w:p>
            <w:pPr>
              <w:spacing w:before="20" w:after="20" w:line="260" w:lineRule="auto"/>
              <w:ind w:firstLine="0"/>
              <w:jc w:val="left"/>
            </w:pPr>
            <w:r>
              <w:rPr>
                <w:sz w:val="20"/>
                <w:szCs w:val="20"/>
              </w:rPr>
              <w:t xml:space="preserve">safety_stock_proxy</w:t>
            </w:r>
          </w:p>
        </w:tc>
        <w:tc>
          <w:tcPr>
            <w:tcW w:type="dxa" w:w="2882"/>
            <w:vAlign w:val="center"/>
          </w:tcPr>
          <w:p>
            <w:pPr>
              <w:spacing w:before="20" w:after="20" w:line="260" w:lineRule="auto"/>
              <w:ind w:firstLine="0"/>
              <w:jc w:val="left"/>
            </w:pPr>
            <w:r>
              <w:rPr>
                <w:sz w:val="20"/>
                <w:szCs w:val="20"/>
              </w:rPr>
              <w:t xml:space="preserve">Thay đổi theo chuỗi, từ 64,00 đến 12.135,64; trung vị 347,06</w:t>
            </w:r>
          </w:p>
        </w:tc>
      </w:tr>
      <w:tr>
        <w:trPr>
          <w:cantSplit/>
        </w:trPr>
        <w:tc>
          <w:tcPr>
            <w:tcW w:type="dxa" w:w="1934"/>
            <w:vAlign w:val="center"/>
          </w:tcPr>
          <w:p>
            <w:pPr>
              <w:spacing w:before="20" w:after="20" w:line="260" w:lineRule="auto"/>
              <w:ind w:firstLine="0"/>
              <w:jc w:val="left"/>
            </w:pPr>
            <w:r>
              <w:rPr>
                <w:sz w:val="20"/>
                <w:szCs w:val="20"/>
              </w:rPr>
              <w:t xml:space="preserve">Lượng bổ sung gợi ý</w:t>
            </w:r>
          </w:p>
        </w:tc>
        <w:tc>
          <w:tcPr>
            <w:tcW w:type="dxa" w:w="2512"/>
            <w:vAlign w:val="center"/>
          </w:tcPr>
          <w:p>
            <w:pPr>
              <w:spacing w:before="20" w:after="20" w:line="260" w:lineRule="auto"/>
              <w:ind w:firstLine="0"/>
              <w:jc w:val="left"/>
            </w:pPr>
            <w:r>
              <w:rPr>
                <w:sz w:val="20"/>
                <w:szCs w:val="20"/>
              </w:rPr>
              <w:t xml:space="preserve">max(ROP − 0,8 × S50, 0) = S90 − 0,8 × S50</w:t>
            </w:r>
          </w:p>
        </w:tc>
        <w:tc>
          <w:tcPr>
            <w:tcW w:type="dxa" w:w="1743"/>
            <w:vAlign w:val="center"/>
          </w:tcPr>
          <w:p>
            <w:pPr>
              <w:spacing w:before="20" w:after="20" w:line="260" w:lineRule="auto"/>
              <w:ind w:firstLine="0"/>
              <w:jc w:val="left"/>
            </w:pPr>
            <w:r>
              <w:rPr>
                <w:sz w:val="20"/>
                <w:szCs w:val="20"/>
              </w:rPr>
              <w:t xml:space="preserve">suggested_replenishment</w:t>
            </w:r>
          </w:p>
        </w:tc>
        <w:tc>
          <w:tcPr>
            <w:tcW w:type="dxa" w:w="2882"/>
            <w:vAlign w:val="center"/>
          </w:tcPr>
          <w:p>
            <w:pPr>
              <w:spacing w:before="20" w:after="20" w:line="260" w:lineRule="auto"/>
              <w:ind w:firstLine="0"/>
              <w:jc w:val="left"/>
            </w:pPr>
            <w:r>
              <w:rPr>
                <w:sz w:val="20"/>
                <w:szCs w:val="20"/>
              </w:rPr>
              <w:t xml:space="preserve">= tồn kho an toàn + 0,2 × S50; phần 0,2 × S50 chiếm 46,24% tổng bổ sung</w:t>
            </w:r>
          </w:p>
        </w:tc>
      </w:tr>
      <w:tr>
        <w:trPr>
          <w:cantSplit/>
        </w:trPr>
        <w:tc>
          <w:tcPr>
            <w:tcW w:type="dxa" w:w="1934"/>
            <w:vAlign w:val="center"/>
          </w:tcPr>
          <w:p>
            <w:pPr>
              <w:spacing w:before="20" w:after="20" w:line="260" w:lineRule="auto"/>
              <w:ind w:firstLine="0"/>
              <w:jc w:val="left"/>
            </w:pPr>
            <w:r>
              <w:rPr>
                <w:sz w:val="20"/>
                <w:szCs w:val="20"/>
              </w:rPr>
              <w:t xml:space="preserve">Mức bất định tương đối r</w:t>
            </w:r>
          </w:p>
        </w:tc>
        <w:tc>
          <w:tcPr>
            <w:tcW w:type="dxa" w:w="2512"/>
            <w:vAlign w:val="center"/>
          </w:tcPr>
          <w:p>
            <w:pPr>
              <w:spacing w:before="20" w:after="20" w:line="260" w:lineRule="auto"/>
              <w:ind w:firstLine="0"/>
              <w:jc w:val="left"/>
            </w:pPr>
            <w:r>
              <w:rPr>
                <w:sz w:val="20"/>
                <w:szCs w:val="20"/>
              </w:rPr>
              <w:t xml:space="preserve">(S90 − S10)/(S50 + 1)</w:t>
            </w:r>
          </w:p>
        </w:tc>
        <w:tc>
          <w:tcPr>
            <w:tcW w:type="dxa" w:w="1743"/>
            <w:vAlign w:val="center"/>
          </w:tcPr>
          <w:p>
            <w:pPr>
              <w:spacing w:before="20" w:after="20" w:line="260" w:lineRule="auto"/>
              <w:ind w:firstLine="0"/>
              <w:jc w:val="left"/>
            </w:pPr>
            <w:r>
              <w:rPr>
                <w:sz w:val="20"/>
                <w:szCs w:val="20"/>
              </w:rPr>
              <w:t xml:space="preserve">(không lưu cột)</w:t>
            </w:r>
          </w:p>
        </w:tc>
        <w:tc>
          <w:tcPr>
            <w:tcW w:type="dxa" w:w="2882"/>
            <w:vAlign w:val="center"/>
          </w:tcPr>
          <w:p>
            <w:pPr>
              <w:spacing w:before="20" w:after="20" w:line="260" w:lineRule="auto"/>
              <w:ind w:firstLine="0"/>
              <w:jc w:val="left"/>
            </w:pPr>
            <w:r>
              <w:rPr>
                <w:sz w:val="20"/>
                <w:szCs w:val="20"/>
              </w:rPr>
              <w:t xml:space="preserve">Số 1 ở mẫu số tránh chia cho 0; trung vị 1,201</w:t>
            </w:r>
          </w:p>
        </w:tc>
      </w:tr>
      <w:tr>
        <w:trPr>
          <w:cantSplit/>
        </w:trPr>
        <w:tc>
          <w:tcPr>
            <w:tcW w:type="dxa" w:w="1934"/>
            <w:vAlign w:val="center"/>
          </w:tcPr>
          <w:p>
            <w:pPr>
              <w:spacing w:before="20" w:after="20" w:line="260" w:lineRule="auto"/>
              <w:ind w:firstLine="0"/>
              <w:jc w:val="left"/>
            </w:pPr>
            <w:r>
              <w:rPr>
                <w:sz w:val="20"/>
                <w:szCs w:val="20"/>
              </w:rPr>
              <w:t xml:space="preserve">Nhãn rủi ro</w:t>
            </w:r>
          </w:p>
        </w:tc>
        <w:tc>
          <w:tcPr>
            <w:tcW w:type="dxa" w:w="2512"/>
            <w:vAlign w:val="center"/>
          </w:tcPr>
          <w:p>
            <w:pPr>
              <w:spacing w:before="20" w:after="20" w:line="260" w:lineRule="auto"/>
              <w:ind w:firstLine="0"/>
              <w:jc w:val="left"/>
            </w:pPr>
            <w:r>
              <w:rPr>
                <w:sz w:val="20"/>
                <w:szCs w:val="20"/>
              </w:rPr>
              <w:t xml:space="preserve">LOW: r ≤ 0,35; MEDIUM: 0,35 &lt; r ≤ 0,75; HIGH: r &gt; 0,75</w:t>
            </w:r>
          </w:p>
        </w:tc>
        <w:tc>
          <w:tcPr>
            <w:tcW w:type="dxa" w:w="1743"/>
            <w:vAlign w:val="center"/>
          </w:tcPr>
          <w:p>
            <w:pPr>
              <w:spacing w:before="20" w:after="20" w:line="260" w:lineRule="auto"/>
              <w:ind w:firstLine="0"/>
              <w:jc w:val="left"/>
            </w:pPr>
            <w:r>
              <w:rPr>
                <w:sz w:val="20"/>
                <w:szCs w:val="20"/>
              </w:rPr>
              <w:t xml:space="preserve">risk</w:t>
            </w:r>
          </w:p>
        </w:tc>
        <w:tc>
          <w:tcPr>
            <w:tcW w:type="dxa" w:w="2882"/>
            <w:vAlign w:val="center"/>
          </w:tcPr>
          <w:p>
            <w:pPr>
              <w:spacing w:before="20" w:after="20" w:line="260" w:lineRule="auto"/>
              <w:ind w:firstLine="0"/>
              <w:jc w:val="left"/>
            </w:pPr>
            <w:r>
              <w:rPr>
                <w:sz w:val="20"/>
                <w:szCs w:val="20"/>
              </w:rPr>
              <w:t xml:space="preserve">Mức bất định tương đối, không so tồn kho thực với mục tiêu</w:t>
            </w:r>
          </w:p>
        </w:tc>
      </w:tr>
    </w:tbl>
    <w:p>
      <w:pPr>
        <w:spacing w:before="40" w:after="160"/>
        <w:ind w:firstLine="0"/>
      </w:pPr>
      <w:r>
        <w:rPr>
          <w:i/>
          <w:sz w:val="22"/>
          <w:szCs w:val="22"/>
        </w:rPr>
        <w:t xml:space="preserve">Nguồn: tổng hợp của tác giả từ 07_inventory_decision.py và inventory_recommendations.csv của lần chạy chính thức.</w:t>
      </w:r>
    </w:p>
    <w:p>
      <w:pPr>
        <w:tabs>
          <w:tab w:val="center" w:pos="4535"/>
          <w:tab w:val="right" w:pos="9071"/>
        </w:tabs>
        <w:spacing w:before="60" w:after="60"/>
        <w:ind w:firstLine="0"/>
      </w:pPr>
      <w:r>
        <w:tab/>
      </w:r>
      <m:oMath xmlns:a="http://schemas.openxmlformats.org/drawingml/2006/main" xmlns:pic="http://schemas.openxmlformats.org/drawingml/2006/picture">
        <m:sSub>
          <m:e>
            <m:r>
              <m:rPr>
                <m:sty m:val="p"/>
              </m:rPr>
              <m:t>I</m:t>
            </m:r>
            <m:r>
              <m:rPr>
                <m:sty m:val="p"/>
              </m:rPr>
              <m:t>P</m:t>
            </m:r>
          </m:e>
          <m:sub>
            <m:r>
              <m:t>i</m:t>
            </m:r>
          </m:sub>
        </m:sSub>
        <m:r>
          <m:rPr>
            <m:sty m:val="p"/>
          </m:rPr>
          <m:t>=</m:t>
        </m:r>
        <m:r>
          <m:t>0.8</m:t>
        </m:r>
        <m:r>
          <m:t> </m:t>
        </m:r>
        <m:sSub>
          <m:e>
            <m:r>
              <m:t>S</m:t>
            </m:r>
          </m:e>
          <m:sub>
            <m:r>
              <m:t>0.5</m:t>
            </m:r>
          </m:sub>
        </m:sSub>
        <m:d>
          <m:dPr>
            <m:begChr m:val="("/>
            <m:sepChr m:val=""/>
            <m:endChr m:val=")"/>
            <m:grow/>
          </m:dPr>
          <m:e>
            <m:r>
              <m:t>i</m:t>
            </m:r>
          </m:e>
        </m:d>
        <m:r>
          <m:rPr>
            <m:sty m:val="p"/>
          </m:rPr>
          <m:t>,</m:t>
        </m:r>
        <m:r>
          <m:t> </m:t>
        </m:r>
        <m:sSub>
          <m:e>
            <m:r>
              <m:rPr>
                <m:sty m:val="p"/>
              </m:rPr>
              <m:t>R</m:t>
            </m:r>
            <m:r>
              <m:rPr>
                <m:sty m:val="p"/>
              </m:rPr>
              <m:t>O</m:t>
            </m:r>
            <m:r>
              <m:rPr>
                <m:sty m:val="p"/>
              </m:rPr>
              <m:t>P</m:t>
            </m:r>
          </m:e>
          <m:sub>
            <m:r>
              <m:t>i</m:t>
            </m:r>
          </m:sub>
        </m:sSub>
        <m:r>
          <m:rPr>
            <m:sty m:val="p"/>
          </m:rPr>
          <m:t>=</m:t>
        </m:r>
        <m:sSub>
          <m:e>
            <m:r>
              <m:t>S</m:t>
            </m:r>
          </m:e>
          <m:sub>
            <m:r>
              <m:t>0.9</m:t>
            </m:r>
          </m:sub>
        </m:sSub>
        <m:d>
          <m:dPr>
            <m:begChr m:val="("/>
            <m:sepChr m:val=""/>
            <m:endChr m:val=")"/>
            <m:grow/>
          </m:dPr>
          <m:e>
            <m:r>
              <m:t>i</m:t>
            </m:r>
          </m:e>
        </m:d>
        <m:r>
          <m:rPr>
            <m:sty m:val="p"/>
          </m:rPr>
          <m:t>,</m:t>
        </m:r>
        <m:r>
          <m:t> </m:t>
        </m:r>
        <m:sSub>
          <m:e>
            <m:r>
              <m:rPr>
                <m:sty m:val="p"/>
              </m:rPr>
              <m:t>S</m:t>
            </m:r>
            <m:r>
              <m:rPr>
                <m:sty m:val="p"/>
              </m:rPr>
              <m:t>S</m:t>
            </m:r>
          </m:e>
          <m:sub>
            <m:r>
              <m:t>i</m:t>
            </m:r>
          </m:sub>
        </m:sSub>
        <m:r>
          <m:rPr>
            <m:sty m:val="p"/>
          </m:rPr>
          <m:t>=</m:t>
        </m:r>
        <m:sSub>
          <m:e>
            <m:r>
              <m:t>S</m:t>
            </m:r>
          </m:e>
          <m:sub>
            <m:r>
              <m:t>0.9</m:t>
            </m:r>
          </m:sub>
        </m:sSub>
        <m:d>
          <m:dPr>
            <m:begChr m:val="("/>
            <m:sepChr m:val=""/>
            <m:endChr m:val=")"/>
            <m:grow/>
          </m:dPr>
          <m:e>
            <m:r>
              <m:t>i</m:t>
            </m:r>
          </m:e>
        </m:d>
        <m:r>
          <m:rPr>
            <m:sty m:val="p"/>
          </m:rPr>
          <m:t>−</m:t>
        </m:r>
        <m:sSub>
          <m:e>
            <m:r>
              <m:t>S</m:t>
            </m:r>
          </m:e>
          <m:sub>
            <m:r>
              <m:t>0.5</m:t>
            </m:r>
          </m:sub>
        </m:sSub>
        <m:d>
          <m:dPr>
            <m:begChr m:val="("/>
            <m:sepChr m:val=""/>
            <m:endChr m:val=")"/>
            <m:grow/>
          </m:dPr>
          <m:e>
            <m:r>
              <m:t>i</m:t>
            </m:r>
          </m:e>
        </m:d>
        <m:r>
          <m:rPr>
            <m:sty m:val="p"/>
          </m:rPr>
          <m:t>,</m:t>
        </m:r>
        <m:r>
          <m:t> </m:t>
        </m:r>
        <m:sSub>
          <m:e>
            <m:r>
              <m:t>Q</m:t>
            </m:r>
          </m:e>
          <m:sub>
            <m:r>
              <m:t>i</m:t>
            </m:r>
          </m:sub>
        </m:sSub>
        <m:r>
          <m:rPr>
            <m:sty m:val="p"/>
          </m:rPr>
          <m:t>=</m:t>
        </m:r>
        <m:sSub>
          <m:e>
            <m:r>
              <m:rPr>
                <m:sty m:val="p"/>
              </m:rPr>
              <m:t>R</m:t>
            </m:r>
            <m:r>
              <m:rPr>
                <m:sty m:val="p"/>
              </m:rPr>
              <m:t>O</m:t>
            </m:r>
            <m:r>
              <m:rPr>
                <m:sty m:val="p"/>
              </m:rPr>
              <m:t>P</m:t>
            </m:r>
          </m:e>
          <m:sub>
            <m:r>
              <m:t>i</m:t>
            </m:r>
          </m:sub>
        </m:sSub>
        <m:r>
          <m:rPr>
            <m:sty m:val="p"/>
          </m:rPr>
          <m:t>−</m:t>
        </m:r>
        <m:sSub>
          <m:e>
            <m:r>
              <m:rPr>
                <m:sty m:val="p"/>
              </m:rPr>
              <m:t>I</m:t>
            </m:r>
            <m:r>
              <m:rPr>
                <m:sty m:val="p"/>
              </m:rPr>
              <m:t>P</m:t>
            </m:r>
          </m:e>
          <m:sub>
            <m:r>
              <m:t>i</m:t>
            </m:r>
          </m:sub>
        </m:sSub>
        <m:r>
          <m:rPr>
            <m:sty m:val="p"/>
          </m:rPr>
          <m:t>=</m:t>
        </m:r>
        <m:sSub>
          <m:e>
            <m:r>
              <m:rPr>
                <m:sty m:val="p"/>
              </m:rPr>
              <m:t>S</m:t>
            </m:r>
            <m:r>
              <m:rPr>
                <m:sty m:val="p"/>
              </m:rPr>
              <m:t>S</m:t>
            </m:r>
          </m:e>
          <m:sub>
            <m:r>
              <m:t>i</m:t>
            </m:r>
          </m:sub>
        </m:sSub>
        <m:r>
          <m:rPr>
            <m:sty m:val="p"/>
          </m:rPr>
          <m:t>+</m:t>
        </m:r>
        <m:r>
          <m:t>0.2</m:t>
        </m:r>
        <m:r>
          <m:t> </m:t>
        </m:r>
        <m:sSub>
          <m:e>
            <m:r>
              <m:t>S</m:t>
            </m:r>
          </m:e>
          <m:sub>
            <m:r>
              <m:t>0.5</m:t>
            </m:r>
          </m:sub>
        </m:sSub>
        <m:d>
          <m:dPr>
            <m:begChr m:val="("/>
            <m:sepChr m:val=""/>
            <m:endChr m:val=")"/>
            <m:grow/>
          </m:dPr>
          <m:e>
            <m:r>
              <m:t>i</m:t>
            </m:r>
          </m:e>
        </m:d>
      </m:oMath>
      <w:r>
        <w:tab/>
        <w:t>(3.38)</w:t>
      </w:r>
    </w:p>
    <w:p>
      <w:pPr>
        <w:keepLines w:val="0"/>
        <w:spacing w:after="120"/>
        <w:ind w:firstLine="567"/>
      </w:pPr>
      <w:r>
        <w:t xml:space="preserve">Phân tách ở (3.38) cho thấy lượng bổ sung gợi ý gồm hai phần có bản chất khác nhau. Phần thứ nhất là tồn kho an toàn S90 − S50, phản ánh độ bất định của dự báo; nhờ khoảng Mondrian, đại lượng này thay đổi theo quy mô của từng chuỗi. Giá trị nhỏ nhất 64,00 tương ứng đúng 16 ngày ở nhóm Mondrian đầu tiên, nơi q90 − q50 = 4,00, còn các chuỗi lớn nhận tồn kho an toàn hàng nghìn đơn vị. Phần thứ hai là 0,2 × S50, hoàn toàn do giả định vị thế tồn kho bằng 80% nhu cầu trung vị; phần này tăng tỷ lệ thuận với quy mô chuỗi và chiếm 46,24% tổng lượng bổ sung của hệ thống trong lần chạy chính thức. Gần một nửa lượng bổ sung vì vậy đến từ một giả định chứ không từ dự báo, nên luận văn chỉ diễn giải nó như chỉ báo minh họa, không như số lượng đặt hàng.</w:t>
      </w:r>
    </w:p>
    <w:p>
      <w:pPr>
        <w:pStyle w:val="Heading3"/>
        <w:keepNext/>
      </w:pPr>
      <w:r>
        <w:t xml:space="preserve">3.12.3. Quy tắc nhãn rủi ro và quan hệ với quy mô chuỗi</w:t>
      </w:r>
    </w:p>
    <w:p>
      <w:pPr>
        <w:keepLines w:val="0"/>
        <w:spacing w:after="120"/>
        <w:ind w:firstLine="567"/>
      </w:pPr>
      <w:r>
        <w:t xml:space="preserve">Nhãn rủi ro được gán bằng hàm pd.cut trên mức bất định tương đối r = (S90 − S10)/(S50 + 1) với các ngưỡng 0,35 và 0,75, theo (3.39); các khoảng đóng bên phải, nên một chuỗi có r đúng bằng 0,35 được xếp LOW và có r đúng bằng 0,75 được xếp MEDIUM. Về bản chất, nhãn này đo độ rộng của khoảng dự báo so với dự báo trung vị; nó không so tồn kho thực với mức mục tiêu và không phản ánh giá trị kinh tế, nên một chuỗi HIGH không nhất thiết có nguy cơ thiếu hoặc thừa hàng lớn. Quy tắc với hai ngưỡng cố định này là một giới hạn của nghiên cứu, được phân tích tiếp dưới đây.</w:t>
      </w:r>
    </w:p>
    <w:p>
      <w:pPr>
        <w:tabs>
          <w:tab w:val="center" w:pos="4535"/>
          <w:tab w:val="right" w:pos="9071"/>
        </w:tabs>
        <w:spacing w:before="60" w:after="60"/>
        <w:ind w:firstLine="0"/>
      </w:pPr>
      <w:r>
        <w:tab/>
      </w:r>
      <m:oMath xmlns:a="http://schemas.openxmlformats.org/drawingml/2006/main" xmlns:pic="http://schemas.openxmlformats.org/drawingml/2006/picture">
        <m:sSub>
          <m:e>
            <m:r>
              <m:t>r</m:t>
            </m:r>
          </m:e>
          <m:sub>
            <m:r>
              <m:t>i</m:t>
            </m:r>
          </m:sub>
        </m:sSub>
        <m:r>
          <m:rPr>
            <m:sty m:val="p"/>
          </m:rPr>
          <m:t>=</m:t>
        </m:r>
        <m:f>
          <m:fPr>
            <m:type m:val="bar"/>
          </m:fPr>
          <m:num>
            <m:sSub>
              <m:e>
                <m:r>
                  <m:t>S</m:t>
                </m:r>
              </m:e>
              <m:sub>
                <m:r>
                  <m:t>0.9</m:t>
                </m:r>
              </m:sub>
            </m:sSub>
            <m:d>
              <m:dPr>
                <m:begChr m:val="("/>
                <m:sepChr m:val=""/>
                <m:endChr m:val=")"/>
                <m:grow/>
              </m:dPr>
              <m:e>
                <m:r>
                  <m:t>i</m:t>
                </m:r>
              </m:e>
            </m:d>
            <m:r>
              <m:rPr>
                <m:sty m:val="p"/>
              </m:rPr>
              <m:t>−</m:t>
            </m:r>
            <m:sSub>
              <m:e>
                <m:r>
                  <m:t>S</m:t>
                </m:r>
              </m:e>
              <m:sub>
                <m:r>
                  <m:t>0.1</m:t>
                </m:r>
              </m:sub>
            </m:sSub>
            <m:d>
              <m:dPr>
                <m:begChr m:val="("/>
                <m:sepChr m:val=""/>
                <m:endChr m:val=")"/>
                <m:grow/>
              </m:dPr>
              <m:e>
                <m:r>
                  <m:t>i</m:t>
                </m:r>
              </m:e>
            </m:d>
          </m:num>
          <m:den>
            <m:sSub>
              <m:e>
                <m:r>
                  <m:t>S</m:t>
                </m:r>
              </m:e>
              <m:sub>
                <m:r>
                  <m:t>0.5</m:t>
                </m:r>
              </m:sub>
            </m:sSub>
            <m:d>
              <m:dPr>
                <m:begChr m:val="("/>
                <m:sepChr m:val=""/>
                <m:endChr m:val=")"/>
                <m:grow/>
              </m:dPr>
              <m:e>
                <m:r>
                  <m:t>i</m:t>
                </m:r>
              </m:e>
            </m:d>
            <m:r>
              <m:rPr>
                <m:sty m:val="p"/>
              </m:rPr>
              <m:t>+</m:t>
            </m:r>
            <m:r>
              <m:t>1</m:t>
            </m:r>
          </m:den>
        </m:f>
        <m:r>
          <m:rPr>
            <m:sty m:val="p"/>
          </m:rPr>
          <m:t>,</m:t>
        </m:r>
        <m:r>
          <m:t>  </m:t>
        </m:r>
        <m:sSub>
          <m:e>
            <m:r>
              <m:rPr>
                <m:sty m:val="p"/>
              </m:rPr>
              <m:t>r</m:t>
            </m:r>
            <m:r>
              <m:rPr>
                <m:sty m:val="p"/>
              </m:rPr>
              <m:t>i</m:t>
            </m:r>
            <m:r>
              <m:rPr>
                <m:sty m:val="p"/>
              </m:rPr>
              <m:t>s</m:t>
            </m:r>
            <m:r>
              <m:rPr>
                <m:sty m:val="p"/>
              </m:rPr>
              <m:t>k</m:t>
            </m:r>
          </m:e>
          <m:sub>
            <m:r>
              <m:t>i</m:t>
            </m:r>
          </m:sub>
        </m:sSub>
        <m:r>
          <m:rPr>
            <m:sty m:val="p"/>
          </m:rPr>
          <m:t>=</m:t>
        </m:r>
        <m:d>
          <m:dPr>
            <m:begChr m:val="{"/>
            <m:sepChr m:val=""/>
            <m:endChr m:val=""/>
            <m:grow/>
          </m:dPr>
          <m:e>
            <m:m>
              <m:mPr>
                <m:baseJc m:val="center"/>
                <m:plcHide m:val="on"/>
                <m:mcs>
                  <m:mc>
                    <m:mcPr>
                      <m:count m:val="1"/>
                      <m:mcJc m:val="left"/>
                    </m:mcPr>
                  </m:mc>
                  <m:mc>
                    <m:mcPr>
                      <m:count m:val="1"/>
                      <m:mcJc m:val="left"/>
                    </m:mcPr>
                  </m:mc>
                </m:mcs>
              </m:mPr>
              <m:mr>
                <m:e>
                  <m:r>
                    <m:rPr>
                      <m:sty m:val="p"/>
                    </m:rPr>
                    <m:t>L</m:t>
                  </m:r>
                  <m:r>
                    <m:rPr>
                      <m:sty m:val="p"/>
                    </m:rPr>
                    <m:t>O</m:t>
                  </m:r>
                  <m:r>
                    <m:rPr>
                      <m:sty m:val="p"/>
                    </m:rPr>
                    <m:t>W</m:t>
                  </m:r>
                  <m:r>
                    <m:rPr>
                      <m:sty m:val="p"/>
                    </m:rPr>
                    <m:t>,</m:t>
                  </m:r>
                </m:e>
                <m:e>
                  <m:sSub>
                    <m:e>
                      <m:r>
                        <m:t>r</m:t>
                      </m:r>
                    </m:e>
                    <m:sub>
                      <m:r>
                        <m:t>i</m:t>
                      </m:r>
                    </m:sub>
                  </m:sSub>
                  <m:r>
                    <m:rPr>
                      <m:sty m:val="p"/>
                    </m:rPr>
                    <m:t>≤</m:t>
                  </m:r>
                  <m:r>
                    <m:t>0.35</m:t>
                  </m:r>
                </m:e>
              </m:mr>
              <m:mr>
                <m:e>
                  <m:r>
                    <m:rPr>
                      <m:sty m:val="p"/>
                    </m:rPr>
                    <m:t>M</m:t>
                  </m:r>
                  <m:r>
                    <m:rPr>
                      <m:sty m:val="p"/>
                    </m:rPr>
                    <m:t>E</m:t>
                  </m:r>
                  <m:r>
                    <m:rPr>
                      <m:sty m:val="p"/>
                    </m:rPr>
                    <m:t>D</m:t>
                  </m:r>
                  <m:r>
                    <m:rPr>
                      <m:sty m:val="p"/>
                    </m:rPr>
                    <m:t>I</m:t>
                  </m:r>
                  <m:r>
                    <m:rPr>
                      <m:sty m:val="p"/>
                    </m:rPr>
                    <m:t>U</m:t>
                  </m:r>
                  <m:r>
                    <m:rPr>
                      <m:sty m:val="p"/>
                    </m:rPr>
                    <m:t>M</m:t>
                  </m:r>
                  <m:r>
                    <m:rPr>
                      <m:sty m:val="p"/>
                    </m:rPr>
                    <m:t>,</m:t>
                  </m:r>
                </m:e>
                <m:e>
                  <m:r>
                    <m:t>0.35</m:t>
                  </m:r>
                  <m:r>
                    <m:rPr>
                      <m:sty m:val="p"/>
                    </m:rPr>
                    <m:t>&lt;</m:t>
                  </m:r>
                  <m:sSub>
                    <m:e>
                      <m:r>
                        <m:t>r</m:t>
                      </m:r>
                    </m:e>
                    <m:sub>
                      <m:r>
                        <m:t>i</m:t>
                      </m:r>
                    </m:sub>
                  </m:sSub>
                  <m:r>
                    <m:rPr>
                      <m:sty m:val="p"/>
                    </m:rPr>
                    <m:t>≤</m:t>
                  </m:r>
                  <m:r>
                    <m:t>0.75</m:t>
                  </m:r>
                </m:e>
              </m:mr>
              <m:mr>
                <m:e>
                  <m:r>
                    <m:rPr>
                      <m:sty m:val="p"/>
                    </m:rPr>
                    <m:t>H</m:t>
                  </m:r>
                  <m:r>
                    <m:rPr>
                      <m:sty m:val="p"/>
                    </m:rPr>
                    <m:t>I</m:t>
                  </m:r>
                  <m:r>
                    <m:rPr>
                      <m:sty m:val="p"/>
                    </m:rPr>
                    <m:t>G</m:t>
                  </m:r>
                  <m:r>
                    <m:rPr>
                      <m:sty m:val="p"/>
                    </m:rPr>
                    <m:t>H</m:t>
                  </m:r>
                  <m:r>
                    <m:rPr>
                      <m:sty m:val="p"/>
                    </m:rPr>
                    <m:t>,</m:t>
                  </m:r>
                </m:e>
                <m:e>
                  <m:sSub>
                    <m:e>
                      <m:r>
                        <m:t>r</m:t>
                      </m:r>
                    </m:e>
                    <m:sub>
                      <m:r>
                        <m:t>i</m:t>
                      </m:r>
                    </m:sub>
                  </m:sSub>
                  <m:r>
                    <m:rPr>
                      <m:sty m:val="p"/>
                    </m:rPr>
                    <m:t>&gt;</m:t>
                  </m:r>
                  <m:r>
                    <m:t>0.75</m:t>
                  </m:r>
                </m:e>
              </m:mr>
            </m:m>
          </m:e>
        </m:d>
      </m:oMath>
      <w:r>
        <w:tab/>
        <w:t>(3.39)</w:t>
      </w:r>
    </w:p>
    <w:p>
      <w:pPr>
        <w:keepLines w:val="0"/>
        <w:spacing w:after="120"/>
        <w:ind w:firstLine="567"/>
      </w:pPr>
      <w:r>
        <w:t xml:space="preserve">Kết hợp quy tắc này với cấu trúc của lớp xác suất cho ra hai hệ quả. Thứ nhất, vì độ rộng theo nhóm tăng chậm hơn quy mô dự báo (mục 3.10.3), tử số S90 − S10 tăng chậm hơn mẫu số, nên r gần như đơn điệu giảm theo quy mô: tương quan hạng Spearman giữa P50 và r trên tệp kết quả của lần chạy chính thức bằng −0,970. Nhãn rủi ro vì vậy chủ yếu mã hóa quy mô chuỗi. Thứ hai, r có bước nhảy tại biên nhóm Mondrian. Trong 59 chuỗi có P50 trung bình mỗi ngày từ 800 đến dưới 1.226,78, tức phần trên của nhóm 8, có 12 chuỗi LOW và r từ 0,284 đến 0,599; trong 43 chuỗi từ 1.226,78 đến dưới 1.700, tức phần dưới của nhóm 9, không có chuỗi LOW nào và r từ 0,455 đến 0,767. Một chuỗi lớn hơn có thể nhận nhãn cao hơn chỉ vì dự báo theo ngày vượt qua một biên nhóm.</w:t>
      </w:r>
    </w:p>
    <w:p>
      <w:pPr>
        <w:keepLines w:val="0"/>
        <w:spacing w:after="120"/>
        <w:ind w:firstLine="567"/>
      </w:pPr>
      <w:r>
        <w:t xml:space="preserve">Hệ quả thực tiễn là nếu dùng nhãn này một mình để xếp hàng đợi xem xét, người lập kế hoạch sẽ được dẫn tới các chuỗi nhỏ trước, trong khi các chuỗi lớn, nơi sai số tuyệt đối có tác động khối lượng lớn nhất, lại thường bị xếp LOW. Luận văn không thay đổi quy tắc nhãn mà bù đắp ở lớp quyết định: điểm ưu tiên của Stage 08 cộng 3 điểm cho chuỗi quy mô lớn, nhiều hơn mức chênh giữa nhãn HIGH và LOW, nên chuỗi lớn không bị đẩy xuống cuối hàng đợi (mục 3.13.2). Các hướng cải tiến sâu hơn, chưa được thực hiện, gồm ngưỡng r theo quy mô hoặc theo nhóm Mondrian, và khi có dữ liệu giá, xếp hạng theo chi phí kỳ vọng của thiếu hàng và thừa hàng.</w:t>
      </w:r>
    </w:p>
    <w:p>
      <w:pPr>
        <w:keepLines w:val="0"/>
        <w:spacing w:after="120"/>
        <w:ind w:firstLine="567"/>
      </w:pPr>
      <w:r>
        <w:t xml:space="preserve">Cuối cùng, lớp tồn kho không phải hệ thống đặt hàng: dữ liệu không có giá bán, biên lợi nhuận, tồn kho hiện có hay thời gian cung ứng, nên mọi đại lượng ở 3.10 là mô phỏng theo giả định. Trong hệ thống thực, phân phối dự báo cần được chuyển thành phân phối nhu cầu trong thời gian cung ứng cộng chu kỳ xem xét, rồi kết hợp với vị thế tồn kho thực theo các chính sách như (s, S) hay (R, S) (Silver và cộng sự, 2017); Fildes và cộng sự (2022) cũng nhấn mạnh việc gắn dự báo bán lẻ với quyết định tồn kho ở đúng cấp chi tiết. Quy định mẫu POL-INV-001 ghi nhận chính giới hạn này.</w:t>
      </w:r>
    </w:p>
    <w:p>
      <w:pPr>
        <w:pStyle w:val="Heading2"/>
        <w:keepNext/>
      </w:pPr>
      <w:r>
        <w:t xml:space="preserve">3.13. Lớp Generative AI, RAG, HITL và dashboard</w:t>
      </w:r>
    </w:p>
    <w:p>
      <w:pPr>
        <w:pStyle w:val="Heading3"/>
        <w:keepNext/>
      </w:pPr>
      <w:r>
        <w:t xml:space="preserve">3.13.1. Vị trí của lớp Generative AI và gói bằng chứng</w:t>
      </w:r>
    </w:p>
    <w:p>
      <w:pPr>
        <w:keepLines w:val="0"/>
        <w:spacing w:after="120"/>
        <w:ind w:firstLine="567"/>
      </w:pPr>
      <w:r>
        <w:t xml:space="preserve">Lớp Generative AI (Stage 08, 08_genai_decision_support.py cùng các mô-đun src/genai/decision.py, rag.py và assistant.py) được đặt sau mọi mô-đun định lượng và không tham gia tạo dự báo. Lớp này tạo một phiếu khuyến nghị cho tất cả 1.782 chuỗi Store × Family, để hàng đợi ưu tiên được xếp trên toàn bộ danh mục thay vì trên một tập con chọn trước. Với mỗi chuỗi, bộ máy quy tắc dựng một gói bằng chứng (evidence package) gồm tổng P10/P50/P90, r và nhãn rủi ro; các đại lượng tồn kho của Stage 07; P10/P50/P90 theo ngày và ngày có P50 cao nhất; năm kịch bản khuyến mãi với chênh lệch tuyệt đối và tương đối so với Current; cùng bối cảnh hệ thống như ngưỡng chuỗi lớn và độ bao phủ ở nhóm nhu cầu cao nhất, do Stage 08 tự tính theo tứ phân vị doanh số thực tế từ final_holdout_predictions.parquet và probabilistic_predictions.parquet (cùng cách tính với error_by_demand_level.csv của Stage 11).</w:t>
      </w:r>
    </w:p>
    <w:p>
      <w:pPr>
        <w:keepLines w:val="0"/>
        <w:spacing w:after="120"/>
        <w:ind w:firstLine="567"/>
      </w:pPr>
      <w:r>
        <w:t xml:space="preserve">Nguyên tắc cốt lõi là mọi con số đều đến từ các mô-đun định lượng, còn lớp ngôn ngữ chỉ là giao diện diễn giải. Mỗi phiếu được lưu trong decision_cases.jsonl, hàng đợi trong decision_queue.csv, và 30 phiếu đầu hàng đợi được xuất thành tệp Markdown trong decision_briefs. Khi mô hình ngôn ngữ không phải tự tính toán hay ước đoán số liệu, nguy cơ ảo giác (hallucination), tức nội dung trôi chảy nhưng không trung thực với nguồn (Ji và cộng sự, 2023), được thu hẹp về phạm vi diễn giải, và mỗi câu có thể đối chiếu ngược với gói bằng chứng. Đây là thuộc tính thiết kế; độ trung thực thực tế của một mô hình ngôn ngữ chưa được đo vì chưa có lần gọi thật nào (mục 3.13.3).</w:t>
      </w:r>
    </w:p>
    <w:p>
      <w:pPr>
        <w:pStyle w:val="Heading3"/>
        <w:keepNext/>
      </w:pPr>
      <w:r>
        <w:t xml:space="preserve">3.13.2. Điểm ưu tiên, quy tắc khuyến nghị và cấu trúc phiếu</w:t>
      </w:r>
    </w:p>
    <w:p>
      <w:pPr>
        <w:keepLines w:val="0"/>
        <w:spacing w:after="120"/>
        <w:ind w:firstLine="567"/>
      </w:pPr>
      <w:r>
        <w:t xml:space="preserve">Hàng đợi quyết định được sắp xếp theo một điểm ưu tiên minh bạch, là tổng điểm của các mã lý do (reason codes) mà chuỗi thỏa mãn, như trình bày trong 3.11 và (3.40). Mã LARGE_SERIES được gán khi P50 trung bình mỗi ngày của chuỗi không nhỏ hơn phân vị 75% của P50 theo ngày trên toàn bộ tập kiểm tra cuối, một ngưỡng xấp xỉ 282,6 đơn vị mỗi ngày trong lần chạy. Mức +3 phản ánh tác động khối lượng lớn và độ bao phủ dưới danh nghĩa ở nhóm nhu cầu cao nhất. Mã RISK_HIGH/MEDIUM/LOW mang lại +2/+1/0 theo nhãn của Stage 07, còn PROMO_EXTRAPOLATION cộng +1 khi có kịch bản làm P50 thay đổi hơn 100% so với Current. Các chuỗi hòa điểm được xếp theo P50 giảm dần, tức ưu tiên tác động kinh doanh lớn trước.</w:t>
      </w:r>
    </w:p>
    <w:p>
      <w:pPr>
        <w:tabs>
          <w:tab w:val="center" w:pos="4535"/>
          <w:tab w:val="right" w:pos="9071"/>
        </w:tabs>
        <w:spacing w:before="60" w:after="60"/>
        <w:ind w:firstLine="0"/>
      </w:pPr>
      <w:r>
        <w:tab/>
      </w:r>
      <m:oMath xmlns:a="http://schemas.openxmlformats.org/drawingml/2006/main" xmlns:pic="http://schemas.openxmlformats.org/drawingml/2006/picture">
        <m:sSub>
          <m:e>
            <m:r>
              <m:rPr>
                <m:sty m:val="p"/>
              </m:rPr>
              <m:t>s</m:t>
            </m:r>
            <m:r>
              <m:rPr>
                <m:sty m:val="p"/>
              </m:rPr>
              <m:t>c</m:t>
            </m:r>
            <m:r>
              <m:rPr>
                <m:sty m:val="p"/>
              </m:rPr>
              <m:t>o</m:t>
            </m:r>
            <m:r>
              <m:rPr>
                <m:sty m:val="p"/>
              </m:rPr>
              <m:t>r</m:t>
            </m:r>
            <m:r>
              <m:rPr>
                <m:sty m:val="p"/>
              </m:rPr>
              <m:t>e</m:t>
            </m:r>
          </m:e>
          <m:sub>
            <m:r>
              <m:t>i</m:t>
            </m:r>
          </m:sub>
        </m:sSub>
        <m:r>
          <m:rPr>
            <m:sty m:val="p"/>
          </m:rPr>
          <m:t>=</m:t>
        </m:r>
        <m:r>
          <m:t>3</m:t>
        </m:r>
        <m:r>
          <m:rPr>
            <m:sty m:val="p"/>
          </m:rPr>
          <m:t>⋅</m:t>
        </m:r>
        <m:r>
          <m:rPr>
            <m:sty m:val="b"/>
          </m:rPr>
          <m:t>1</m:t>
        </m:r>
        <m:r>
          <m:rPr>
            <m:sty m:val="p"/>
          </m:rPr>
          <m:t>{</m:t>
        </m:r>
        <m:sSub>
          <m:e>
            <m:acc>
              <m:accPr>
                <m:chr m:val="‾"/>
              </m:accPr>
              <m:e>
                <m:r>
                  <m:t>P</m:t>
                </m:r>
              </m:e>
            </m:acc>
          </m:e>
          <m:sub>
            <m:r>
              <m:t>50</m:t>
            </m:r>
            <m:r>
              <m:rPr>
                <m:sty m:val="p"/>
              </m:rPr>
              <m:t>,</m:t>
            </m:r>
            <m:r>
              <m:t>i</m:t>
            </m:r>
          </m:sub>
        </m:sSub>
        <m:r>
          <m:rPr>
            <m:sty m:val="p"/>
          </m:rPr>
          <m:t>≥</m:t>
        </m:r>
        <m:sSub>
          <m:e>
            <m:r>
              <m:t>Q</m:t>
            </m:r>
          </m:e>
          <m:sub>
            <m:r>
              <m:t>0.75</m:t>
            </m:r>
          </m:sub>
        </m:sSub>
        <m:d>
          <m:dPr>
            <m:begChr m:val="("/>
            <m:sepChr m:val=""/>
            <m:endChr m:val=")"/>
            <m:grow/>
          </m:dPr>
          <m:e>
            <m:sSub>
              <m:e>
                <m:r>
                  <m:t>P</m:t>
                </m:r>
              </m:e>
              <m:sub>
                <m:r>
                  <m:t>50</m:t>
                </m:r>
              </m:sub>
            </m:sSub>
          </m:e>
        </m:d>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2</m:t>
                  </m:r>
                  <m:r>
                    <m:rPr>
                      <m:sty m:val="p"/>
                    </m:rPr>
                    <m:t>,</m:t>
                  </m:r>
                </m:e>
                <m:e>
                  <m:r>
                    <m:rPr>
                      <m:sty m:val="p"/>
                    </m:rPr>
                    <m:t>H</m:t>
                  </m:r>
                  <m:r>
                    <m:rPr>
                      <m:sty m:val="p"/>
                    </m:rPr>
                    <m:t>I</m:t>
                  </m:r>
                  <m:r>
                    <m:rPr>
                      <m:sty m:val="p"/>
                    </m:rPr>
                    <m:t>G</m:t>
                  </m:r>
                  <m:r>
                    <m:rPr>
                      <m:sty m:val="p"/>
                    </m:rPr>
                    <m:t>H</m:t>
                  </m:r>
                </m:e>
              </m:mr>
              <m:mr>
                <m:e>
                  <m:r>
                    <m:t>1</m:t>
                  </m:r>
                  <m:r>
                    <m:rPr>
                      <m:sty m:val="p"/>
                    </m:rPr>
                    <m:t>,</m:t>
                  </m:r>
                </m:e>
                <m:e>
                  <m:r>
                    <m:rPr>
                      <m:sty m:val="p"/>
                    </m:rPr>
                    <m:t>M</m:t>
                  </m:r>
                  <m:r>
                    <m:rPr>
                      <m:sty m:val="p"/>
                    </m:rPr>
                    <m:t>E</m:t>
                  </m:r>
                  <m:r>
                    <m:rPr>
                      <m:sty m:val="p"/>
                    </m:rPr>
                    <m:t>D</m:t>
                  </m:r>
                  <m:r>
                    <m:rPr>
                      <m:sty m:val="p"/>
                    </m:rPr>
                    <m:t>I</m:t>
                  </m:r>
                  <m:r>
                    <m:rPr>
                      <m:sty m:val="p"/>
                    </m:rPr>
                    <m:t>U</m:t>
                  </m:r>
                  <m:r>
                    <m:rPr>
                      <m:sty m:val="p"/>
                    </m:rPr>
                    <m:t>M</m:t>
                  </m:r>
                </m:e>
              </m:mr>
              <m:mr>
                <m:e>
                  <m:r>
                    <m:t>0</m:t>
                  </m:r>
                  <m:r>
                    <m:rPr>
                      <m:sty m:val="p"/>
                    </m:rPr>
                    <m:t>,</m:t>
                  </m:r>
                </m:e>
                <m:e>
                  <m:r>
                    <m:rPr>
                      <m:sty m:val="p"/>
                    </m:rPr>
                    <m:t>L</m:t>
                  </m:r>
                  <m:r>
                    <m:rPr>
                      <m:sty m:val="p"/>
                    </m:rPr>
                    <m:t>O</m:t>
                  </m:r>
                  <m:r>
                    <m:rPr>
                      <m:sty m:val="p"/>
                    </m:rPr>
                    <m:t>W</m:t>
                  </m:r>
                </m:e>
              </m:mr>
            </m:m>
          </m:e>
        </m:d>
        <m:r>
          <m:rPr>
            <m:sty m:val="p"/>
          </m:rPr>
          <m:t>+</m:t>
        </m:r>
        <m:r>
          <m:rPr>
            <m:sty m:val="b"/>
          </m:rPr>
          <m:t>1</m:t>
        </m:r>
        <m:d>
          <m:dPr>
            <m:begChr m:val="{"/>
            <m:sepChr m:val=""/>
            <m:endChr m:val="}"/>
            <m:grow/>
          </m:dPr>
          <m:e>
            <m:limLow>
              <m:e>
                <m:r>
                  <m:rPr>
                    <m:sty m:val="p"/>
                  </m:rPr>
                  <m:t>max</m:t>
                </m:r>
              </m:e>
              <m:lim>
                <m:r>
                  <m:t>s</m:t>
                </m:r>
                <m:r>
                  <m:rPr>
                    <m:sty m:val="p"/>
                  </m:rPr>
                  <m:t>≠</m:t>
                </m:r>
                <m:r>
                  <m:rPr>
                    <m:sty m:val="p"/>
                  </m:rPr>
                  <m:t>C</m:t>
                </m:r>
                <m:r>
                  <m:rPr>
                    <m:sty m:val="p"/>
                  </m:rPr>
                  <m:t>u</m:t>
                </m:r>
                <m:r>
                  <m:rPr>
                    <m:sty m:val="p"/>
                  </m:rPr>
                  <m:t>r</m:t>
                </m:r>
                <m:r>
                  <m:rPr>
                    <m:sty m:val="p"/>
                  </m:rPr>
                  <m:t>r</m:t>
                </m:r>
                <m:r>
                  <m:rPr>
                    <m:sty m:val="p"/>
                  </m:rPr>
                  <m:t>e</m:t>
                </m:r>
                <m:r>
                  <m:rPr>
                    <m:sty m:val="p"/>
                  </m:rPr>
                  <m:t>n</m:t>
                </m:r>
                <m:r>
                  <m:rPr>
                    <m:sty m:val="p"/>
                  </m:rPr>
                  <m:t>t</m:t>
                </m:r>
              </m:lim>
            </m:limLow>
            <m:f>
              <m:fPr>
                <m:type m:val="bar"/>
              </m:fPr>
              <m:num>
                <m:d>
                  <m:dPr>
                    <m:begChr m:val="|"/>
                    <m:sepChr m:val=""/>
                    <m:endChr m:val="|"/>
                    <m:grow/>
                  </m:dPr>
                  <m:e>
                    <m:sSubSup>
                      <m:e>
                        <m:r>
                          <m:t>Δ</m:t>
                        </m:r>
                      </m:e>
                      <m:sub>
                        <m:r>
                          <m:t>i</m:t>
                        </m:r>
                      </m:sub>
                      <m:sup>
                        <m:d>
                          <m:dPr>
                            <m:begChr m:val="("/>
                            <m:sepChr m:val=""/>
                            <m:endChr m:val=")"/>
                            <m:grow/>
                          </m:dPr>
                          <m:e>
                            <m:r>
                              <m:t>s</m:t>
                            </m:r>
                          </m:e>
                        </m:d>
                      </m:sup>
                    </m:sSubSup>
                  </m:e>
                </m:d>
              </m:num>
              <m:den>
                <m:sSubSup>
                  <m:e>
                    <m:r>
                      <m:t>S</m:t>
                    </m:r>
                  </m:e>
                  <m:sub>
                    <m:r>
                      <m:t>0.5</m:t>
                    </m:r>
                  </m:sub>
                  <m:sup>
                    <m:d>
                      <m:dPr>
                        <m:begChr m:val="("/>
                        <m:sepChr m:val=""/>
                        <m:endChr m:val=")"/>
                        <m:grow/>
                      </m:dPr>
                      <m:e>
                        <m:r>
                          <m:rPr>
                            <m:sty m:val="p"/>
                          </m:rPr>
                          <m:t>C</m:t>
                        </m:r>
                        <m:r>
                          <m:rPr>
                            <m:sty m:val="p"/>
                          </m:rPr>
                          <m:t>u</m:t>
                        </m:r>
                        <m:r>
                          <m:rPr>
                            <m:sty m:val="p"/>
                          </m:rPr>
                          <m:t>r</m:t>
                        </m:r>
                        <m:r>
                          <m:rPr>
                            <m:sty m:val="p"/>
                          </m:rPr>
                          <m:t>r</m:t>
                        </m:r>
                        <m:r>
                          <m:rPr>
                            <m:sty m:val="p"/>
                          </m:rPr>
                          <m:t>e</m:t>
                        </m:r>
                        <m:r>
                          <m:rPr>
                            <m:sty m:val="p"/>
                          </m:rPr>
                          <m:t>n</m:t>
                        </m:r>
                        <m:r>
                          <m:rPr>
                            <m:sty m:val="p"/>
                          </m:rPr>
                          <m:t>t</m:t>
                        </m:r>
                      </m:e>
                    </m:d>
                  </m:sup>
                </m:sSubSup>
                <m:d>
                  <m:dPr>
                    <m:begChr m:val="("/>
                    <m:sepChr m:val=""/>
                    <m:endChr m:val=")"/>
                    <m:grow/>
                  </m:dPr>
                  <m:e>
                    <m:r>
                      <m:t>i</m:t>
                    </m:r>
                  </m:e>
                </m:d>
              </m:den>
            </m:f>
            <m:r>
              <m:rPr>
                <m:sty m:val="p"/>
              </m:rPr>
              <m:t>&gt;</m:t>
            </m:r>
            <m:r>
              <m:t>1</m:t>
            </m:r>
          </m:e>
        </m:d>
      </m:oMath>
      <w:r>
        <w:tab/>
        <w:t>(3.40)</w:t>
      </w:r>
    </w:p>
    <w:p>
      <w:pPr>
        <w:keepNext/>
        <w:spacing w:before="120" w:after="60"/>
        <w:ind w:firstLine="0"/>
        <w:jc w:val="center"/>
      </w:pPr>
      <w:r>
        <w:t xml:space="preserve">Bảng 3.11. Mã lý do và điểm ưu tiên của hàng đợi quyết định (Stage 08)</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663"/>
        <w:gridCol w:w="1079"/>
        <w:gridCol w:w="2726"/>
        <w:gridCol w:w="3603"/>
      </w:tblGrid>
      <w:tr>
        <w:trPr>
          <w:tblHeader/>
          <w:cantSplit/>
        </w:trPr>
        <w:tc>
          <w:tcPr>
            <w:tcW w:type="dxa" w:w="1663"/>
            <w:shd w:val="clear" w:color="auto" w:fill="D9E2F3"/>
            <w:vAlign w:val="center"/>
          </w:tcPr>
          <w:p>
            <w:pPr>
              <w:spacing w:before="20" w:after="20" w:line="260" w:lineRule="auto"/>
              <w:ind w:firstLine="0"/>
              <w:jc w:val="center"/>
            </w:pPr>
            <w:r>
              <w:rPr>
                <w:b/>
                <w:sz w:val="20"/>
                <w:szCs w:val="20"/>
              </w:rPr>
              <w:t xml:space="preserve">Mã lý do</w:t>
            </w:r>
          </w:p>
        </w:tc>
        <w:tc>
          <w:tcPr>
            <w:tcW w:type="dxa" w:w="1079"/>
            <w:shd w:val="clear" w:color="auto" w:fill="D9E2F3"/>
            <w:vAlign w:val="center"/>
          </w:tcPr>
          <w:p>
            <w:pPr>
              <w:spacing w:before="20" w:after="20" w:line="260" w:lineRule="auto"/>
              <w:ind w:firstLine="0"/>
              <w:jc w:val="center"/>
            </w:pPr>
            <w:r>
              <w:rPr>
                <w:b/>
                <w:sz w:val="20"/>
                <w:szCs w:val="20"/>
              </w:rPr>
              <w:t xml:space="preserve">Điểm</w:t>
            </w:r>
          </w:p>
        </w:tc>
        <w:tc>
          <w:tcPr>
            <w:tcW w:type="dxa" w:w="2726"/>
            <w:shd w:val="clear" w:color="auto" w:fill="D9E2F3"/>
            <w:vAlign w:val="center"/>
          </w:tcPr>
          <w:p>
            <w:pPr>
              <w:spacing w:before="20" w:after="20" w:line="260" w:lineRule="auto"/>
              <w:ind w:firstLine="0"/>
              <w:jc w:val="center"/>
            </w:pPr>
            <w:r>
              <w:rPr>
                <w:b/>
                <w:sz w:val="20"/>
                <w:szCs w:val="20"/>
              </w:rPr>
              <w:t xml:space="preserve">Điều kiện</w:t>
            </w:r>
          </w:p>
        </w:tc>
        <w:tc>
          <w:tcPr>
            <w:tcW w:type="dxa" w:w="3603"/>
            <w:shd w:val="clear" w:color="auto" w:fill="D9E2F3"/>
            <w:vAlign w:val="center"/>
          </w:tcPr>
          <w:p>
            <w:pPr>
              <w:spacing w:before="20" w:after="20" w:line="260" w:lineRule="auto"/>
              <w:ind w:firstLine="0"/>
              <w:jc w:val="center"/>
            </w:pPr>
            <w:r>
              <w:rPr>
                <w:b/>
                <w:sz w:val="20"/>
                <w:szCs w:val="20"/>
              </w:rPr>
              <w:t xml:space="preserve">Tác động tới khuyến nghị</w:t>
            </w:r>
          </w:p>
        </w:tc>
      </w:tr>
      <w:tr>
        <w:trPr>
          <w:cantSplit/>
        </w:trPr>
        <w:tc>
          <w:tcPr>
            <w:tcW w:type="dxa" w:w="1663"/>
            <w:vAlign w:val="center"/>
          </w:tcPr>
          <w:p>
            <w:pPr>
              <w:spacing w:before="20" w:after="20" w:line="260" w:lineRule="auto"/>
              <w:ind w:firstLine="0"/>
              <w:jc w:val="left"/>
            </w:pPr>
            <w:r>
              <w:rPr>
                <w:sz w:val="20"/>
                <w:szCs w:val="20"/>
              </w:rPr>
              <w:t xml:space="preserve">LARGE_SERIES</w:t>
            </w:r>
          </w:p>
        </w:tc>
        <w:tc>
          <w:tcPr>
            <w:tcW w:type="dxa" w:w="1079"/>
            <w:vAlign w:val="center"/>
          </w:tcPr>
          <w:p>
            <w:pPr>
              <w:spacing w:before="20" w:after="20" w:line="260" w:lineRule="auto"/>
              <w:ind w:firstLine="0"/>
              <w:jc w:val="left"/>
            </w:pPr>
            <w:r>
              <w:rPr>
                <w:sz w:val="20"/>
                <w:szCs w:val="20"/>
              </w:rPr>
              <w:t xml:space="preserve">+3</w:t>
            </w:r>
          </w:p>
        </w:tc>
        <w:tc>
          <w:tcPr>
            <w:tcW w:type="dxa" w:w="2726"/>
            <w:vAlign w:val="center"/>
          </w:tcPr>
          <w:p>
            <w:pPr>
              <w:spacing w:before="20" w:after="20" w:line="260" w:lineRule="auto"/>
              <w:ind w:firstLine="0"/>
              <w:jc w:val="left"/>
            </w:pPr>
            <w:r>
              <w:rPr>
                <w:sz w:val="20"/>
                <w:szCs w:val="20"/>
              </w:rPr>
              <w:t xml:space="preserve">P50 trung bình/ngày ≥ phân vị 75% của P50 theo ngày</w:t>
            </w:r>
          </w:p>
        </w:tc>
        <w:tc>
          <w:tcPr>
            <w:tcW w:type="dxa" w:w="3603"/>
            <w:vAlign w:val="center"/>
          </w:tcPr>
          <w:p>
            <w:pPr>
              <w:spacing w:before="20" w:after="20" w:line="260" w:lineRule="auto"/>
              <w:ind w:firstLine="0"/>
              <w:jc w:val="left"/>
            </w:pPr>
            <w:r>
              <w:rPr>
                <w:sz w:val="20"/>
                <w:szCs w:val="20"/>
              </w:rPr>
              <w:t xml:space="preserve">Hành động BỔ SUNG THEO P90 · RÀ SOÁT KHOẢNG DỰ BÁO; trích dẫn POL-INV-004; mức tin cậy −1</w:t>
            </w:r>
          </w:p>
        </w:tc>
      </w:tr>
      <w:tr>
        <w:trPr>
          <w:cantSplit/>
        </w:trPr>
        <w:tc>
          <w:tcPr>
            <w:tcW w:type="dxa" w:w="1663"/>
            <w:vAlign w:val="center"/>
          </w:tcPr>
          <w:p>
            <w:pPr>
              <w:spacing w:before="20" w:after="20" w:line="260" w:lineRule="auto"/>
              <w:ind w:firstLine="0"/>
              <w:jc w:val="left"/>
            </w:pPr>
            <w:r>
              <w:rPr>
                <w:sz w:val="20"/>
                <w:szCs w:val="20"/>
              </w:rPr>
              <w:t xml:space="preserve">RISK_HIGH</w:t>
            </w:r>
          </w:p>
        </w:tc>
        <w:tc>
          <w:tcPr>
            <w:tcW w:type="dxa" w:w="1079"/>
            <w:vAlign w:val="center"/>
          </w:tcPr>
          <w:p>
            <w:pPr>
              <w:spacing w:before="20" w:after="20" w:line="260" w:lineRule="auto"/>
              <w:ind w:firstLine="0"/>
              <w:jc w:val="left"/>
            </w:pPr>
            <w:r>
              <w:rPr>
                <w:sz w:val="20"/>
                <w:szCs w:val="20"/>
              </w:rPr>
              <w:t xml:space="preserve">+2</w:t>
            </w:r>
          </w:p>
        </w:tc>
        <w:tc>
          <w:tcPr>
            <w:tcW w:type="dxa" w:w="2726"/>
            <w:vAlign w:val="center"/>
          </w:tcPr>
          <w:p>
            <w:pPr>
              <w:spacing w:before="20" w:after="20" w:line="260" w:lineRule="auto"/>
              <w:ind w:firstLine="0"/>
              <w:jc w:val="left"/>
            </w:pPr>
            <w:r>
              <w:rPr>
                <w:sz w:val="20"/>
                <w:szCs w:val="20"/>
              </w:rPr>
              <w:t xml:space="preserve">Nhãn Stage 07 là HIGH (r &gt; 0,75)</w:t>
            </w:r>
          </w:p>
        </w:tc>
        <w:tc>
          <w:tcPr>
            <w:tcW w:type="dxa" w:w="3603"/>
            <w:vAlign w:val="center"/>
          </w:tcPr>
          <w:p>
            <w:pPr>
              <w:spacing w:before="20" w:after="20" w:line="260" w:lineRule="auto"/>
              <w:ind w:firstLine="0"/>
              <w:jc w:val="left"/>
            </w:pPr>
            <w:r>
              <w:rPr>
                <w:sz w:val="20"/>
                <w:szCs w:val="20"/>
              </w:rPr>
              <w:t xml:space="preserve">Nếu không phải chuỗi lớn: BỔ SUNG THẬN TRỌNG, phương án B, POL-INV-005; mức tin cậy −1</w:t>
            </w:r>
          </w:p>
        </w:tc>
      </w:tr>
      <w:tr>
        <w:trPr>
          <w:cantSplit/>
        </w:trPr>
        <w:tc>
          <w:tcPr>
            <w:tcW w:type="dxa" w:w="1663"/>
            <w:vAlign w:val="center"/>
          </w:tcPr>
          <w:p>
            <w:pPr>
              <w:spacing w:before="20" w:after="20" w:line="260" w:lineRule="auto"/>
              <w:ind w:firstLine="0"/>
              <w:jc w:val="left"/>
            </w:pPr>
            <w:r>
              <w:rPr>
                <w:sz w:val="20"/>
                <w:szCs w:val="20"/>
              </w:rPr>
              <w:t xml:space="preserve">RISK_MEDIUM</w:t>
            </w:r>
          </w:p>
        </w:tc>
        <w:tc>
          <w:tcPr>
            <w:tcW w:type="dxa" w:w="1079"/>
            <w:vAlign w:val="center"/>
          </w:tcPr>
          <w:p>
            <w:pPr>
              <w:spacing w:before="20" w:after="20" w:line="260" w:lineRule="auto"/>
              <w:ind w:firstLine="0"/>
              <w:jc w:val="left"/>
            </w:pPr>
            <w:r>
              <w:rPr>
                <w:sz w:val="20"/>
                <w:szCs w:val="20"/>
              </w:rPr>
              <w:t xml:space="preserve">+1</w:t>
            </w:r>
          </w:p>
        </w:tc>
        <w:tc>
          <w:tcPr>
            <w:tcW w:type="dxa" w:w="2726"/>
            <w:vAlign w:val="center"/>
          </w:tcPr>
          <w:p>
            <w:pPr>
              <w:spacing w:before="20" w:after="20" w:line="260" w:lineRule="auto"/>
              <w:ind w:firstLine="0"/>
              <w:jc w:val="left"/>
            </w:pPr>
            <w:r>
              <w:rPr>
                <w:sz w:val="20"/>
                <w:szCs w:val="20"/>
              </w:rPr>
              <w:t xml:space="preserve">Nhãn Stage 07 là MEDIUM</w:t>
            </w:r>
          </w:p>
        </w:tc>
        <w:tc>
          <w:tcPr>
            <w:tcW w:type="dxa" w:w="3603"/>
            <w:vAlign w:val="center"/>
          </w:tcPr>
          <w:p>
            <w:pPr>
              <w:spacing w:before="20" w:after="20" w:line="260" w:lineRule="auto"/>
              <w:ind w:firstLine="0"/>
              <w:jc w:val="left"/>
            </w:pPr>
            <w:r>
              <w:rPr>
                <w:sz w:val="20"/>
                <w:szCs w:val="20"/>
              </w:rPr>
              <w:t xml:space="preserve">Không đổi hành động</w:t>
            </w:r>
          </w:p>
        </w:tc>
      </w:tr>
      <w:tr>
        <w:trPr>
          <w:cantSplit/>
        </w:trPr>
        <w:tc>
          <w:tcPr>
            <w:tcW w:type="dxa" w:w="1663"/>
            <w:vAlign w:val="center"/>
          </w:tcPr>
          <w:p>
            <w:pPr>
              <w:spacing w:before="20" w:after="20" w:line="260" w:lineRule="auto"/>
              <w:ind w:firstLine="0"/>
              <w:jc w:val="left"/>
            </w:pPr>
            <w:r>
              <w:rPr>
                <w:sz w:val="20"/>
                <w:szCs w:val="20"/>
              </w:rPr>
              <w:t xml:space="preserve">RISK_LOW</w:t>
            </w:r>
          </w:p>
        </w:tc>
        <w:tc>
          <w:tcPr>
            <w:tcW w:type="dxa" w:w="1079"/>
            <w:vAlign w:val="center"/>
          </w:tcPr>
          <w:p>
            <w:pPr>
              <w:spacing w:before="20" w:after="20" w:line="260" w:lineRule="auto"/>
              <w:ind w:firstLine="0"/>
              <w:jc w:val="center"/>
            </w:pPr>
            <w:r>
              <w:rPr>
                <w:sz w:val="20"/>
                <w:szCs w:val="20"/>
              </w:rPr>
              <w:t xml:space="preserve">0</w:t>
            </w:r>
          </w:p>
        </w:tc>
        <w:tc>
          <w:tcPr>
            <w:tcW w:type="dxa" w:w="2726"/>
            <w:vAlign w:val="center"/>
          </w:tcPr>
          <w:p>
            <w:pPr>
              <w:spacing w:before="20" w:after="20" w:line="260" w:lineRule="auto"/>
              <w:ind w:firstLine="0"/>
              <w:jc w:val="left"/>
            </w:pPr>
            <w:r>
              <w:rPr>
                <w:sz w:val="20"/>
                <w:szCs w:val="20"/>
              </w:rPr>
              <w:t xml:space="preserve">Nhãn Stage 07 là LOW</w:t>
            </w:r>
          </w:p>
        </w:tc>
        <w:tc>
          <w:tcPr>
            <w:tcW w:type="dxa" w:w="3603"/>
            <w:vAlign w:val="center"/>
          </w:tcPr>
          <w:p>
            <w:pPr>
              <w:spacing w:before="20" w:after="20" w:line="260" w:lineRule="auto"/>
              <w:ind w:firstLine="0"/>
              <w:jc w:val="left"/>
            </w:pPr>
            <w:r>
              <w:rPr>
                <w:sz w:val="20"/>
                <w:szCs w:val="20"/>
              </w:rPr>
              <w:t xml:space="preserve">Không đổi hành động</w:t>
            </w:r>
          </w:p>
        </w:tc>
      </w:tr>
      <w:tr>
        <w:trPr>
          <w:cantSplit/>
        </w:trPr>
        <w:tc>
          <w:tcPr>
            <w:tcW w:type="dxa" w:w="1663"/>
            <w:vAlign w:val="center"/>
          </w:tcPr>
          <w:p>
            <w:pPr>
              <w:spacing w:before="20" w:after="20" w:line="260" w:lineRule="auto"/>
              <w:ind w:firstLine="0"/>
              <w:jc w:val="left"/>
            </w:pPr>
            <w:r>
              <w:rPr>
                <w:sz w:val="20"/>
                <w:szCs w:val="20"/>
              </w:rPr>
              <w:t xml:space="preserve">PROMO_EXTRAPOLATION</w:t>
            </w:r>
          </w:p>
        </w:tc>
        <w:tc>
          <w:tcPr>
            <w:tcW w:type="dxa" w:w="1079"/>
            <w:vAlign w:val="center"/>
          </w:tcPr>
          <w:p>
            <w:pPr>
              <w:spacing w:before="20" w:after="20" w:line="260" w:lineRule="auto"/>
              <w:ind w:firstLine="0"/>
              <w:jc w:val="left"/>
            </w:pPr>
            <w:r>
              <w:rPr>
                <w:sz w:val="20"/>
                <w:szCs w:val="20"/>
              </w:rPr>
              <w:t xml:space="preserve">+1</w:t>
            </w:r>
          </w:p>
        </w:tc>
        <w:tc>
          <w:tcPr>
            <w:tcW w:type="dxa" w:w="2726"/>
            <w:vAlign w:val="center"/>
          </w:tcPr>
          <w:p>
            <w:pPr>
              <w:spacing w:before="20" w:after="20" w:line="260" w:lineRule="auto"/>
              <w:ind w:firstLine="0"/>
              <w:jc w:val="left"/>
            </w:pPr>
            <w:r>
              <w:rPr>
                <w:sz w:val="20"/>
                <w:szCs w:val="20"/>
              </w:rPr>
              <w:t xml:space="preserve">Có kịch bản làm P50 thay đổi &gt; 100% so với Current</w:t>
            </w:r>
          </w:p>
        </w:tc>
        <w:tc>
          <w:tcPr>
            <w:tcW w:type="dxa" w:w="3603"/>
            <w:vAlign w:val="center"/>
          </w:tcPr>
          <w:p>
            <w:pPr>
              <w:spacing w:before="20" w:after="20" w:line="260" w:lineRule="auto"/>
              <w:ind w:firstLine="0"/>
              <w:jc w:val="left"/>
            </w:pPr>
            <w:r>
              <w:rPr>
                <w:sz w:val="20"/>
                <w:szCs w:val="20"/>
              </w:rPr>
              <w:t xml:space="preserve">Cảnh báo ngoại suy; trích dẫn POL-PROMO-004; loại kịch bản đó khỏi căn cứ khuyến mãi</w:t>
            </w:r>
          </w:p>
        </w:tc>
      </w:tr>
      <w:tr>
        <w:trPr>
          <w:cantSplit/>
        </w:trPr>
        <w:tc>
          <w:tcPr>
            <w:tcW w:type="dxa" w:w="1663"/>
            <w:vAlign w:val="center"/>
          </w:tcPr>
          <w:p>
            <w:pPr>
              <w:spacing w:before="20" w:after="20" w:line="260" w:lineRule="auto"/>
              <w:ind w:firstLine="0"/>
              <w:jc w:val="left"/>
            </w:pPr>
            <w:r>
              <w:rPr>
                <w:sz w:val="20"/>
                <w:szCs w:val="20"/>
              </w:rPr>
              <w:t xml:space="preserve">Phân định hòa điểm</w:t>
            </w:r>
          </w:p>
        </w:tc>
        <w:tc>
          <w:tcPr>
            <w:tcW w:type="dxa" w:w="1079"/>
            <w:vAlign w:val="center"/>
          </w:tcPr>
          <w:p>
            <w:pPr>
              <w:spacing w:before="20" w:after="20" w:line="260" w:lineRule="auto"/>
              <w:ind w:firstLine="0"/>
              <w:jc w:val="left"/>
            </w:pPr>
            <w:r>
              <w:rPr>
                <w:sz w:val="20"/>
                <w:szCs w:val="20"/>
              </w:rPr>
              <w:t xml:space="preserve">—</w:t>
            </w:r>
          </w:p>
        </w:tc>
        <w:tc>
          <w:tcPr>
            <w:tcW w:type="dxa" w:w="2726"/>
            <w:vAlign w:val="center"/>
          </w:tcPr>
          <w:p>
            <w:pPr>
              <w:spacing w:before="20" w:after="20" w:line="260" w:lineRule="auto"/>
              <w:ind w:firstLine="0"/>
              <w:jc w:val="left"/>
            </w:pPr>
            <w:r>
              <w:rPr>
                <w:sz w:val="20"/>
                <w:szCs w:val="20"/>
              </w:rPr>
              <w:t xml:space="preserve">Cùng điểm ưu tiên</w:t>
            </w:r>
          </w:p>
        </w:tc>
        <w:tc>
          <w:tcPr>
            <w:tcW w:type="dxa" w:w="3603"/>
            <w:vAlign w:val="center"/>
          </w:tcPr>
          <w:p>
            <w:pPr>
              <w:spacing w:before="20" w:after="20" w:line="260" w:lineRule="auto"/>
              <w:ind w:firstLine="0"/>
              <w:jc w:val="left"/>
            </w:pPr>
            <w:r>
              <w:rPr>
                <w:sz w:val="20"/>
                <w:szCs w:val="20"/>
              </w:rPr>
              <w:t xml:space="preserve">Xếp theo P50 giảm dần</w:t>
            </w:r>
          </w:p>
        </w:tc>
      </w:tr>
    </w:tbl>
    <w:p>
      <w:pPr>
        <w:spacing w:before="40" w:after="160"/>
        <w:ind w:firstLine="0"/>
      </w:pPr>
      <w:r>
        <w:rPr>
          <w:i/>
          <w:sz w:val="22"/>
          <w:szCs w:val="22"/>
        </w:rPr>
        <w:t xml:space="preserve">Nguồn: tổng hợp của tác giả từ src/genai/decision.py và 08_genai_decision_support.py.</w:t>
      </w:r>
    </w:p>
    <w:p>
      <w:pPr>
        <w:keepLines w:val="0"/>
        <w:spacing w:after="120"/>
        <w:ind w:firstLine="567"/>
      </w:pPr>
      <w:r>
        <w:t xml:space="preserve">Từ các mã lý do, bộ máy quy tắc suy ra khuyến nghị theo ba bước. Về tồn kho, chuỗi HIGH không phải chuỗi lớn nhận hành động BỔ SUNG THẬN TRỌNG với phương án B, căn cứ POL-INV-005; chuỗi lớn nhận BỔ SUNG THEO P90 · RÀ SOÁT KHOẢNG DỰ BÁO với phương án C, căn cứ POL-INV-004 và POL-INV-002; các chuỗi còn lại nhận BỔ SUNG THEO P90, căn cứ POL-INV-002. Về khuyến mãi, phiếu ghi CÂN NHẮC THỬ NGHIỆM nếu có kịch bản nằm trong miền |Δ| ≤ 100% làm P50 tăng hơn 2%, ngược lại ghi KHÔNG ĐỀ XUẤT TĂNG, kèm cảnh báo ngoại suy khi cần. Về mức tin cậy, điểm xuất phát là 3, trừ 1 nếu có RISK_HIGH và trừ 1 nếu có LARGE_SERIES, rồi quy đổi thành CAO, TRUNG BÌNH hoặc THẤP. Mức tin cậy do đó phản ánh độ tin cậy của khoảng dự báo, không phải xác suất khuyến nghị đúng.</w:t>
      </w:r>
    </w:p>
    <w:p>
      <w:pPr>
        <w:keepLines w:val="0"/>
        <w:spacing w:after="120"/>
        <w:ind w:firstLine="567"/>
      </w:pPr>
      <w:r>
        <w:t xml:space="preserve">Nội dung của mỗi phiếu được chuẩn hóa thành các phần cố định, tóm tắt trong 3.12. Ba phương án số lượng luôn được trình bày song song để người phê duyệt thấy đánh đổi giữa thiếu hàng và tồn dư, đúng như quy định mẫu POL-INV-003; phương án được đề xuất được đánh dấu nhưng không loại bỏ các phương án khác. Phần giả định và danh mục kiểm tra nhắc người phê duyệt rằng các con số dựa trên vị thế tồn kho giả định và cần được so sánh với tồn kho và lịch giao hàng thực. Mục 4.12 phân tích toàn văn phiếu đầu hàng đợi như một ví dụ minh họa cấu trúc này.</w:t>
      </w:r>
    </w:p>
    <w:p>
      <w:pPr>
        <w:keepNext/>
        <w:spacing w:before="120" w:after="60"/>
        <w:ind w:firstLine="0"/>
        <w:jc w:val="center"/>
      </w:pPr>
      <w:r>
        <w:t xml:space="preserve">Bảng 3.12. Cấu trúc chuẩn của phiếu khuyến nghị (decision_briefs/*.md và trang 07 của dashboard)</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176"/>
        <w:gridCol w:w="4676"/>
        <w:gridCol w:w="2219"/>
      </w:tblGrid>
      <w:tr>
        <w:trPr>
          <w:tblHeader/>
          <w:cantSplit/>
        </w:trPr>
        <w:tc>
          <w:tcPr>
            <w:tcW w:type="dxa" w:w="2176"/>
            <w:shd w:val="clear" w:color="auto" w:fill="D9E2F3"/>
            <w:vAlign w:val="center"/>
          </w:tcPr>
          <w:p>
            <w:pPr>
              <w:spacing w:before="20" w:after="20" w:line="260" w:lineRule="auto"/>
              <w:ind w:firstLine="0"/>
              <w:jc w:val="center"/>
            </w:pPr>
            <w:r>
              <w:rPr>
                <w:b/>
                <w:sz w:val="20"/>
                <w:szCs w:val="20"/>
              </w:rPr>
              <w:t xml:space="preserve">Phần</w:t>
            </w:r>
          </w:p>
        </w:tc>
        <w:tc>
          <w:tcPr>
            <w:tcW w:type="dxa" w:w="4676"/>
            <w:shd w:val="clear" w:color="auto" w:fill="D9E2F3"/>
            <w:vAlign w:val="center"/>
          </w:tcPr>
          <w:p>
            <w:pPr>
              <w:spacing w:before="20" w:after="20" w:line="260" w:lineRule="auto"/>
              <w:ind w:firstLine="0"/>
              <w:jc w:val="center"/>
            </w:pPr>
            <w:r>
              <w:rPr>
                <w:b/>
                <w:sz w:val="20"/>
                <w:szCs w:val="20"/>
              </w:rPr>
              <w:t xml:space="preserve">Nội dung</w:t>
            </w:r>
          </w:p>
        </w:tc>
        <w:tc>
          <w:tcPr>
            <w:tcW w:type="dxa" w:w="2219"/>
            <w:shd w:val="clear" w:color="auto" w:fill="D9E2F3"/>
            <w:vAlign w:val="center"/>
          </w:tcPr>
          <w:p>
            <w:pPr>
              <w:spacing w:before="20" w:after="20" w:line="260" w:lineRule="auto"/>
              <w:ind w:firstLine="0"/>
              <w:jc w:val="center"/>
            </w:pPr>
            <w:r>
              <w:rPr>
                <w:b/>
                <w:sz w:val="20"/>
                <w:szCs w:val="20"/>
              </w:rPr>
              <w:t xml:space="preserve">Nguồn số liệu</w:t>
            </w:r>
          </w:p>
        </w:tc>
      </w:tr>
      <w:tr>
        <w:trPr>
          <w:cantSplit/>
        </w:trPr>
        <w:tc>
          <w:tcPr>
            <w:tcW w:type="dxa" w:w="2176"/>
            <w:vAlign w:val="center"/>
          </w:tcPr>
          <w:p>
            <w:pPr>
              <w:spacing w:before="20" w:after="20" w:line="260" w:lineRule="auto"/>
              <w:ind w:firstLine="0"/>
              <w:jc w:val="left"/>
            </w:pPr>
            <w:r>
              <w:rPr>
                <w:sz w:val="20"/>
                <w:szCs w:val="20"/>
              </w:rPr>
              <w:t xml:space="preserve">Đầu phiếu</w:t>
            </w:r>
          </w:p>
        </w:tc>
        <w:tc>
          <w:tcPr>
            <w:tcW w:type="dxa" w:w="4676"/>
            <w:vAlign w:val="center"/>
          </w:tcPr>
          <w:p>
            <w:pPr>
              <w:spacing w:before="20" w:after="20" w:line="260" w:lineRule="auto"/>
              <w:ind w:firstLine="0"/>
              <w:jc w:val="left"/>
            </w:pPr>
            <w:r>
              <w:rPr>
                <w:sz w:val="20"/>
                <w:szCs w:val="20"/>
              </w:rPr>
              <w:t xml:space="preserve">Mã phiếu, cửa hàng – nhóm, kỳ 16 ngày, mô hình, hạng và điểm ưu tiên, nhãn, mức tin cậy, trạng thái PENDING_HUMAN_REVIEW</w:t>
            </w:r>
          </w:p>
        </w:tc>
        <w:tc>
          <w:tcPr>
            <w:tcW w:type="dxa" w:w="2219"/>
            <w:vAlign w:val="center"/>
          </w:tcPr>
          <w:p>
            <w:pPr>
              <w:spacing w:before="20" w:after="20" w:line="260" w:lineRule="auto"/>
              <w:ind w:firstLine="0"/>
              <w:jc w:val="left"/>
            </w:pPr>
            <w:r>
              <w:rPr>
                <w:sz w:val="20"/>
                <w:szCs w:val="20"/>
              </w:rPr>
              <w:t xml:space="preserve">Stage 04, 07, 08</w:t>
            </w:r>
          </w:p>
        </w:tc>
      </w:tr>
      <w:tr>
        <w:trPr>
          <w:cantSplit/>
        </w:trPr>
        <w:tc>
          <w:tcPr>
            <w:tcW w:type="dxa" w:w="2176"/>
            <w:vAlign w:val="center"/>
          </w:tcPr>
          <w:p>
            <w:pPr>
              <w:spacing w:before="20" w:after="20" w:line="260" w:lineRule="auto"/>
              <w:ind w:firstLine="0"/>
              <w:jc w:val="left"/>
            </w:pPr>
            <w:r>
              <w:rPr>
                <w:sz w:val="20"/>
                <w:szCs w:val="20"/>
              </w:rPr>
              <w:t xml:space="preserve">1. Tóm tắt điều hành</w:t>
            </w:r>
          </w:p>
        </w:tc>
        <w:tc>
          <w:tcPr>
            <w:tcW w:type="dxa" w:w="4676"/>
            <w:vAlign w:val="center"/>
          </w:tcPr>
          <w:p>
            <w:pPr>
              <w:spacing w:before="20" w:after="20" w:line="260" w:lineRule="auto"/>
              <w:ind w:firstLine="0"/>
              <w:jc w:val="left"/>
            </w:pPr>
            <w:r>
              <w:rPr>
                <w:sz w:val="20"/>
                <w:szCs w:val="20"/>
              </w:rPr>
              <w:t xml:space="preserve">P50, khoảng P10–P90, hành động, số lượng bổ sung, mức mục tiêu, vị thế giả định, mức tin cậy</w:t>
            </w:r>
          </w:p>
        </w:tc>
        <w:tc>
          <w:tcPr>
            <w:tcW w:type="dxa" w:w="2219"/>
            <w:vAlign w:val="center"/>
          </w:tcPr>
          <w:p>
            <w:pPr>
              <w:spacing w:before="20" w:after="20" w:line="260" w:lineRule="auto"/>
              <w:ind w:firstLine="0"/>
              <w:jc w:val="left"/>
            </w:pPr>
            <w:r>
              <w:rPr>
                <w:sz w:val="20"/>
                <w:szCs w:val="20"/>
              </w:rPr>
              <w:t xml:space="preserve">Stage 05, 07</w:t>
            </w:r>
          </w:p>
        </w:tc>
      </w:tr>
      <w:tr>
        <w:trPr>
          <w:cantSplit/>
        </w:trPr>
        <w:tc>
          <w:tcPr>
            <w:tcW w:type="dxa" w:w="2176"/>
            <w:vAlign w:val="center"/>
          </w:tcPr>
          <w:p>
            <w:pPr>
              <w:spacing w:before="20" w:after="20" w:line="260" w:lineRule="auto"/>
              <w:ind w:firstLine="0"/>
              <w:jc w:val="left"/>
            </w:pPr>
            <w:r>
              <w:rPr>
                <w:sz w:val="20"/>
                <w:szCs w:val="20"/>
              </w:rPr>
              <w:t xml:space="preserve">2. Khuyến nghị tồn kho</w:t>
            </w:r>
          </w:p>
        </w:tc>
        <w:tc>
          <w:tcPr>
            <w:tcW w:type="dxa" w:w="4676"/>
            <w:vAlign w:val="center"/>
          </w:tcPr>
          <w:p>
            <w:pPr>
              <w:spacing w:before="20" w:after="20" w:line="260" w:lineRule="auto"/>
              <w:ind w:firstLine="0"/>
              <w:jc w:val="left"/>
            </w:pPr>
            <w:r>
              <w:rPr>
                <w:sz w:val="20"/>
                <w:szCs w:val="20"/>
              </w:rPr>
              <w:t xml:space="preserve">Ba phương án A (theo P50), B (theo q*, xấp xỉ nội suy giữa P50 và P90), C (theo P90) với mức mục tiêu, số lượng và đánh đổi; đánh dấu phương án đề xuất</w:t>
            </w:r>
          </w:p>
        </w:tc>
        <w:tc>
          <w:tcPr>
            <w:tcW w:type="dxa" w:w="2219"/>
            <w:vAlign w:val="center"/>
          </w:tcPr>
          <w:p>
            <w:pPr>
              <w:spacing w:before="20" w:after="20" w:line="260" w:lineRule="auto"/>
              <w:ind w:firstLine="0"/>
              <w:jc w:val="left"/>
            </w:pPr>
            <w:r>
              <w:rPr>
                <w:sz w:val="20"/>
                <w:szCs w:val="20"/>
              </w:rPr>
              <w:t xml:space="preserve">Stage 07, công thức nội suy</w:t>
            </w:r>
          </w:p>
        </w:tc>
      </w:tr>
      <w:tr>
        <w:trPr>
          <w:cantSplit/>
        </w:trPr>
        <w:tc>
          <w:tcPr>
            <w:tcW w:type="dxa" w:w="2176"/>
            <w:vAlign w:val="center"/>
          </w:tcPr>
          <w:p>
            <w:pPr>
              <w:spacing w:before="20" w:after="20" w:line="260" w:lineRule="auto"/>
              <w:ind w:firstLine="0"/>
              <w:jc w:val="left"/>
            </w:pPr>
            <w:r>
              <w:rPr>
                <w:sz w:val="20"/>
                <w:szCs w:val="20"/>
              </w:rPr>
              <w:t xml:space="preserve">3. Khuyến mãi</w:t>
            </w:r>
          </w:p>
        </w:tc>
        <w:tc>
          <w:tcPr>
            <w:tcW w:type="dxa" w:w="4676"/>
            <w:vAlign w:val="center"/>
          </w:tcPr>
          <w:p>
            <w:pPr>
              <w:spacing w:before="20" w:after="20" w:line="260" w:lineRule="auto"/>
              <w:ind w:firstLine="0"/>
              <w:jc w:val="left"/>
            </w:pPr>
            <w:r>
              <w:rPr>
                <w:sz w:val="20"/>
                <w:szCs w:val="20"/>
              </w:rPr>
              <w:t xml:space="preserve">KHÔNG ĐỀ XUẤT TĂNG hoặc CÂN NHẮC THỬ NGHIỆM; bảng P50 năm kịch bản và chênh lệch; cảnh báo ngoại suy</w:t>
            </w:r>
          </w:p>
        </w:tc>
        <w:tc>
          <w:tcPr>
            <w:tcW w:type="dxa" w:w="2219"/>
            <w:vAlign w:val="center"/>
          </w:tcPr>
          <w:p>
            <w:pPr>
              <w:spacing w:before="20" w:after="20" w:line="260" w:lineRule="auto"/>
              <w:ind w:firstLine="0"/>
              <w:jc w:val="left"/>
            </w:pPr>
            <w:r>
              <w:rPr>
                <w:sz w:val="20"/>
                <w:szCs w:val="20"/>
              </w:rPr>
              <w:t xml:space="preserve">Stage 06</w:t>
            </w:r>
          </w:p>
        </w:tc>
      </w:tr>
      <w:tr>
        <w:trPr>
          <w:cantSplit/>
        </w:trPr>
        <w:tc>
          <w:tcPr>
            <w:tcW w:type="dxa" w:w="2176"/>
            <w:vAlign w:val="center"/>
          </w:tcPr>
          <w:p>
            <w:pPr>
              <w:spacing w:before="20" w:after="20" w:line="260" w:lineRule="auto"/>
              <w:ind w:firstLine="0"/>
              <w:jc w:val="left"/>
            </w:pPr>
            <w:r>
              <w:rPr>
                <w:sz w:val="20"/>
                <w:szCs w:val="20"/>
              </w:rPr>
              <w:t xml:space="preserve">4. Cơ sở khuyến nghị</w:t>
            </w:r>
          </w:p>
        </w:tc>
        <w:tc>
          <w:tcPr>
            <w:tcW w:type="dxa" w:w="4676"/>
            <w:vAlign w:val="center"/>
          </w:tcPr>
          <w:p>
            <w:pPr>
              <w:spacing w:before="20" w:after="20" w:line="260" w:lineRule="auto"/>
              <w:ind w:firstLine="0"/>
              <w:jc w:val="left"/>
            </w:pPr>
            <w:r>
              <w:rPr>
                <w:sz w:val="20"/>
                <w:szCs w:val="20"/>
              </w:rPr>
              <w:t xml:space="preserve">Từng mã lý do diễn đạt bằng lời, q* và quy định căn cứ, ngày có P50 cao nhất</w:t>
            </w:r>
          </w:p>
        </w:tc>
        <w:tc>
          <w:tcPr>
            <w:tcW w:type="dxa" w:w="2219"/>
            <w:vAlign w:val="center"/>
          </w:tcPr>
          <w:p>
            <w:pPr>
              <w:spacing w:before="20" w:after="20" w:line="260" w:lineRule="auto"/>
              <w:ind w:firstLine="0"/>
              <w:jc w:val="left"/>
            </w:pPr>
            <w:r>
              <w:rPr>
                <w:sz w:val="20"/>
                <w:szCs w:val="20"/>
              </w:rPr>
              <w:t xml:space="preserve">Stage 05, 07, 08</w:t>
            </w:r>
          </w:p>
        </w:tc>
      </w:tr>
      <w:tr>
        <w:trPr>
          <w:cantSplit/>
        </w:trPr>
        <w:tc>
          <w:tcPr>
            <w:tcW w:type="dxa" w:w="2176"/>
            <w:vAlign w:val="center"/>
          </w:tcPr>
          <w:p>
            <w:pPr>
              <w:spacing w:before="20" w:after="20" w:line="260" w:lineRule="auto"/>
              <w:ind w:firstLine="0"/>
              <w:jc w:val="left"/>
            </w:pPr>
            <w:r>
              <w:rPr>
                <w:sz w:val="20"/>
                <w:szCs w:val="20"/>
              </w:rPr>
              <w:t xml:space="preserve">5. Căn cứ chính sách (RAG)</w:t>
            </w:r>
          </w:p>
        </w:tc>
        <w:tc>
          <w:tcPr>
            <w:tcW w:type="dxa" w:w="4676"/>
            <w:vAlign w:val="center"/>
          </w:tcPr>
          <w:p>
            <w:pPr>
              <w:spacing w:before="20" w:after="20" w:line="260" w:lineRule="auto"/>
              <w:ind w:firstLine="0"/>
              <w:jc w:val="left"/>
            </w:pPr>
            <w:r>
              <w:rPr>
                <w:sz w:val="20"/>
                <w:szCs w:val="20"/>
              </w:rPr>
              <w:t xml:space="preserve">Các quy định mà quy tắc đã áp dụng (bắt buộc) và một kết quả truy xuất bổ sung, kèm tệp và dòng nguồn</w:t>
            </w:r>
          </w:p>
        </w:tc>
        <w:tc>
          <w:tcPr>
            <w:tcW w:type="dxa" w:w="2219"/>
            <w:vAlign w:val="center"/>
          </w:tcPr>
          <w:p>
            <w:pPr>
              <w:spacing w:before="20" w:after="20" w:line="260" w:lineRule="auto"/>
              <w:ind w:firstLine="0"/>
              <w:jc w:val="left"/>
            </w:pPr>
            <w:r>
              <w:rPr>
                <w:sz w:val="20"/>
                <w:szCs w:val="20"/>
              </w:rPr>
              <w:t xml:space="preserve">knowledge_base/*.md</w:t>
            </w:r>
          </w:p>
        </w:tc>
      </w:tr>
      <w:tr>
        <w:trPr>
          <w:cantSplit/>
        </w:trPr>
        <w:tc>
          <w:tcPr>
            <w:tcW w:type="dxa" w:w="2176"/>
            <w:vAlign w:val="center"/>
          </w:tcPr>
          <w:p>
            <w:pPr>
              <w:spacing w:before="20" w:after="20" w:line="260" w:lineRule="auto"/>
              <w:ind w:firstLine="0"/>
              <w:jc w:val="left"/>
            </w:pPr>
            <w:r>
              <w:rPr>
                <w:sz w:val="20"/>
                <w:szCs w:val="20"/>
              </w:rPr>
              <w:t xml:space="preserve">6. Giả định</w:t>
            </w:r>
          </w:p>
        </w:tc>
        <w:tc>
          <w:tcPr>
            <w:tcW w:type="dxa" w:w="4676"/>
            <w:vAlign w:val="center"/>
          </w:tcPr>
          <w:p>
            <w:pPr>
              <w:spacing w:before="20" w:after="20" w:line="260" w:lineRule="auto"/>
              <w:ind w:firstLine="0"/>
              <w:jc w:val="left"/>
            </w:pPr>
            <w:r>
              <w:rPr>
                <w:sz w:val="20"/>
                <w:szCs w:val="20"/>
              </w:rPr>
              <w:t xml:space="preserve">Vị thế 0,8 × P50; Cu = 3, Co = 1; tổng phân vị theo ngày; thiếu giá, biên lợi nhuận, thời gian cung ứng</w:t>
            </w:r>
          </w:p>
        </w:tc>
        <w:tc>
          <w:tcPr>
            <w:tcW w:type="dxa" w:w="2219"/>
            <w:vAlign w:val="center"/>
          </w:tcPr>
          <w:p>
            <w:pPr>
              <w:spacing w:before="20" w:after="20" w:line="260" w:lineRule="auto"/>
              <w:ind w:firstLine="0"/>
              <w:jc w:val="left"/>
            </w:pPr>
            <w:r>
              <w:rPr>
                <w:sz w:val="20"/>
                <w:szCs w:val="20"/>
              </w:rPr>
              <w:t xml:space="preserve">Stage 07</w:t>
            </w:r>
          </w:p>
        </w:tc>
      </w:tr>
      <w:tr>
        <w:trPr>
          <w:cantSplit/>
        </w:trPr>
        <w:tc>
          <w:tcPr>
            <w:tcW w:type="dxa" w:w="2176"/>
            <w:vAlign w:val="center"/>
          </w:tcPr>
          <w:p>
            <w:pPr>
              <w:spacing w:before="20" w:after="20" w:line="260" w:lineRule="auto"/>
              <w:ind w:firstLine="0"/>
              <w:jc w:val="left"/>
            </w:pPr>
            <w:r>
              <w:rPr>
                <w:sz w:val="20"/>
                <w:szCs w:val="20"/>
              </w:rPr>
              <w:t xml:space="preserve">7. Danh mục kiểm tra</w:t>
            </w:r>
          </w:p>
        </w:tc>
        <w:tc>
          <w:tcPr>
            <w:tcW w:type="dxa" w:w="4676"/>
            <w:vAlign w:val="center"/>
          </w:tcPr>
          <w:p>
            <w:pPr>
              <w:spacing w:before="20" w:after="20" w:line="260" w:lineRule="auto"/>
              <w:ind w:firstLine="0"/>
              <w:jc w:val="left"/>
            </w:pPr>
            <w:r>
              <w:rPr>
                <w:sz w:val="20"/>
                <w:szCs w:val="20"/>
              </w:rPr>
              <w:t xml:space="preserve">Đối chiếu tồn kho thực, rà soát khoảng dự báo (chuỗi lớn), thời gian cung ứng, sức chứa và hạn sử dụng, chọn phương án và ghi lý do</w:t>
            </w:r>
          </w:p>
        </w:tc>
        <w:tc>
          <w:tcPr>
            <w:tcW w:type="dxa" w:w="2219"/>
            <w:vAlign w:val="center"/>
          </w:tcPr>
          <w:p>
            <w:pPr>
              <w:spacing w:before="20" w:after="20" w:line="260" w:lineRule="auto"/>
              <w:ind w:firstLine="0"/>
              <w:jc w:val="left"/>
            </w:pPr>
            <w:r>
              <w:rPr>
                <w:sz w:val="20"/>
                <w:szCs w:val="20"/>
              </w:rPr>
              <w:t xml:space="preserve">Quy tắc Stage 08</w:t>
            </w:r>
          </w:p>
        </w:tc>
      </w:tr>
      <w:tr>
        <w:trPr>
          <w:cantSplit/>
        </w:trPr>
        <w:tc>
          <w:tcPr>
            <w:tcW w:type="dxa" w:w="2176"/>
            <w:vAlign w:val="center"/>
          </w:tcPr>
          <w:p>
            <w:pPr>
              <w:spacing w:before="20" w:after="20" w:line="260" w:lineRule="auto"/>
              <w:ind w:firstLine="0"/>
              <w:jc w:val="left"/>
            </w:pPr>
            <w:r>
              <w:rPr>
                <w:sz w:val="20"/>
                <w:szCs w:val="20"/>
              </w:rPr>
              <w:t xml:space="preserve">Chân phiếu</w:t>
            </w:r>
          </w:p>
        </w:tc>
        <w:tc>
          <w:tcPr>
            <w:tcW w:type="dxa" w:w="4676"/>
            <w:vAlign w:val="center"/>
          </w:tcPr>
          <w:p>
            <w:pPr>
              <w:spacing w:before="20" w:after="20" w:line="260" w:lineRule="auto"/>
              <w:ind w:firstLine="0"/>
              <w:jc w:val="left"/>
            </w:pPr>
            <w:r>
              <w:rPr>
                <w:sz w:val="20"/>
                <w:szCs w:val="20"/>
              </w:rPr>
              <w:t xml:space="preserve">Chế độ tạo diễn giải và tuyên bố trợ lý AI không tạo số liệu dự báo</w:t>
            </w:r>
          </w:p>
        </w:tc>
        <w:tc>
          <w:tcPr>
            <w:tcW w:type="dxa" w:w="2219"/>
            <w:vAlign w:val="center"/>
          </w:tcPr>
          <w:p>
            <w:pPr>
              <w:spacing w:before="20" w:after="20" w:line="260" w:lineRule="auto"/>
              <w:ind w:firstLine="0"/>
              <w:jc w:val="left"/>
            </w:pPr>
            <w:r>
              <w:rPr>
                <w:sz w:val="20"/>
                <w:szCs w:val="20"/>
              </w:rPr>
              <w:t xml:space="preserve">genai_run_status.csv</w:t>
            </w:r>
          </w:p>
        </w:tc>
      </w:tr>
    </w:tbl>
    <w:p>
      <w:pPr>
        <w:spacing w:before="40" w:after="160"/>
        <w:ind w:firstLine="0"/>
      </w:pPr>
      <w:r>
        <w:rPr>
          <w:i/>
          <w:sz w:val="22"/>
          <w:szCs w:val="22"/>
        </w:rPr>
        <w:t xml:space="preserve">Nguồn: tổng hợp của tác giả từ hàm to_markdown trong src/genai/decision.py và phiếu decision_briefs/001_*.md của lần chạy chính thức.</w:t>
      </w:r>
    </w:p>
    <w:p>
      <w:pPr>
        <w:pStyle w:val="Heading3"/>
        <w:keepNext/>
      </w:pPr>
      <w:r>
        <w:t xml:space="preserve">3.13.3. Truy xuất tăng cường, sinh diễn giải và kiểm tra bám bằng chứng</w:t>
      </w:r>
    </w:p>
    <w:p>
      <w:pPr>
        <w:keepLines w:val="0"/>
        <w:spacing w:after="120"/>
        <w:ind w:firstLine="567"/>
      </w:pPr>
      <w:r>
        <w:t xml:space="preserve">Sinh tăng cường truy xuất (retrieval-augmented generation, RAG) kết hợp tri thức tham số của mô hình sinh với tài liệu được truy xuất từ kho ngoài (Lewis và cộng sự, 2020); Gao và cộng sự (2023) tổng quan các biến thể của kiến trúc này cho mô hình ngôn ngữ lớn. Kho tri thức knowledge_base gồm hai tệp chính sách MẪU, giả định, do tác giả soạn để minh họa, không phải chính sách của Favorita: promotion_policy_sample.md (4 quy định) và decision_playbook_sample.md (8 quy định). Mỗi dòng quy định là một đoạn truy xuất kèm thẻ (tag); hàm search trong src/genai/rag.py bỏ dấu tiếng Việt, chấm điểm bằng BM25 và cộng điểm thưởng cho mỗi thẻ trùng, không dùng véc-tơ nhúng.</w:t>
      </w:r>
    </w:p>
    <w:p>
      <w:pPr>
        <w:keepLines w:val="0"/>
        <w:spacing w:after="120"/>
        <w:ind w:firstLine="567"/>
      </w:pPr>
      <w:r>
        <w:t xml:space="preserve">Truy vấn và danh sách thẻ được sinh cho từng phiếu từ bộ từ khóa chung cộng với mã lý do của phiếu. Điểm quan trọng hơn là cơ chế trích dẫn bắt buộc: các quy định mà bộ máy quy tắc đã thực sự áp dụng, chẳng hạn POL-INV-002 hay POL-INV-005 cho hành động tồn kho, POL-INV-004 cho chuỗi lớn, POL-PROMO-004 cho ngoại suy và POL-HITL-001 cho phê duyệt, luôn được đưa vào phần căn cứ và được đánh dấu cited_by_rule, bất kể điểm truy xuất. Phiếu chỉ nhận thêm một kết quả truy xuất bổ sung, nên căn cứ chính sách khớp với logic đã tạo ra khuyến nghị.</w:t>
      </w:r>
    </w:p>
    <w:p>
      <w:pPr>
        <w:keepLines w:val="0"/>
        <w:spacing w:after="120"/>
        <w:ind w:firstLine="567"/>
      </w:pPr>
      <w:r>
        <w:t xml:space="preserve">Ở bước sinh, nếu có biến môi trường OPENAI_API_KEY (trong môi trường hoặc tệp.env), hàm explain trong src/genai/assistant.py gọi mô hình ngôn ngữ, mặc định gpt-5-mini qua biến GENAI_MODEL, cho tối đa 30 phiếu đầu hàng đợi (GENAI_MAX_CASES). Lời nhắc yêu cầu mô hình chỉ viết lại tóm tắt điều hành, cơ sở khuyến nghị và ghi chú khuyến mãi, chỉ dùng số liệu có trong bằng chứng, không đổi hành động, phương án, số lượng hay mức tin cậy, không diễn giải kịch bản là tác động nhân quả, và trả về JSON.</w:t>
      </w:r>
    </w:p>
    <w:p>
      <w:pPr>
        <w:keepLines w:val="0"/>
        <w:spacing w:after="120"/>
        <w:ind w:firstLine="567"/>
      </w:pPr>
      <w:r>
        <w:t xml:space="preserve">Văn bản do mô hình ngôn ngữ sinh ra phải qua kiểm tra bám bằng chứng (grounding check) theo (3.41): mọi số có trị tuyệt đối lớn hơn 31 trong văn bản phải khớp một số trong bằng chứng hoặc bản nháp, hoặc bằng 100 lần một số đó khi được viết dưới dạng phần trăm, với sai lệch không quá 0,5% hoặc 0,5 đơn vị. Nếu có số không khớp, bản của mô hình ngôn ngữ bị loại và phiếu giữ bản quy tắc với chế độ RULE_BASED_AFTER_GUARDRAIL, theo quy định mẫu POL-HITL-002; nếu lời gọi lỗi hoặc JSON không hợp lệ, phiếu quay về chế độ RULE_BASED_AFTER_ERROR. Kiểm tra này chỉ bảo đảm nhất quán số học, không kiểm tra lập luận.</w:t>
      </w:r>
    </w:p>
    <w:p>
      <w:pPr>
        <w:tabs>
          <w:tab w:val="center" w:pos="4535"/>
          <w:tab w:val="right" w:pos="9071"/>
        </w:tabs>
        <w:spacing w:before="60" w:after="60"/>
        <w:ind w:firstLine="0"/>
      </w:pPr>
      <w:r>
        <w:tab/>
      </w:r>
      <m:oMath xmlns:a="http://schemas.openxmlformats.org/drawingml/2006/main" xmlns:pic="http://schemas.openxmlformats.org/drawingml/2006/picture">
        <m:r>
          <m:rPr>
            <m:sty m:val="p"/>
          </m:rPr>
          <m:t>p</m:t>
        </m:r>
        <m:r>
          <m:rPr>
            <m:sty m:val="p"/>
          </m:rPr>
          <m:t>a</m:t>
        </m:r>
        <m:r>
          <m:rPr>
            <m:sty m:val="p"/>
          </m:rPr>
          <m:t>s</m:t>
        </m:r>
        <m:r>
          <m:rPr>
            <m:sty m:val="p"/>
          </m:rPr>
          <m:t>s</m:t>
        </m:r>
        <m:r>
          <m:rPr>
            <m:sty m:val="p"/>
          </m:rPr>
          <m:t>⇔</m:t>
        </m:r>
        <m:r>
          <m:rPr>
            <m:sty m:val="p"/>
          </m:rPr>
          <m:t>∀</m:t>
        </m:r>
        <m:r>
          <m:t>v</m:t>
        </m:r>
        <m:r>
          <m:rPr>
            <m:sty m:val="p"/>
          </m:rPr>
          <m:t>∈</m:t>
        </m:r>
        <m:r>
          <m:rPr>
            <m:scr m:val="script"/>
            <m:sty m:val="p"/>
          </m:rPr>
          <m:t>N</m:t>
        </m:r>
        <m:d>
          <m:dPr>
            <m:begChr m:val="("/>
            <m:sepChr m:val=""/>
            <m:endChr m:val=")"/>
            <m:grow/>
          </m:dPr>
          <m:e>
            <m:r>
              <m:rPr>
                <m:nor/>
              </m:rPr>
              <m:t>văn bản LLM</m:t>
            </m:r>
          </m:e>
        </m:d>
        <m:r>
          <m:rPr>
            <m:sty m:val="p"/>
          </m:rPr>
          <m:t>,</m:t>
        </m:r>
        <m:r>
          <m:t> </m:t>
        </m:r>
        <m:d>
          <m:dPr>
            <m:begChr m:val="|"/>
            <m:sepChr m:val=""/>
            <m:endChr m:val="|"/>
            <m:grow/>
          </m:dPr>
          <m:e>
            <m:r>
              <m:t>v</m:t>
            </m:r>
          </m:e>
        </m:d>
        <m:r>
          <m:rPr>
            <m:sty m:val="p"/>
          </m:rPr>
          <m:t>&gt;</m:t>
        </m:r>
        <m:r>
          <m:t>31</m:t>
        </m:r>
        <m:r>
          <m:rPr>
            <m:sty m:val="p"/>
          </m:rPr>
          <m:t>:</m:t>
        </m:r>
        <m:r>
          <m:t> </m:t>
        </m:r>
        <m:r>
          <m:rPr>
            <m:sty m:val="p"/>
          </m:rPr>
          <m:t>∃</m:t>
        </m:r>
        <m:r>
          <m:t>a</m:t>
        </m:r>
        <m:r>
          <m:rPr>
            <m:sty m:val="p"/>
          </m:rPr>
          <m:t>∈</m:t>
        </m:r>
        <m:r>
          <m:rPr>
            <m:scr m:val="script"/>
            <m:sty m:val="p"/>
          </m:rPr>
          <m:t>A</m:t>
        </m:r>
        <m:r>
          <m:rPr>
            <m:sty m:val="p"/>
          </m:rPr>
          <m:t>∪</m:t>
        </m:r>
        <m:r>
          <m:t>100</m:t>
        </m:r>
        <m:r>
          <m:rPr>
            <m:scr m:val="script"/>
            <m:sty m:val="p"/>
          </m:rPr>
          <m:t>A</m:t>
        </m:r>
        <m:r>
          <m:rPr>
            <m:sty m:val="p"/>
          </m:rPr>
          <m:t>:</m:t>
        </m:r>
        <m:r>
          <m:t> </m:t>
        </m:r>
        <m:d>
          <m:dPr>
            <m:begChr m:val="|"/>
            <m:sepChr m:val=""/>
            <m:endChr m:val="|"/>
            <m:grow/>
          </m:dPr>
          <m:e>
            <m:r>
              <m:t>v</m:t>
            </m:r>
            <m:r>
              <m:rPr>
                <m:sty m:val="p"/>
              </m:rPr>
              <m:t>−</m:t>
            </m:r>
            <m:r>
              <m:t>a</m:t>
            </m:r>
          </m:e>
        </m:d>
        <m:r>
          <m:rPr>
            <m:sty m:val="p"/>
          </m:rPr>
          <m:t>≤</m:t>
        </m:r>
        <m:r>
          <m:rPr>
            <m:sty m:val="p"/>
          </m:rPr>
          <m:t>max</m:t>
        </m:r>
        <m:r>
          <m:rPr>
            <m:sty m:val="p"/>
          </m:rPr>
          <m:t>{</m:t>
        </m:r>
        <m:r>
          <m:t>0.5</m:t>
        </m:r>
        <m:r>
          <m:rPr>
            <m:sty m:val="p"/>
          </m:rPr>
          <m:t>,</m:t>
        </m:r>
        <m:r>
          <m:t> </m:t>
        </m:r>
        <m:r>
          <m:t>0.005</m:t>
        </m:r>
        <m:r>
          <m:t> </m:t>
        </m:r>
        <m:d>
          <m:dPr>
            <m:begChr m:val="|"/>
            <m:sepChr m:val=""/>
            <m:endChr m:val="|"/>
            <m:grow/>
          </m:dPr>
          <m:e>
            <m:r>
              <m:t>a</m:t>
            </m:r>
          </m:e>
        </m:d>
        <m:r>
          <m:rPr>
            <m:sty m:val="p"/>
          </m:rPr>
          <m:t>}</m:t>
        </m:r>
        <m:r>
          <m:rPr>
            <m:sty m:val="p"/>
          </m:rPr>
          <m:t>,</m:t>
        </m:r>
        <m:r>
          <m:t>  </m:t>
        </m:r>
        <m:r>
          <m:rPr>
            <m:scr m:val="script"/>
            <m:sty m:val="p"/>
          </m:rPr>
          <m:t>A</m:t>
        </m:r>
        <m:r>
          <m:rPr>
            <m:sty m:val="p"/>
          </m:rPr>
          <m:t>=</m:t>
        </m:r>
        <m:r>
          <m:rPr>
            <m:scr m:val="script"/>
            <m:sty m:val="p"/>
          </m:rPr>
          <m:t>N</m:t>
        </m:r>
        <m:d>
          <m:dPr>
            <m:begChr m:val="("/>
            <m:sepChr m:val=""/>
            <m:endChr m:val=")"/>
            <m:grow/>
          </m:dPr>
          <m:e>
            <m:r>
              <m:rPr>
                <m:nor/>
              </m:rPr>
              <m:t>bằng chứng</m:t>
            </m:r>
          </m:e>
        </m:d>
        <m:r>
          <m:rPr>
            <m:sty m:val="p"/>
          </m:rPr>
          <m:t>∪</m:t>
        </m:r>
        <m:r>
          <m:rPr>
            <m:scr m:val="script"/>
            <m:sty m:val="p"/>
          </m:rPr>
          <m:t>N</m:t>
        </m:r>
        <m:d>
          <m:dPr>
            <m:begChr m:val="("/>
            <m:sepChr m:val=""/>
            <m:endChr m:val=")"/>
            <m:grow/>
          </m:dPr>
          <m:e>
            <m:r>
              <m:rPr>
                <m:nor/>
              </m:rPr>
              <m:t>bản nháp</m:t>
            </m:r>
          </m:e>
        </m:d>
      </m:oMath>
      <w:r>
        <w:tab/>
        <w:t>(3.41)</w:t>
      </w:r>
    </w:p>
    <w:p>
      <w:pPr>
        <w:keepLines w:val="0"/>
        <w:spacing w:after="120"/>
        <w:ind w:firstLine="567"/>
      </w:pPr>
      <w:r>
        <w:t xml:space="preserve">Trong lần chạy chính thức, genai_run_status.csv ghi api_key_present = False, nên cả 1.782 phiếu dùng chế độ RULE_BASED và số bản mô hình ngôn ngữ bị loại bằng 0. Luồng gọi mô hình ngôn ngữ và kiểm tra bám bằng chứng chỉ được kiểm thử bằng mô phỏng, không gọi API thật: bản hợp lệ được chấp nhận ở chế độ GENAI, bản chứa số không có trong bằng chứng bị loại, và JSON lỗi làm phiếu quay về quy tắc. Luận văn vì vậy đánh giá được kiến trúc và bộ máy quy tắc, nhưng không đánh giá được tỷ lệ ảo giác hay lợi ích năng suất của một mô hình Generative AI trực tuyến. 3.13 tóm tắt các thành phần của lớp này, phân biệt rõ phần đã triển khai, phần đã chạy và phần chỉ là đề xuất.</w:t>
      </w:r>
    </w:p>
    <w:p>
      <w:pPr>
        <w:keepNext/>
        <w:spacing w:before="120" w:after="60"/>
        <w:ind w:firstLine="0"/>
        <w:jc w:val="center"/>
      </w:pPr>
      <w:r>
        <w:t xml:space="preserve">Bảng 3.13. Các thành phần của lớp Generative AI, RAG, HITL và xuất báo cáo: cách thực hiện và trạng thái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609"/>
        <w:gridCol w:w="3518"/>
        <w:gridCol w:w="2944"/>
      </w:tblGrid>
      <w:tr>
        <w:trPr>
          <w:tblHeader/>
          <w:cantSplit/>
        </w:trPr>
        <w:tc>
          <w:tcPr>
            <w:tcW w:type="dxa" w:w="2609"/>
            <w:shd w:val="clear" w:color="auto" w:fill="D9E2F3"/>
            <w:vAlign w:val="center"/>
          </w:tcPr>
          <w:p>
            <w:pPr>
              <w:spacing w:before="20" w:after="20" w:line="260" w:lineRule="auto"/>
              <w:ind w:firstLine="0"/>
              <w:jc w:val="center"/>
            </w:pPr>
            <w:r>
              <w:rPr>
                <w:b/>
                <w:sz w:val="20"/>
                <w:szCs w:val="20"/>
              </w:rPr>
              <w:t xml:space="preserve">Thành phần</w:t>
            </w:r>
          </w:p>
        </w:tc>
        <w:tc>
          <w:tcPr>
            <w:tcW w:type="dxa" w:w="3518"/>
            <w:shd w:val="clear" w:color="auto" w:fill="D9E2F3"/>
            <w:vAlign w:val="center"/>
          </w:tcPr>
          <w:p>
            <w:pPr>
              <w:spacing w:before="20" w:after="20" w:line="260" w:lineRule="auto"/>
              <w:ind w:firstLine="0"/>
              <w:jc w:val="center"/>
            </w:pPr>
            <w:r>
              <w:rPr>
                <w:b/>
                <w:sz w:val="20"/>
                <w:szCs w:val="20"/>
              </w:rPr>
              <w:t xml:space="preserve">Cách thực hiện trong mã</w:t>
            </w:r>
          </w:p>
        </w:tc>
        <w:tc>
          <w:tcPr>
            <w:tcW w:type="dxa" w:w="2944"/>
            <w:shd w:val="clear" w:color="auto" w:fill="D9E2F3"/>
            <w:vAlign w:val="center"/>
          </w:tcPr>
          <w:p>
            <w:pPr>
              <w:spacing w:before="20" w:after="20" w:line="260" w:lineRule="auto"/>
              <w:ind w:firstLine="0"/>
              <w:jc w:val="center"/>
            </w:pPr>
            <w:r>
              <w:rPr>
                <w:b/>
                <w:sz w:val="20"/>
                <w:szCs w:val="20"/>
              </w:rPr>
              <w:t xml:space="preserve">Trạng thái trong lần chạy chính thức</w:t>
            </w:r>
          </w:p>
        </w:tc>
      </w:tr>
      <w:tr>
        <w:trPr>
          <w:cantSplit/>
        </w:trPr>
        <w:tc>
          <w:tcPr>
            <w:tcW w:type="dxa" w:w="2609"/>
            <w:vAlign w:val="center"/>
          </w:tcPr>
          <w:p>
            <w:pPr>
              <w:spacing w:before="20" w:after="20" w:line="260" w:lineRule="auto"/>
              <w:ind w:firstLine="0"/>
              <w:jc w:val="left"/>
            </w:pPr>
            <w:r>
              <w:rPr>
                <w:sz w:val="20"/>
                <w:szCs w:val="20"/>
              </w:rPr>
              <w:t xml:space="preserve">Hàng đợi và điểm ưu tiên</w:t>
            </w:r>
          </w:p>
        </w:tc>
        <w:tc>
          <w:tcPr>
            <w:tcW w:type="dxa" w:w="3518"/>
            <w:vAlign w:val="center"/>
          </w:tcPr>
          <w:p>
            <w:pPr>
              <w:spacing w:before="20" w:after="20" w:line="260" w:lineRule="auto"/>
              <w:ind w:firstLine="0"/>
              <w:jc w:val="left"/>
            </w:pPr>
            <w:r>
              <w:rPr>
                <w:sz w:val="20"/>
                <w:szCs w:val="20"/>
              </w:rPr>
              <w:t xml:space="preserve">Phiếu cho mọi chuỗi; điểm = LARGE_SERIES + RISK + PROMO_EXTRAPOLATION; hòa theo P50 giảm dần</w:t>
            </w:r>
          </w:p>
        </w:tc>
        <w:tc>
          <w:tcPr>
            <w:tcW w:type="dxa" w:w="2944"/>
            <w:vAlign w:val="center"/>
          </w:tcPr>
          <w:p>
            <w:pPr>
              <w:spacing w:before="20" w:after="20" w:line="260" w:lineRule="auto"/>
              <w:ind w:firstLine="0"/>
              <w:jc w:val="left"/>
            </w:pPr>
            <w:r>
              <w:rPr>
                <w:sz w:val="20"/>
                <w:szCs w:val="20"/>
              </w:rPr>
              <w:t xml:space="preserve">Đã triển khai và đã chạy: 1.782 phiếu</w:t>
            </w:r>
          </w:p>
        </w:tc>
      </w:tr>
      <w:tr>
        <w:trPr>
          <w:cantSplit/>
        </w:trPr>
        <w:tc>
          <w:tcPr>
            <w:tcW w:type="dxa" w:w="2609"/>
            <w:vAlign w:val="center"/>
          </w:tcPr>
          <w:p>
            <w:pPr>
              <w:spacing w:before="20" w:after="20" w:line="260" w:lineRule="auto"/>
              <w:ind w:firstLine="0"/>
              <w:jc w:val="left"/>
            </w:pPr>
            <w:r>
              <w:rPr>
                <w:sz w:val="20"/>
                <w:szCs w:val="20"/>
              </w:rPr>
              <w:t xml:space="preserve">Gói bằng chứng</w:t>
            </w:r>
          </w:p>
        </w:tc>
        <w:tc>
          <w:tcPr>
            <w:tcW w:type="dxa" w:w="3518"/>
            <w:vAlign w:val="center"/>
          </w:tcPr>
          <w:p>
            <w:pPr>
              <w:spacing w:before="20" w:after="20" w:line="260" w:lineRule="auto"/>
              <w:ind w:firstLine="0"/>
              <w:jc w:val="left"/>
            </w:pPr>
            <w:r>
              <w:rPr>
                <w:sz w:val="20"/>
                <w:szCs w:val="20"/>
              </w:rPr>
              <w:t xml:space="preserve">Số liệu Stage 05–07 theo kỳ và theo ngày, năm kịch bản, bối cảnh hệ thống</w:t>
            </w:r>
          </w:p>
        </w:tc>
        <w:tc>
          <w:tcPr>
            <w:tcW w:type="dxa" w:w="2944"/>
            <w:vAlign w:val="center"/>
          </w:tcPr>
          <w:p>
            <w:pPr>
              <w:spacing w:before="20" w:after="20" w:line="260" w:lineRule="auto"/>
              <w:ind w:firstLine="0"/>
              <w:jc w:val="left"/>
            </w:pPr>
            <w:r>
              <w:rPr>
                <w:sz w:val="20"/>
                <w:szCs w:val="20"/>
              </w:rPr>
              <w:t xml:space="preserve">Đã triển khai và đã chạy</w:t>
            </w:r>
          </w:p>
        </w:tc>
      </w:tr>
      <w:tr>
        <w:trPr>
          <w:cantSplit/>
        </w:trPr>
        <w:tc>
          <w:tcPr>
            <w:tcW w:type="dxa" w:w="2609"/>
            <w:vAlign w:val="center"/>
          </w:tcPr>
          <w:p>
            <w:pPr>
              <w:spacing w:before="20" w:after="20" w:line="260" w:lineRule="auto"/>
              <w:ind w:firstLine="0"/>
              <w:jc w:val="left"/>
            </w:pPr>
            <w:r>
              <w:rPr>
                <w:sz w:val="20"/>
                <w:szCs w:val="20"/>
              </w:rPr>
              <w:t xml:space="preserve">Bộ máy quy tắc khuyến nghị</w:t>
            </w:r>
          </w:p>
        </w:tc>
        <w:tc>
          <w:tcPr>
            <w:tcW w:type="dxa" w:w="3518"/>
            <w:vAlign w:val="center"/>
          </w:tcPr>
          <w:p>
            <w:pPr>
              <w:spacing w:before="20" w:after="20" w:line="260" w:lineRule="auto"/>
              <w:ind w:firstLine="0"/>
              <w:jc w:val="left"/>
            </w:pPr>
            <w:r>
              <w:rPr>
                <w:sz w:val="20"/>
                <w:szCs w:val="20"/>
              </w:rPr>
              <w:t xml:space="preserve">Hành động, ba phương án A/B/C, khuyến mãi, mức tin cậy, giả định, danh mục kiểm tra</w:t>
            </w:r>
          </w:p>
        </w:tc>
        <w:tc>
          <w:tcPr>
            <w:tcW w:type="dxa" w:w="2944"/>
            <w:vAlign w:val="center"/>
          </w:tcPr>
          <w:p>
            <w:pPr>
              <w:spacing w:before="20" w:after="20" w:line="260" w:lineRule="auto"/>
              <w:ind w:firstLine="0"/>
              <w:jc w:val="left"/>
            </w:pPr>
            <w:r>
              <w:rPr>
                <w:sz w:val="20"/>
                <w:szCs w:val="20"/>
              </w:rPr>
              <w:t xml:space="preserve">Đã triển khai và đã chạy; 30 phiếu Markdown được xuất</w:t>
            </w:r>
          </w:p>
        </w:tc>
      </w:tr>
      <w:tr>
        <w:trPr>
          <w:cantSplit/>
        </w:trPr>
        <w:tc>
          <w:tcPr>
            <w:tcW w:type="dxa" w:w="2609"/>
            <w:vAlign w:val="center"/>
          </w:tcPr>
          <w:p>
            <w:pPr>
              <w:spacing w:before="20" w:after="20" w:line="260" w:lineRule="auto"/>
              <w:ind w:firstLine="0"/>
              <w:jc w:val="left"/>
            </w:pPr>
            <w:r>
              <w:rPr>
                <w:sz w:val="20"/>
                <w:szCs w:val="20"/>
              </w:rPr>
              <w:t xml:space="preserve">Truy xuất (RAG)</w:t>
            </w:r>
          </w:p>
        </w:tc>
        <w:tc>
          <w:tcPr>
            <w:tcW w:type="dxa" w:w="3518"/>
            <w:vAlign w:val="center"/>
          </w:tcPr>
          <w:p>
            <w:pPr>
              <w:spacing w:before="20" w:after="20" w:line="260" w:lineRule="auto"/>
              <w:ind w:firstLine="0"/>
              <w:jc w:val="left"/>
            </w:pPr>
            <w:r>
              <w:rPr>
                <w:sz w:val="20"/>
                <w:szCs w:val="20"/>
              </w:rPr>
              <w:t xml:space="preserve">BM25 + thẻ trên 12 quy định mẫu; truy vấn sinh theo mã lý do; quy định đã áp dụng được trích dẫn bắt buộc + 1 kết quả bổ sung</w:t>
            </w:r>
          </w:p>
        </w:tc>
        <w:tc>
          <w:tcPr>
            <w:tcW w:type="dxa" w:w="2944"/>
            <w:vAlign w:val="center"/>
          </w:tcPr>
          <w:p>
            <w:pPr>
              <w:spacing w:before="20" w:after="20" w:line="260" w:lineRule="auto"/>
              <w:ind w:firstLine="0"/>
              <w:jc w:val="left"/>
            </w:pPr>
            <w:r>
              <w:rPr>
                <w:sz w:val="20"/>
                <w:szCs w:val="20"/>
              </w:rPr>
              <w:t xml:space="preserve">Đã triển khai và đã chạy</w:t>
            </w:r>
          </w:p>
        </w:tc>
      </w:tr>
      <w:tr>
        <w:trPr>
          <w:cantSplit/>
        </w:trPr>
        <w:tc>
          <w:tcPr>
            <w:tcW w:type="dxa" w:w="2609"/>
            <w:vAlign w:val="center"/>
          </w:tcPr>
          <w:p>
            <w:pPr>
              <w:spacing w:before="20" w:after="20" w:line="260" w:lineRule="auto"/>
              <w:ind w:firstLine="0"/>
              <w:jc w:val="left"/>
            </w:pPr>
            <w:r>
              <w:rPr>
                <w:sz w:val="20"/>
                <w:szCs w:val="20"/>
              </w:rPr>
              <w:t xml:space="preserve">Sinh diễn giải bằng mô hình ngôn ngữ</w:t>
            </w:r>
          </w:p>
        </w:tc>
        <w:tc>
          <w:tcPr>
            <w:tcW w:type="dxa" w:w="3518"/>
            <w:vAlign w:val="center"/>
          </w:tcPr>
          <w:p>
            <w:pPr>
              <w:spacing w:before="20" w:after="20" w:line="260" w:lineRule="auto"/>
              <w:ind w:firstLine="0"/>
              <w:jc w:val="left"/>
            </w:pPr>
            <w:r>
              <w:rPr>
                <w:sz w:val="20"/>
                <w:szCs w:val="20"/>
              </w:rPr>
              <w:t xml:space="preserve">Gọi API OpenAI (mặc định gpt-5-mini) cho tối đa 30 phiếu ưu tiên; chỉ viết lại ba phần diễn giải</w:t>
            </w:r>
          </w:p>
        </w:tc>
        <w:tc>
          <w:tcPr>
            <w:tcW w:type="dxa" w:w="2944"/>
            <w:vAlign w:val="center"/>
          </w:tcPr>
          <w:p>
            <w:pPr>
              <w:spacing w:before="20" w:after="20" w:line="260" w:lineRule="auto"/>
              <w:ind w:firstLine="0"/>
              <w:jc w:val="left"/>
            </w:pPr>
            <w:r>
              <w:rPr>
                <w:sz w:val="20"/>
                <w:szCs w:val="20"/>
              </w:rPr>
              <w:t xml:space="preserve">Đã triển khai; chưa gọi thật (api_key_present = False); kiểm thử bằng mô phỏng</w:t>
            </w:r>
          </w:p>
        </w:tc>
      </w:tr>
      <w:tr>
        <w:trPr>
          <w:cantSplit/>
        </w:trPr>
        <w:tc>
          <w:tcPr>
            <w:tcW w:type="dxa" w:w="2609"/>
            <w:vAlign w:val="center"/>
          </w:tcPr>
          <w:p>
            <w:pPr>
              <w:spacing w:before="20" w:after="20" w:line="260" w:lineRule="auto"/>
              <w:ind w:firstLine="0"/>
              <w:jc w:val="left"/>
            </w:pPr>
            <w:r>
              <w:rPr>
                <w:sz w:val="20"/>
                <w:szCs w:val="20"/>
              </w:rPr>
              <w:t xml:space="preserve">Kiểm tra bám bằng chứng</w:t>
            </w:r>
          </w:p>
        </w:tc>
        <w:tc>
          <w:tcPr>
            <w:tcW w:type="dxa" w:w="3518"/>
            <w:vAlign w:val="center"/>
          </w:tcPr>
          <w:p>
            <w:pPr>
              <w:spacing w:before="20" w:after="20" w:line="260" w:lineRule="auto"/>
              <w:ind w:firstLine="0"/>
              <w:jc w:val="left"/>
            </w:pPr>
            <w:r>
              <w:rPr>
                <w:sz w:val="20"/>
                <w:szCs w:val="20"/>
              </w:rPr>
              <w:t xml:space="preserve">Mọi số &gt; 31 phải khớp bằng chứng (≤ 0,5% hoặc ≤ 0,5 đơn vị); không đạt → RULE_BASED_AFTER_GUARDRAIL</w:t>
            </w:r>
          </w:p>
        </w:tc>
        <w:tc>
          <w:tcPr>
            <w:tcW w:type="dxa" w:w="2944"/>
            <w:vAlign w:val="center"/>
          </w:tcPr>
          <w:p>
            <w:pPr>
              <w:spacing w:before="20" w:after="20" w:line="260" w:lineRule="auto"/>
              <w:ind w:firstLine="0"/>
              <w:jc w:val="left"/>
            </w:pPr>
            <w:r>
              <w:rPr>
                <w:sz w:val="20"/>
                <w:szCs w:val="20"/>
              </w:rPr>
              <w:t xml:space="preserve">Đã triển khai; chỉ kiểm thử bằng mô phỏng</w:t>
            </w:r>
          </w:p>
        </w:tc>
      </w:tr>
      <w:tr>
        <w:trPr>
          <w:cantSplit/>
        </w:trPr>
        <w:tc>
          <w:tcPr>
            <w:tcW w:type="dxa" w:w="2609"/>
            <w:vAlign w:val="center"/>
          </w:tcPr>
          <w:p>
            <w:pPr>
              <w:spacing w:before="20" w:after="20" w:line="260" w:lineRule="auto"/>
              <w:ind w:firstLine="0"/>
              <w:jc w:val="left"/>
            </w:pPr>
            <w:r>
              <w:rPr>
                <w:sz w:val="20"/>
                <w:szCs w:val="20"/>
              </w:rPr>
              <w:t xml:space="preserve">Biểu mẫu HITL</w:t>
            </w:r>
          </w:p>
        </w:tc>
        <w:tc>
          <w:tcPr>
            <w:tcW w:type="dxa" w:w="3518"/>
            <w:vAlign w:val="center"/>
          </w:tcPr>
          <w:p>
            <w:pPr>
              <w:spacing w:before="20" w:after="20" w:line="260" w:lineRule="auto"/>
              <w:ind w:firstLine="0"/>
              <w:jc w:val="left"/>
            </w:pPr>
            <w:r>
              <w:rPr>
                <w:sz w:val="20"/>
                <w:szCs w:val="20"/>
              </w:rPr>
              <w:t xml:space="preserve">Bắt buộc người phê duyệt và lý do; 4 quyết định; số lượng cuối cùng</w:t>
            </w:r>
          </w:p>
        </w:tc>
        <w:tc>
          <w:tcPr>
            <w:tcW w:type="dxa" w:w="2944"/>
            <w:vAlign w:val="center"/>
          </w:tcPr>
          <w:p>
            <w:pPr>
              <w:spacing w:before="20" w:after="20" w:line="260" w:lineRule="auto"/>
              <w:ind w:firstLine="0"/>
              <w:jc w:val="left"/>
            </w:pPr>
            <w:r>
              <w:rPr>
                <w:sz w:val="20"/>
                <w:szCs w:val="20"/>
              </w:rPr>
              <w:t xml:space="preserve">Đã triển khai trên trang 07; chưa có quyết định phê duyệt thật</w:t>
            </w:r>
          </w:p>
        </w:tc>
      </w:tr>
      <w:tr>
        <w:trPr>
          <w:cantSplit/>
        </w:trPr>
        <w:tc>
          <w:tcPr>
            <w:tcW w:type="dxa" w:w="2609"/>
            <w:vAlign w:val="center"/>
          </w:tcPr>
          <w:p>
            <w:pPr>
              <w:spacing w:before="20" w:after="20" w:line="260" w:lineRule="auto"/>
              <w:ind w:firstLine="0"/>
              <w:jc w:val="left"/>
            </w:pPr>
            <w:r>
              <w:rPr>
                <w:sz w:val="20"/>
                <w:szCs w:val="20"/>
              </w:rPr>
              <w:t xml:space="preserve">Nhật ký kiểm toán</w:t>
            </w:r>
          </w:p>
        </w:tc>
        <w:tc>
          <w:tcPr>
            <w:tcW w:type="dxa" w:w="3518"/>
            <w:vAlign w:val="center"/>
          </w:tcPr>
          <w:p>
            <w:pPr>
              <w:spacing w:before="20" w:after="20" w:line="260" w:lineRule="auto"/>
              <w:ind w:firstLine="0"/>
              <w:jc w:val="left"/>
            </w:pPr>
            <w:r>
              <w:rPr>
                <w:sz w:val="20"/>
                <w:szCs w:val="20"/>
              </w:rPr>
              <w:t xml:space="preserve">hitl_audit_log.csv 14 cột; mỗi quyết định ghi thêm một dòng</w:t>
            </w:r>
          </w:p>
        </w:tc>
        <w:tc>
          <w:tcPr>
            <w:tcW w:type="dxa" w:w="2944"/>
            <w:vAlign w:val="center"/>
          </w:tcPr>
          <w:p>
            <w:pPr>
              <w:spacing w:before="20" w:after="20" w:line="260" w:lineRule="auto"/>
              <w:ind w:firstLine="0"/>
              <w:jc w:val="left"/>
            </w:pPr>
            <w:r>
              <w:rPr>
                <w:sz w:val="20"/>
                <w:szCs w:val="20"/>
              </w:rPr>
              <w:t xml:space="preserve">Đã triển khai; chưa có bản ghi (tệp được tạo khi người dùng ghi quyết định đầu tiên)</w:t>
            </w:r>
          </w:p>
        </w:tc>
      </w:tr>
      <w:tr>
        <w:trPr>
          <w:cantSplit/>
        </w:trPr>
        <w:tc>
          <w:tcPr>
            <w:tcW w:type="dxa" w:w="2609"/>
            <w:vAlign w:val="center"/>
          </w:tcPr>
          <w:p>
            <w:pPr>
              <w:spacing w:before="20" w:after="20" w:line="260" w:lineRule="auto"/>
              <w:ind w:firstLine="0"/>
              <w:jc w:val="left"/>
            </w:pPr>
            <w:r>
              <w:rPr>
                <w:sz w:val="20"/>
                <w:szCs w:val="20"/>
              </w:rPr>
              <w:t xml:space="preserve">Xuất báo cáo và mẫu ra quyết định (trang 10)</w:t>
            </w:r>
          </w:p>
        </w:tc>
        <w:tc>
          <w:tcPr>
            <w:tcW w:type="dxa" w:w="3518"/>
            <w:vAlign w:val="center"/>
          </w:tcPr>
          <w:p>
            <w:pPr>
              <w:spacing w:before="20" w:after="20" w:line="260" w:lineRule="auto"/>
              <w:ind w:firstLine="0"/>
              <w:jc w:val="left"/>
            </w:pPr>
            <w:r>
              <w:rPr>
                <w:sz w:val="20"/>
                <w:szCs w:val="20"/>
              </w:rPr>
              <w:t xml:space="preserve">Workbook Excel nhiều sheet, báo cáo tóm tắt 1 trang (HTML, PDF A4) và Mẫu ra quyết định dự báo (.xlsx) theo phạm vi lọc; mọi giá trị đọc từ outputs/</w:t>
            </w:r>
          </w:p>
        </w:tc>
        <w:tc>
          <w:tcPr>
            <w:tcW w:type="dxa" w:w="2944"/>
            <w:vAlign w:val="center"/>
          </w:tcPr>
          <w:p>
            <w:pPr>
              <w:spacing w:before="20" w:after="20" w:line="260" w:lineRule="auto"/>
              <w:ind w:firstLine="0"/>
              <w:jc w:val="left"/>
            </w:pPr>
            <w:r>
              <w:rPr>
                <w:sz w:val="20"/>
                <w:szCs w:val="20"/>
              </w:rPr>
              <w:t xml:space="preserve">Đã triển khai; kiểm thử bằng sinh tệp, mở lại và tính lại công thức (mục 3.14.3)</w:t>
            </w:r>
          </w:p>
        </w:tc>
      </w:tr>
      <w:tr>
        <w:trPr>
          <w:cantSplit/>
        </w:trPr>
        <w:tc>
          <w:tcPr>
            <w:tcW w:type="dxa" w:w="2609"/>
            <w:vAlign w:val="center"/>
          </w:tcPr>
          <w:p>
            <w:pPr>
              <w:spacing w:before="20" w:after="20" w:line="260" w:lineRule="auto"/>
              <w:ind w:firstLine="0"/>
              <w:jc w:val="left"/>
            </w:pPr>
            <w:r>
              <w:rPr>
                <w:sz w:val="20"/>
                <w:szCs w:val="20"/>
              </w:rPr>
              <w:t xml:space="preserve">Phân quyền, phê duyệt nhiều cấp, ghi phiên bản lời nhắc và mô hình</w:t>
            </w:r>
          </w:p>
        </w:tc>
        <w:tc>
          <w:tcPr>
            <w:tcW w:type="dxa" w:w="3518"/>
            <w:vAlign w:val="center"/>
          </w:tcPr>
          <w:p>
            <w:pPr>
              <w:spacing w:before="20" w:after="20" w:line="260" w:lineRule="auto"/>
              <w:ind w:firstLine="0"/>
              <w:jc w:val="left"/>
            </w:pPr>
            <w:r>
              <w:rPr>
                <w:sz w:val="20"/>
                <w:szCs w:val="20"/>
              </w:rPr>
              <w:t xml:space="preserve">—</w:t>
            </w:r>
          </w:p>
        </w:tc>
        <w:tc>
          <w:tcPr>
            <w:tcW w:type="dxa" w:w="2944"/>
            <w:vAlign w:val="center"/>
          </w:tcPr>
          <w:p>
            <w:pPr>
              <w:spacing w:before="20" w:after="20" w:line="260" w:lineRule="auto"/>
              <w:ind w:firstLine="0"/>
              <w:jc w:val="left"/>
            </w:pPr>
            <w:r>
              <w:rPr>
                <w:sz w:val="20"/>
                <w:szCs w:val="20"/>
              </w:rPr>
              <w:t xml:space="preserve">Đề xuất, chưa triển khai</w:t>
            </w:r>
          </w:p>
        </w:tc>
      </w:tr>
      <w:tr>
        <w:trPr>
          <w:cantSplit/>
        </w:trPr>
        <w:tc>
          <w:tcPr>
            <w:tcW w:type="dxa" w:w="2609"/>
            <w:vAlign w:val="center"/>
          </w:tcPr>
          <w:p>
            <w:pPr>
              <w:spacing w:before="20" w:after="20" w:line="260" w:lineRule="auto"/>
              <w:ind w:firstLine="0"/>
              <w:jc w:val="left"/>
            </w:pPr>
            <w:r>
              <w:rPr>
                <w:sz w:val="20"/>
                <w:szCs w:val="20"/>
              </w:rPr>
              <w:t xml:space="preserve">Đánh giá độ trung thực và khả năng sử dụng với người dùng thực</w:t>
            </w:r>
          </w:p>
        </w:tc>
        <w:tc>
          <w:tcPr>
            <w:tcW w:type="dxa" w:w="3518"/>
            <w:vAlign w:val="center"/>
          </w:tcPr>
          <w:p>
            <w:pPr>
              <w:spacing w:before="20" w:after="20" w:line="260" w:lineRule="auto"/>
              <w:ind w:firstLine="0"/>
              <w:jc w:val="left"/>
            </w:pPr>
            <w:r>
              <w:rPr>
                <w:sz w:val="20"/>
                <w:szCs w:val="20"/>
              </w:rPr>
              <w:t xml:space="preserve">—</w:t>
            </w:r>
          </w:p>
        </w:tc>
        <w:tc>
          <w:tcPr>
            <w:tcW w:type="dxa" w:w="2944"/>
            <w:vAlign w:val="center"/>
          </w:tcPr>
          <w:p>
            <w:pPr>
              <w:spacing w:before="20" w:after="20" w:line="260" w:lineRule="auto"/>
              <w:ind w:firstLine="0"/>
              <w:jc w:val="left"/>
            </w:pPr>
            <w:r>
              <w:rPr>
                <w:sz w:val="20"/>
                <w:szCs w:val="20"/>
              </w:rPr>
              <w:t xml:space="preserve">Đề xuất, chưa thực hiện</w:t>
            </w:r>
          </w:p>
        </w:tc>
      </w:tr>
    </w:tbl>
    <w:p>
      <w:pPr>
        <w:spacing w:before="40" w:after="160"/>
        <w:ind w:firstLine="0"/>
      </w:pPr>
      <w:r>
        <w:rPr>
          <w:i/>
          <w:sz w:val="22"/>
          <w:szCs w:val="22"/>
        </w:rPr>
        <w:t xml:space="preserve">Nguồn: tổng hợp của tác giả từ 08_genai_decision_support.py, src/genai/decision.py, rag.py, assistant.py, app.py, src/export/*.py và genai_run_status.csv của lần chạy chính thức.</w:t>
      </w:r>
    </w:p>
    <w:p>
      <w:pPr>
        <w:pStyle w:val="Heading3"/>
        <w:keepNext/>
      </w:pPr>
      <w:r>
        <w:t xml:space="preserve">3.13.4. Con người trong vòng lặp, nhật ký kiểm toán và dashboard</w:t>
      </w:r>
    </w:p>
    <w:p>
      <w:pPr>
        <w:keepLines w:val="0"/>
        <w:spacing w:after="120"/>
        <w:ind w:firstLine="567"/>
      </w:pPr>
      <w:r>
        <w:t xml:space="preserve">Cơ chế con người trong vòng lặp (human-in-the-loop, HITL) tách khuyến nghị khỏi hành động: mọi phiếu ra khỏi Stage 08 ở trạng thái PENDING_HUMAN_REVIEW. Trên trang 07 · Trung tâm quyết định AI của dashboard, mỗi phiếu có một biểu mẫu phê duyệt, trong đó người phê duyệt bắt buộc nhập tên hoặc mã nhân viên và lý do, chọn một trong bốn quyết định APPROVED, ADJUSTED, REJECTED hoặc REVIEW_REQUESTED, và nhập số lượng cuối cùng, mặc định bằng số lượng đề xuất. Mỗi lần ghi thêm một dòng vào hitl_audit_log.csv với 14 cột: timestamp, case_id, store_nbr, family, risk, priority_rank, selected_model, recommended_action, recommended_qty, decision, final_qty, reviewer, note và assistant_mode. Mỗi quyết định được ghi nối tiếp thành một dòng mới, nên các quyết định trước đó không bị ghi đè.</w:t>
      </w:r>
    </w:p>
    <w:p>
      <w:pPr>
        <w:keepLines w:val="0"/>
        <w:spacing w:after="120"/>
        <w:ind w:firstLine="567"/>
      </w:pPr>
      <w:r>
        <w:t xml:space="preserve">Nhờ các trường này, nhật ký cho phép truy vết ai đã quyết định, quyết định gì, lệch bao nhiêu so với đề xuất và vì sao, đồng thời liên kết tới phiếu qua case_id. Thiết kế phù hợp với các hướng dẫn tương tác người – AI về khả năng hiểu, điều chỉnh và bác bỏ đề xuất của hệ thống (Amershi và cộng sự, 2019) và với tổng quan về học máy có con người trong vòng lặp (Wu và cộng sự, 2022). Tuy vậy, trong lần chạy chính thức chưa có quyết định phê duyệt thật nào; tệp nhật ký chỉ được tạo khi người dùng ghi quyết định đầu tiên trên dashboard, nên luận văn chưa có dữ liệu để phân tích hành vi phê duyệt. Phân quyền, phê duyệt nhiều cấp, ghi phiên bản mô hình và lời nhắc là đề xuất mở rộng, phù hợp với tinh thần tài liệu hóa mô hình (Mitchell và cộng sự, 2019) và cảnh báo về nợ kỹ thuật (Sculley và cộng sự, 2015).</w:t>
      </w:r>
    </w:p>
    <w:p>
      <w:pPr>
        <w:keepLines w:val="0"/>
        <w:spacing w:after="120"/>
        <w:ind w:firstLine="567"/>
      </w:pPr>
      <w:r>
        <w:t xml:space="preserve">Kết quả của toàn bộ quy trình được trình bày qua dashboard Streamlit (app.py) gồm 11 trang, liệt kê trong 3.14. Dashboard chỉ đọc các tệp đầu ra thực tế và không tự tạo thước đo. Trang 07 hiển thị các chỉ số tóm tắt (số phiếu, chế độ diễn giải, số bản bị loại, số chuỗi lớn, số cảnh báo ngoại suy), hàng đợi ưu tiên có bộ lọc, thẻ phiếu với ba phương án và các tab bằng chứng, kịch bản, chính sách, giả định cùng phiếu Markdown tải về, kèm nút tải mẫu ra quyết định cho các phiếu đang lọc. Trang 10 gom các chức năng xuất tệp cho người lập kế hoạch (mục 3.13.5). Dashboard không thay đổi kết quả định lượng nào, nên mọi giới hạn đã nêu cũng hiện diện nguyên vẹn trên giao diện; khả năng sử dụng với người dùng thực chưa được đánh giá.</w:t>
      </w:r>
    </w:p>
    <w:p>
      <w:pPr>
        <w:keepNext/>
        <w:spacing w:before="120" w:after="60"/>
        <w:ind w:firstLine="0"/>
        <w:jc w:val="center"/>
      </w:pPr>
      <w:r>
        <w:t xml:space="preserve">Bảng 3.14. Mười một trang của dashboard Streamlit và liên hệ với các mục phương pháp</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576"/>
        <w:gridCol w:w="4840"/>
        <w:gridCol w:w="1655"/>
      </w:tblGrid>
      <w:tr>
        <w:trPr>
          <w:tblHeader/>
          <w:cantSplit/>
        </w:trPr>
        <w:tc>
          <w:tcPr>
            <w:tcW w:type="dxa" w:w="2576"/>
            <w:shd w:val="clear" w:color="auto" w:fill="D9E2F3"/>
            <w:vAlign w:val="center"/>
          </w:tcPr>
          <w:p>
            <w:pPr>
              <w:spacing w:before="20" w:after="20" w:line="260" w:lineRule="auto"/>
              <w:ind w:firstLine="0"/>
              <w:jc w:val="center"/>
            </w:pPr>
            <w:r>
              <w:rPr>
                <w:b/>
                <w:sz w:val="20"/>
                <w:szCs w:val="20"/>
              </w:rPr>
              <w:t xml:space="preserve">Trang</w:t>
            </w:r>
          </w:p>
        </w:tc>
        <w:tc>
          <w:tcPr>
            <w:tcW w:type="dxa" w:w="4840"/>
            <w:shd w:val="clear" w:color="auto" w:fill="D9E2F3"/>
            <w:vAlign w:val="center"/>
          </w:tcPr>
          <w:p>
            <w:pPr>
              <w:spacing w:before="20" w:after="20" w:line="260" w:lineRule="auto"/>
              <w:ind w:firstLine="0"/>
              <w:jc w:val="center"/>
            </w:pPr>
            <w:r>
              <w:rPr>
                <w:b/>
                <w:sz w:val="20"/>
                <w:szCs w:val="20"/>
              </w:rPr>
              <w:t xml:space="preserve">Nội dung chính</w:t>
            </w:r>
          </w:p>
        </w:tc>
        <w:tc>
          <w:tcPr>
            <w:tcW w:type="dxa" w:w="1655"/>
            <w:shd w:val="clear" w:color="auto" w:fill="D9E2F3"/>
            <w:vAlign w:val="center"/>
          </w:tcPr>
          <w:p>
            <w:pPr>
              <w:spacing w:before="20" w:after="20" w:line="260" w:lineRule="auto"/>
              <w:ind w:firstLine="0"/>
              <w:jc w:val="center"/>
            </w:pPr>
            <w:r>
              <w:rPr>
                <w:b/>
                <w:sz w:val="20"/>
                <w:szCs w:val="20"/>
              </w:rPr>
              <w:t xml:space="preserve">Mục liên quan</w:t>
            </w:r>
          </w:p>
        </w:tc>
      </w:tr>
      <w:tr>
        <w:trPr>
          <w:cantSplit/>
        </w:trPr>
        <w:tc>
          <w:tcPr>
            <w:tcW w:type="dxa" w:w="2576"/>
            <w:vAlign w:val="center"/>
          </w:tcPr>
          <w:p>
            <w:pPr>
              <w:spacing w:before="20" w:after="20" w:line="260" w:lineRule="auto"/>
              <w:ind w:firstLine="0"/>
              <w:jc w:val="left"/>
            </w:pPr>
            <w:r>
              <w:rPr>
                <w:sz w:val="20"/>
                <w:szCs w:val="20"/>
              </w:rPr>
              <w:t xml:space="preserve">Tổng quan điều hành</w:t>
            </w:r>
          </w:p>
        </w:tc>
        <w:tc>
          <w:tcPr>
            <w:tcW w:type="dxa" w:w="4840"/>
            <w:vAlign w:val="center"/>
          </w:tcPr>
          <w:p>
            <w:pPr>
              <w:spacing w:before="20" w:after="20" w:line="260" w:lineRule="auto"/>
              <w:ind w:firstLine="0"/>
              <w:jc w:val="left"/>
            </w:pPr>
            <w:r>
              <w:rPr>
                <w:sz w:val="20"/>
                <w:szCs w:val="20"/>
              </w:rPr>
              <w:t xml:space="preserve">Chỉ số tổng hợp và mô hình được chọn theo kiểm định chéo</w:t>
            </w:r>
          </w:p>
        </w:tc>
        <w:tc>
          <w:tcPr>
            <w:tcW w:type="dxa" w:w="1655"/>
            <w:vAlign w:val="center"/>
          </w:tcPr>
          <w:p>
            <w:pPr>
              <w:spacing w:before="20" w:after="20" w:line="260" w:lineRule="auto"/>
              <w:ind w:firstLine="0"/>
              <w:jc w:val="left"/>
            </w:pPr>
            <w:r>
              <w:rPr>
                <w:sz w:val="20"/>
                <w:szCs w:val="20"/>
              </w:rPr>
              <w:t xml:space="preserve">3.8–3.9</w:t>
            </w:r>
          </w:p>
        </w:tc>
      </w:tr>
      <w:tr>
        <w:trPr>
          <w:cantSplit/>
        </w:trPr>
        <w:tc>
          <w:tcPr>
            <w:tcW w:type="dxa" w:w="2576"/>
            <w:vAlign w:val="center"/>
          </w:tcPr>
          <w:p>
            <w:pPr>
              <w:spacing w:before="20" w:after="20" w:line="260" w:lineRule="auto"/>
              <w:ind w:firstLine="0"/>
              <w:jc w:val="left"/>
            </w:pPr>
            <w:r>
              <w:rPr>
                <w:sz w:val="20"/>
                <w:szCs w:val="20"/>
              </w:rPr>
              <w:t xml:space="preserve">01 · Dữ liệu và EDA</w:t>
            </w:r>
          </w:p>
        </w:tc>
        <w:tc>
          <w:tcPr>
            <w:tcW w:type="dxa" w:w="4840"/>
            <w:vAlign w:val="center"/>
          </w:tcPr>
          <w:p>
            <w:pPr>
              <w:spacing w:before="20" w:after="20" w:line="260" w:lineRule="auto"/>
              <w:ind w:firstLine="0"/>
              <w:jc w:val="left"/>
            </w:pPr>
            <w:r>
              <w:rPr>
                <w:sz w:val="20"/>
                <w:szCs w:val="20"/>
              </w:rPr>
              <w:t xml:space="preserve">Quy mô, chất lượng dữ liệu và thống kê mô tả</w:t>
            </w:r>
          </w:p>
        </w:tc>
        <w:tc>
          <w:tcPr>
            <w:tcW w:type="dxa" w:w="1655"/>
            <w:vAlign w:val="center"/>
          </w:tcPr>
          <w:p>
            <w:pPr>
              <w:spacing w:before="20" w:after="20" w:line="260" w:lineRule="auto"/>
              <w:ind w:firstLine="0"/>
              <w:jc w:val="left"/>
            </w:pPr>
            <w:r>
              <w:rPr>
                <w:sz w:val="20"/>
                <w:szCs w:val="20"/>
              </w:rPr>
              <w:t xml:space="preserve">3.2–3.3</w:t>
            </w:r>
          </w:p>
        </w:tc>
      </w:tr>
      <w:tr>
        <w:trPr>
          <w:cantSplit/>
        </w:trPr>
        <w:tc>
          <w:tcPr>
            <w:tcW w:type="dxa" w:w="2576"/>
            <w:vAlign w:val="center"/>
          </w:tcPr>
          <w:p>
            <w:pPr>
              <w:spacing w:before="20" w:after="20" w:line="260" w:lineRule="auto"/>
              <w:ind w:firstLine="0"/>
              <w:jc w:val="left"/>
            </w:pPr>
            <w:r>
              <w:rPr>
                <w:sz w:val="20"/>
                <w:szCs w:val="20"/>
              </w:rPr>
              <w:t xml:space="preserve">02 · Phân tích chuỗi thời gian</w:t>
            </w:r>
          </w:p>
        </w:tc>
        <w:tc>
          <w:tcPr>
            <w:tcW w:type="dxa" w:w="4840"/>
            <w:vAlign w:val="center"/>
          </w:tcPr>
          <w:p>
            <w:pPr>
              <w:spacing w:before="20" w:after="20" w:line="260" w:lineRule="auto"/>
              <w:ind w:firstLine="0"/>
              <w:jc w:val="left"/>
            </w:pPr>
            <w:r>
              <w:rPr>
                <w:sz w:val="20"/>
                <w:szCs w:val="20"/>
              </w:rPr>
              <w:t xml:space="preserve">Chuỗi tổng theo ngày và phân rã Robust STL</w:t>
            </w:r>
          </w:p>
        </w:tc>
        <w:tc>
          <w:tcPr>
            <w:tcW w:type="dxa" w:w="1655"/>
            <w:vAlign w:val="center"/>
          </w:tcPr>
          <w:p>
            <w:pPr>
              <w:spacing w:before="20" w:after="20" w:line="260" w:lineRule="auto"/>
              <w:ind w:firstLine="0"/>
              <w:jc w:val="left"/>
            </w:pPr>
            <w:r>
              <w:rPr>
                <w:sz w:val="20"/>
                <w:szCs w:val="20"/>
              </w:rPr>
              <w:t xml:space="preserve">3.3–3.4</w:t>
            </w:r>
          </w:p>
        </w:tc>
      </w:tr>
      <w:tr>
        <w:trPr>
          <w:cantSplit/>
        </w:trPr>
        <w:tc>
          <w:tcPr>
            <w:tcW w:type="dxa" w:w="2576"/>
            <w:vAlign w:val="center"/>
          </w:tcPr>
          <w:p>
            <w:pPr>
              <w:spacing w:before="20" w:after="20" w:line="260" w:lineRule="auto"/>
              <w:ind w:firstLine="0"/>
              <w:jc w:val="left"/>
            </w:pPr>
            <w:r>
              <w:rPr>
                <w:sz w:val="20"/>
                <w:szCs w:val="20"/>
              </w:rPr>
              <w:t xml:space="preserve">03 · So sánh mô hình</w:t>
            </w:r>
          </w:p>
        </w:tc>
        <w:tc>
          <w:tcPr>
            <w:tcW w:type="dxa" w:w="4840"/>
            <w:vAlign w:val="center"/>
          </w:tcPr>
          <w:p>
            <w:pPr>
              <w:spacing w:before="20" w:after="20" w:line="260" w:lineRule="auto"/>
              <w:ind w:firstLine="0"/>
              <w:jc w:val="left"/>
            </w:pPr>
            <w:r>
              <w:rPr>
                <w:sz w:val="20"/>
                <w:szCs w:val="20"/>
              </w:rPr>
              <w:t xml:space="preserve">Bảng xếp hạng năm mô hình, kết quả từng lần kiểm định, mô hình được chọn</w:t>
            </w:r>
          </w:p>
        </w:tc>
        <w:tc>
          <w:tcPr>
            <w:tcW w:type="dxa" w:w="1655"/>
            <w:vAlign w:val="center"/>
          </w:tcPr>
          <w:p>
            <w:pPr>
              <w:spacing w:before="20" w:after="20" w:line="260" w:lineRule="auto"/>
              <w:ind w:firstLine="0"/>
              <w:jc w:val="left"/>
            </w:pPr>
            <w:r>
              <w:rPr>
                <w:sz w:val="20"/>
                <w:szCs w:val="20"/>
              </w:rPr>
              <w:t xml:space="preserve">3.7–3.9</w:t>
            </w:r>
          </w:p>
        </w:tc>
      </w:tr>
      <w:tr>
        <w:trPr>
          <w:cantSplit/>
        </w:trPr>
        <w:tc>
          <w:tcPr>
            <w:tcW w:type="dxa" w:w="2576"/>
            <w:vAlign w:val="center"/>
          </w:tcPr>
          <w:p>
            <w:pPr>
              <w:spacing w:before="20" w:after="20" w:line="260" w:lineRule="auto"/>
              <w:ind w:firstLine="0"/>
              <w:jc w:val="left"/>
            </w:pPr>
            <w:r>
              <w:rPr>
                <w:sz w:val="20"/>
                <w:szCs w:val="20"/>
              </w:rPr>
              <w:t xml:space="preserve">04 · Dự báo xác suất</w:t>
            </w:r>
          </w:p>
        </w:tc>
        <w:tc>
          <w:tcPr>
            <w:tcW w:type="dxa" w:w="4840"/>
            <w:vAlign w:val="center"/>
          </w:tcPr>
          <w:p>
            <w:pPr>
              <w:spacing w:before="20" w:after="20" w:line="260" w:lineRule="auto"/>
              <w:ind w:firstLine="0"/>
              <w:jc w:val="left"/>
            </w:pPr>
            <w:r>
              <w:rPr>
                <w:sz w:val="20"/>
                <w:szCs w:val="20"/>
              </w:rPr>
              <w:t xml:space="preserve">P10/P50/P90 và các thước đo xác suất</w:t>
            </w:r>
          </w:p>
        </w:tc>
        <w:tc>
          <w:tcPr>
            <w:tcW w:type="dxa" w:w="1655"/>
            <w:vAlign w:val="center"/>
          </w:tcPr>
          <w:p>
            <w:pPr>
              <w:spacing w:before="20" w:after="20" w:line="260" w:lineRule="auto"/>
              <w:ind w:firstLine="0"/>
              <w:jc w:val="center"/>
            </w:pPr>
            <w:r>
              <w:rPr>
                <w:sz w:val="20"/>
                <w:szCs w:val="20"/>
              </w:rPr>
              <w:t xml:space="preserve">3.10</w:t>
            </w:r>
          </w:p>
        </w:tc>
      </w:tr>
      <w:tr>
        <w:trPr>
          <w:cantSplit/>
        </w:trPr>
        <w:tc>
          <w:tcPr>
            <w:tcW w:type="dxa" w:w="2576"/>
            <w:vAlign w:val="center"/>
          </w:tcPr>
          <w:p>
            <w:pPr>
              <w:spacing w:before="20" w:after="20" w:line="260" w:lineRule="auto"/>
              <w:ind w:firstLine="0"/>
              <w:jc w:val="left"/>
            </w:pPr>
            <w:r>
              <w:rPr>
                <w:sz w:val="20"/>
                <w:szCs w:val="20"/>
              </w:rPr>
              <w:t xml:space="preserve">05 · Mô phỏng khuyến mãi</w:t>
            </w:r>
          </w:p>
        </w:tc>
        <w:tc>
          <w:tcPr>
            <w:tcW w:type="dxa" w:w="4840"/>
            <w:vAlign w:val="center"/>
          </w:tcPr>
          <w:p>
            <w:pPr>
              <w:spacing w:before="20" w:after="20" w:line="260" w:lineRule="auto"/>
              <w:ind w:firstLine="0"/>
              <w:jc w:val="left"/>
            </w:pPr>
            <w:r>
              <w:rPr>
                <w:sz w:val="20"/>
                <w:szCs w:val="20"/>
              </w:rPr>
              <w:t xml:space="preserve">Năm kịch bản onpromotion và các chuỗi nhạy nhất</w:t>
            </w:r>
          </w:p>
        </w:tc>
        <w:tc>
          <w:tcPr>
            <w:tcW w:type="dxa" w:w="1655"/>
            <w:vAlign w:val="center"/>
          </w:tcPr>
          <w:p>
            <w:pPr>
              <w:spacing w:before="20" w:after="20" w:line="260" w:lineRule="auto"/>
              <w:ind w:firstLine="0"/>
              <w:jc w:val="center"/>
            </w:pPr>
            <w:r>
              <w:rPr>
                <w:sz w:val="20"/>
                <w:szCs w:val="20"/>
              </w:rPr>
              <w:t xml:space="preserve">3.11</w:t>
            </w:r>
          </w:p>
        </w:tc>
      </w:tr>
      <w:tr>
        <w:trPr>
          <w:cantSplit/>
        </w:trPr>
        <w:tc>
          <w:tcPr>
            <w:tcW w:type="dxa" w:w="2576"/>
            <w:vAlign w:val="center"/>
          </w:tcPr>
          <w:p>
            <w:pPr>
              <w:spacing w:before="20" w:after="20" w:line="260" w:lineRule="auto"/>
              <w:ind w:firstLine="0"/>
              <w:jc w:val="left"/>
            </w:pPr>
            <w:r>
              <w:rPr>
                <w:sz w:val="20"/>
                <w:szCs w:val="20"/>
              </w:rPr>
              <w:t xml:space="preserve">06 · Tồn kho và Rủi ro</w:t>
            </w:r>
          </w:p>
        </w:tc>
        <w:tc>
          <w:tcPr>
            <w:tcW w:type="dxa" w:w="4840"/>
            <w:vAlign w:val="center"/>
          </w:tcPr>
          <w:p>
            <w:pPr>
              <w:spacing w:before="20" w:after="20" w:line="260" w:lineRule="auto"/>
              <w:ind w:firstLine="0"/>
              <w:jc w:val="left"/>
            </w:pPr>
            <w:r>
              <w:rPr>
                <w:sz w:val="20"/>
                <w:szCs w:val="20"/>
              </w:rPr>
              <w:t xml:space="preserve">Các đại lượng tồn kho và nhãn rủi ro</w:t>
            </w:r>
          </w:p>
        </w:tc>
        <w:tc>
          <w:tcPr>
            <w:tcW w:type="dxa" w:w="1655"/>
            <w:vAlign w:val="center"/>
          </w:tcPr>
          <w:p>
            <w:pPr>
              <w:spacing w:before="20" w:after="20" w:line="260" w:lineRule="auto"/>
              <w:ind w:firstLine="0"/>
              <w:jc w:val="center"/>
            </w:pPr>
            <w:r>
              <w:rPr>
                <w:sz w:val="20"/>
                <w:szCs w:val="20"/>
              </w:rPr>
              <w:t xml:space="preserve">3.12</w:t>
            </w:r>
          </w:p>
        </w:tc>
      </w:tr>
      <w:tr>
        <w:trPr>
          <w:cantSplit/>
        </w:trPr>
        <w:tc>
          <w:tcPr>
            <w:tcW w:type="dxa" w:w="2576"/>
            <w:vAlign w:val="center"/>
          </w:tcPr>
          <w:p>
            <w:pPr>
              <w:spacing w:before="20" w:after="20" w:line="260" w:lineRule="auto"/>
              <w:ind w:firstLine="0"/>
              <w:jc w:val="left"/>
            </w:pPr>
            <w:r>
              <w:rPr>
                <w:sz w:val="20"/>
                <w:szCs w:val="20"/>
              </w:rPr>
              <w:t xml:space="preserve">07 · Trung tâm quyết định AI</w:t>
            </w:r>
          </w:p>
        </w:tc>
        <w:tc>
          <w:tcPr>
            <w:tcW w:type="dxa" w:w="4840"/>
            <w:vAlign w:val="center"/>
          </w:tcPr>
          <w:p>
            <w:pPr>
              <w:spacing w:before="20" w:after="20" w:line="260" w:lineRule="auto"/>
              <w:ind w:firstLine="0"/>
              <w:jc w:val="left"/>
            </w:pPr>
            <w:r>
              <w:rPr>
                <w:sz w:val="20"/>
                <w:szCs w:val="20"/>
              </w:rPr>
              <w:t xml:space="preserve">Hàng đợi ưu tiên có bộ lọc, thẻ phiếu, ba phương án, các tab bằng chứng/kịch bản/chính sách/giả định/phiếu Markdown, nút tải mẫu ra quyết định, biểu mẫu HITL và nhật ký</w:t>
            </w:r>
          </w:p>
        </w:tc>
        <w:tc>
          <w:tcPr>
            <w:tcW w:type="dxa" w:w="1655"/>
            <w:vAlign w:val="center"/>
          </w:tcPr>
          <w:p>
            <w:pPr>
              <w:spacing w:before="20" w:after="20" w:line="260" w:lineRule="auto"/>
              <w:ind w:firstLine="0"/>
              <w:jc w:val="center"/>
            </w:pPr>
            <w:r>
              <w:rPr>
                <w:sz w:val="20"/>
                <w:szCs w:val="20"/>
              </w:rPr>
              <w:t xml:space="preserve">3.13</w:t>
            </w:r>
          </w:p>
        </w:tc>
      </w:tr>
      <w:tr>
        <w:trPr>
          <w:cantSplit/>
        </w:trPr>
        <w:tc>
          <w:tcPr>
            <w:tcW w:type="dxa" w:w="2576"/>
            <w:vAlign w:val="center"/>
          </w:tcPr>
          <w:p>
            <w:pPr>
              <w:spacing w:before="20" w:after="20" w:line="260" w:lineRule="auto"/>
              <w:ind w:firstLine="0"/>
              <w:jc w:val="left"/>
            </w:pPr>
            <w:r>
              <w:rPr>
                <w:sz w:val="20"/>
                <w:szCs w:val="20"/>
              </w:rPr>
              <w:t xml:space="preserve">08 · Phân tích sai số và Case Study</w:t>
            </w:r>
          </w:p>
        </w:tc>
        <w:tc>
          <w:tcPr>
            <w:tcW w:type="dxa" w:w="4840"/>
            <w:vAlign w:val="center"/>
          </w:tcPr>
          <w:p>
            <w:pPr>
              <w:spacing w:before="20" w:after="20" w:line="260" w:lineRule="auto"/>
              <w:ind w:firstLine="0"/>
              <w:jc w:val="left"/>
            </w:pPr>
            <w:r>
              <w:rPr>
                <w:sz w:val="20"/>
                <w:szCs w:val="20"/>
              </w:rPr>
              <w:t xml:space="preserve">Sai số theo cửa hàng, nhóm, chuỗi, mức nhu cầu; các trường hợp đại diện</w:t>
            </w:r>
          </w:p>
        </w:tc>
        <w:tc>
          <w:tcPr>
            <w:tcW w:type="dxa" w:w="1655"/>
            <w:vAlign w:val="center"/>
          </w:tcPr>
          <w:p>
            <w:pPr>
              <w:spacing w:before="20" w:after="20" w:line="260" w:lineRule="auto"/>
              <w:ind w:firstLine="0"/>
              <w:jc w:val="left"/>
            </w:pPr>
            <w:r>
              <w:rPr>
                <w:sz w:val="20"/>
                <w:szCs w:val="20"/>
              </w:rPr>
              <w:t xml:space="preserve">Chương 4</w:t>
            </w:r>
          </w:p>
        </w:tc>
      </w:tr>
      <w:tr>
        <w:trPr>
          <w:cantSplit/>
        </w:trPr>
        <w:tc>
          <w:tcPr>
            <w:tcW w:type="dxa" w:w="2576"/>
            <w:vAlign w:val="center"/>
          </w:tcPr>
          <w:p>
            <w:pPr>
              <w:spacing w:before="20" w:after="20" w:line="260" w:lineRule="auto"/>
              <w:ind w:firstLine="0"/>
              <w:jc w:val="left"/>
            </w:pPr>
            <w:r>
              <w:rPr>
                <w:sz w:val="20"/>
                <w:szCs w:val="20"/>
              </w:rPr>
              <w:t xml:space="preserve">09 · Kết quả nghiên cứu</w:t>
            </w:r>
          </w:p>
        </w:tc>
        <w:tc>
          <w:tcPr>
            <w:tcW w:type="dxa" w:w="4840"/>
            <w:vAlign w:val="center"/>
          </w:tcPr>
          <w:p>
            <w:pPr>
              <w:spacing w:before="20" w:after="20" w:line="260" w:lineRule="auto"/>
              <w:ind w:firstLine="0"/>
              <w:jc w:val="left"/>
            </w:pPr>
            <w:r>
              <w:rPr>
                <w:sz w:val="20"/>
                <w:szCs w:val="20"/>
              </w:rPr>
              <w:t xml:space="preserve">Tổng hợp kết quả nghiên cứu</w:t>
            </w:r>
          </w:p>
        </w:tc>
        <w:tc>
          <w:tcPr>
            <w:tcW w:type="dxa" w:w="1655"/>
            <w:vAlign w:val="center"/>
          </w:tcPr>
          <w:p>
            <w:pPr>
              <w:spacing w:before="20" w:after="20" w:line="260" w:lineRule="auto"/>
              <w:ind w:firstLine="0"/>
              <w:jc w:val="left"/>
            </w:pPr>
            <w:r>
              <w:rPr>
                <w:sz w:val="20"/>
                <w:szCs w:val="20"/>
              </w:rPr>
              <w:t xml:space="preserve">Chương 4</w:t>
            </w:r>
          </w:p>
        </w:tc>
      </w:tr>
      <w:tr>
        <w:trPr>
          <w:cantSplit/>
        </w:trPr>
        <w:tc>
          <w:tcPr>
            <w:tcW w:type="dxa" w:w="2576"/>
            <w:vAlign w:val="center"/>
          </w:tcPr>
          <w:p>
            <w:pPr>
              <w:spacing w:before="20" w:after="20" w:line="260" w:lineRule="auto"/>
              <w:ind w:firstLine="0"/>
              <w:jc w:val="left"/>
            </w:pPr>
            <w:r>
              <w:rPr>
                <w:sz w:val="20"/>
                <w:szCs w:val="20"/>
              </w:rPr>
              <w:t xml:space="preserve">10 · Xuất báo cáo và Mẫu quyết định</w:t>
            </w:r>
          </w:p>
        </w:tc>
        <w:tc>
          <w:tcPr>
            <w:tcW w:type="dxa" w:w="4840"/>
            <w:vAlign w:val="center"/>
          </w:tcPr>
          <w:p>
            <w:pPr>
              <w:spacing w:before="20" w:after="20" w:line="260" w:lineRule="auto"/>
              <w:ind w:firstLine="0"/>
              <w:jc w:val="left"/>
            </w:pPr>
            <w:r>
              <w:rPr>
                <w:sz w:val="20"/>
                <w:szCs w:val="20"/>
              </w:rPr>
              <w:t xml:space="preserve">Chọn phạm vi (cửa hàng, nhóm hàng, nhãn rủi ro); tải workbook Excel nhiều sheet, báo cáo tóm tắt 1 trang (HTML, PDF A4) và Mẫu ra quyết định dự báo (.xlsx)</w:t>
            </w:r>
          </w:p>
        </w:tc>
        <w:tc>
          <w:tcPr>
            <w:tcW w:type="dxa" w:w="1655"/>
            <w:vAlign w:val="center"/>
          </w:tcPr>
          <w:p>
            <w:pPr>
              <w:spacing w:before="20" w:after="20" w:line="260" w:lineRule="auto"/>
              <w:ind w:firstLine="0"/>
              <w:jc w:val="center"/>
            </w:pPr>
            <w:r>
              <w:rPr>
                <w:sz w:val="20"/>
                <w:szCs w:val="20"/>
              </w:rPr>
              <w:t xml:space="preserve">3.13.5, 3.14.3</w:t>
            </w:r>
          </w:p>
        </w:tc>
      </w:tr>
    </w:tbl>
    <w:p>
      <w:pPr>
        <w:spacing w:before="40" w:after="160"/>
        <w:ind w:firstLine="0"/>
      </w:pPr>
      <w:r>
        <w:rPr>
          <w:i/>
          <w:sz w:val="22"/>
          <w:szCs w:val="22"/>
        </w:rPr>
        <w:t xml:space="preserve">Nguồn: tổng hợp của tác giả từ danh sách trang, nội dung trang 07 và trang 10 trong app.py và src/export/; nội dung các trang khác được tóm tắt ở mức chức năng.</w:t>
      </w:r>
    </w:p>
    <w:p>
      <w:pPr>
        <w:pStyle w:val="Heading3"/>
        <w:keepNext/>
      </w:pPr>
      <w:r>
        <w:t xml:space="preserve">3.13.5. Xuất báo cáo và mẫu ra quyết định dự báo</w:t>
      </w:r>
    </w:p>
    <w:p>
      <w:pPr>
        <w:keepLines w:val="0"/>
        <w:spacing w:after="120"/>
        <w:ind w:firstLine="567"/>
      </w:pPr>
      <w:r>
        <w:t xml:space="preserve">Trang 10 · Xuất báo cáo và Mẫu quyết định (các mô-đun trong src/export/) đưa kết quả của quy trình ra khỏi dashboard dưới dạng tệp mà người lập kế hoạch có thể lưu, gửi và xử lý tiếp. Người dùng chọn phạm vi theo cửa hàng, nhóm hàng và nhãn rủi ro, rồi tải một trong ba loại tệp. Loại thứ nhất là workbook Excel nhiều sheet gồm Bìa, KPI kèm ba biểu đồ Excel, Mô hình – CV, Kiểm tra cuối, Dự báo theo ngày, Tồn kho, Khuyến mãi, Hàng đợi quyết định và Sai số theo chuỗi, có bộ lọc, cố định dòng tiêu đề, định dạng số và tô màu theo nhãn rủi ro. Loại thứ hai là báo cáo tóm tắt một trang ở dạng HTML, có nút In / Lưu PDF, và ở dạng PDF khổ A4. Loại thứ ba là Mẫu ra quyết định dự báo (.xlsx), công cụ nối dự báo với thao tác phê duyệt ngoài dashboard. Mọi giá trị trong các tệp xuất được đọc từ outputs/, không có số liệu mới được tạo ra, và kỳ dự báo trong tệp là 31/07/2017–15/08/2017, tức tập kiểm tra cuối.</w:t>
      </w:r>
    </w:p>
    <w:p>
      <w:pPr>
        <w:keepLines w:val="0"/>
        <w:spacing w:after="120"/>
        <w:ind w:firstLine="567"/>
      </w:pPr>
      <w:r>
        <w:t xml:space="preserve">Mẫu ra quyết định có mỗi dòng là một chuỗi, gồm P10/P50/P90, nhãn rủi ro, mức tin cậy, ba mức mục tiêu A (P50), B (q* nội suy) và C (P90), phương án và số lượng đề xuất; các cột này bị khóa để người dùng không vô tình sửa kết quả của mô hình. Phần nhập liệu dành cho người lập kế hoạch gồm tồn kho thực tế, hàng đang về, quyết định chọn từ danh sách Duyệt / Điều chỉnh / Từ chối / Yêu cầu xem lại, phương án A/B/C/Khác, số lượng cuối, lý do, người duyệt và ngày duyệt. Công thức trong mẫu tính mục tiêu theo phương án đã chọn, số lượng cần theo tồn thực bằng max(mục tiêu − tồn thực − hàng đang về, 0) và chênh lệch so với nhu cầu; cột Kiểm soát gắn cờ khi thiếu lý do hoặc người duyệt, khi số lượng vượt mục tiêu P90, khi lệch quá 30% hoặc khi chuỗi có cảnh báo ngoại suy khuyến mãi, và sheet Tổng hợp gom các quyết định. Thiết kế này thay giả định vị thế tồn kho 0,8 × P50 bằng tồn kho thực do người dùng nhập, đúng tinh thần quy định mẫu POL-INV-001, đồng thời giữ các yêu cầu của POL-HITL-001 về người phê duyệt và lý do.</w:t>
      </w:r>
    </w:p>
    <w:p>
      <w:pPr>
        <w:pStyle w:val="Heading2"/>
        <w:keepNext/>
      </w:pPr>
      <w:r>
        <w:t xml:space="preserve">3.14. Tái lập và kiểm thử quy trình</w:t>
      </w:r>
    </w:p>
    <w:p>
      <w:pPr>
        <w:pStyle w:val="Heading3"/>
        <w:keepNext/>
      </w:pPr>
      <w:r>
        <w:t xml:space="preserve">3.14.1. Cách chạy lại toàn bộ quy trình và thứ tự các stage</w:t>
      </w:r>
    </w:p>
    <w:p>
      <w:pPr>
        <w:keepLines w:val="0"/>
        <w:spacing w:after="120"/>
        <w:ind w:firstLine="567"/>
      </w:pPr>
      <w:r>
        <w:t xml:space="preserve">Mọi kết quả của luận văn đến từ một lần chạy chính thức duy nhất của quy trình, thực hiện tuần tự từ tệp dữ liệu thô data/raw/train.csv. Để tái lập, người dùng đặt các tệp của cuộc thi Store Sales – Time Series Forecasting (Kaggle, n.d.) vào data/raw, gồm train.csv và bốn tệp bổ sung stores.csv, oil.csv, transactions.csv, holidays_events.csv, rồi chạy tệp START_WINDOWS.bat trên Windows. Tệp này tạo môi trường ảo.venv, cài các thư viện trong requirements.txt, chạy lần lượt Stage 01 đến Stage 14 và cuối cùng mở dashboard. Trên hệ điều hành khác, có thể chạy lần lượt các tệp 01–14 bằng Python theo đúng thứ tự. Mọi đầu ra được ghi vào outputs/ và REPORT_READY/, nên một lần chạy lại từ đầu sẽ sinh lại toàn bộ bảng, hình, phiếu khuyến nghị và dữ liệu cho dashboard mà không cần thao tác thủ công nào.</w:t>
      </w:r>
    </w:p>
    <w:p>
      <w:pPr>
        <w:keepLines w:val="0"/>
        <w:spacing w:after="120"/>
        <w:ind w:firstLine="567"/>
      </w:pPr>
      <w:r>
        <w:t xml:space="preserve">Khả năng tái lập dựa trên bốn quy ước. Thứ nhất, các hằng số dùng chung được cố định trong src/common.py: kỳ dự báo H = 16 và SEED = 42; hạt giống này được truyền vào random_state của Random Forest, XGBoost, LightGBM và vào phép lấy mẫu 600.000 dòng. Thứ hai, mỗi stage là một tệp Python độc lập, ghi kết quả vào thư mục riêng trong outputs và chỉ đọc đầu ra của các stage đứng trước, nên luồng dữ liệu một chiều và có thể kiểm tra theo từng bước. Thứ ba, Stage 13 (13_build_report_ready.py) sinh trực tiếp từ outputs toàn bộ 23 bảng CSV và 27 hình của REPORT_READY, nên bảng và hình trong luận văn truy ngược được về tệp kết quả. Thứ tư, dữ liệu thô được đặt trong data/raw theo đúng tên tệp của cuộc thi, và các stage chỉ đọc dữ liệu thô từ thư mục này cùng đầu ra của các stage trước trong outputs/. Thứ tự các stage, đầu ra chính và thời gian chạy của lần chạy chính thức được trình bày trong 3.15.</w:t>
      </w:r>
    </w:p>
    <w:p>
      <w:pPr>
        <w:keepNext/>
        <w:spacing w:before="120" w:after="60"/>
        <w:ind w:firstLine="0"/>
        <w:jc w:val="center"/>
      </w:pPr>
      <w:r>
        <w:t xml:space="preserve">Bảng 3.15. Thứ tự 14 stage của quy trình, đầu ra chính và thời gian chạy trong lần chạy chính thức</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98"/>
        <w:gridCol w:w="2162"/>
        <w:gridCol w:w="4255"/>
        <w:gridCol w:w="1556"/>
      </w:tblGrid>
      <w:tr>
        <w:trPr>
          <w:tblHeader/>
          <w:cantSplit/>
        </w:trPr>
        <w:tc>
          <w:tcPr>
            <w:tcW w:type="dxa" w:w="1098"/>
            <w:shd w:val="clear" w:color="auto" w:fill="D9E2F3"/>
            <w:vAlign w:val="center"/>
          </w:tcPr>
          <w:p>
            <w:pPr>
              <w:spacing w:before="20" w:after="20" w:line="260" w:lineRule="auto"/>
              <w:ind w:firstLine="0"/>
              <w:jc w:val="center"/>
            </w:pPr>
            <w:r>
              <w:rPr>
                <w:b/>
                <w:sz w:val="20"/>
                <w:szCs w:val="20"/>
              </w:rPr>
              <w:t xml:space="preserve">Stage</w:t>
            </w:r>
          </w:p>
        </w:tc>
        <w:tc>
          <w:tcPr>
            <w:tcW w:type="dxa" w:w="2162"/>
            <w:shd w:val="clear" w:color="auto" w:fill="D9E2F3"/>
            <w:vAlign w:val="center"/>
          </w:tcPr>
          <w:p>
            <w:pPr>
              <w:spacing w:before="20" w:after="20" w:line="260" w:lineRule="auto"/>
              <w:ind w:firstLine="0"/>
              <w:jc w:val="center"/>
            </w:pPr>
            <w:r>
              <w:rPr>
                <w:b/>
                <w:sz w:val="20"/>
                <w:szCs w:val="20"/>
              </w:rPr>
              <w:t xml:space="preserve">Tệp</w:t>
            </w:r>
          </w:p>
        </w:tc>
        <w:tc>
          <w:tcPr>
            <w:tcW w:type="dxa" w:w="4255"/>
            <w:shd w:val="clear" w:color="auto" w:fill="D9E2F3"/>
            <w:vAlign w:val="center"/>
          </w:tcPr>
          <w:p>
            <w:pPr>
              <w:spacing w:before="20" w:after="20" w:line="260" w:lineRule="auto"/>
              <w:ind w:firstLine="0"/>
              <w:jc w:val="center"/>
            </w:pPr>
            <w:r>
              <w:rPr>
                <w:b/>
                <w:sz w:val="20"/>
                <w:szCs w:val="20"/>
              </w:rPr>
              <w:t xml:space="preserve">Đầu ra chính (outputs/ hoặc REPORT_READY/)</w:t>
            </w:r>
          </w:p>
        </w:tc>
        <w:tc>
          <w:tcPr>
            <w:tcW w:type="dxa" w:w="1556"/>
            <w:shd w:val="clear" w:color="auto" w:fill="D9E2F3"/>
            <w:vAlign w:val="center"/>
          </w:tcPr>
          <w:p>
            <w:pPr>
              <w:spacing w:before="20" w:after="20" w:line="260" w:lineRule="auto"/>
              <w:ind w:firstLine="0"/>
              <w:jc w:val="center"/>
            </w:pPr>
            <w:r>
              <w:rPr>
                <w:b/>
                <w:sz w:val="20"/>
                <w:szCs w:val="20"/>
              </w:rPr>
              <w:t xml:space="preserve">Thời gian (giây)</w:t>
            </w:r>
          </w:p>
        </w:tc>
      </w:tr>
      <w:tr>
        <w:trPr>
          <w:cantSplit/>
        </w:trPr>
        <w:tc>
          <w:tcPr>
            <w:tcW w:type="dxa" w:w="1098"/>
            <w:vAlign w:val="center"/>
          </w:tcPr>
          <w:p>
            <w:pPr>
              <w:spacing w:before="20" w:after="20" w:line="260" w:lineRule="auto"/>
              <w:ind w:firstLine="0"/>
              <w:jc w:val="center"/>
            </w:pPr>
            <w:r>
              <w:rPr>
                <w:sz w:val="20"/>
                <w:szCs w:val="20"/>
              </w:rPr>
              <w:t xml:space="preserve">01</w:t>
            </w:r>
          </w:p>
        </w:tc>
        <w:tc>
          <w:tcPr>
            <w:tcW w:type="dxa" w:w="2162"/>
            <w:vAlign w:val="center"/>
          </w:tcPr>
          <w:p>
            <w:pPr>
              <w:spacing w:before="20" w:after="20" w:line="260" w:lineRule="auto"/>
              <w:ind w:firstLine="0"/>
              <w:jc w:val="left"/>
            </w:pPr>
            <w:r>
              <w:rPr>
                <w:sz w:val="20"/>
                <w:szCs w:val="20"/>
              </w:rPr>
              <w:t xml:space="preserve">01_data_validation.py</w:t>
            </w:r>
          </w:p>
        </w:tc>
        <w:tc>
          <w:tcPr>
            <w:tcW w:type="dxa" w:w="4255"/>
            <w:vAlign w:val="center"/>
          </w:tcPr>
          <w:p>
            <w:pPr>
              <w:spacing w:before="20" w:after="20" w:line="260" w:lineRule="auto"/>
              <w:ind w:firstLine="0"/>
              <w:jc w:val="left"/>
            </w:pPr>
            <w:r>
              <w:rPr>
                <w:sz w:val="20"/>
                <w:szCs w:val="20"/>
              </w:rPr>
              <w:t xml:space="preserve">data_quality.csv, daily_aggregate.csv: kiểm tra chất lượng dữ liệu, chuỗi tổng theo ngày</w:t>
            </w:r>
          </w:p>
        </w:tc>
        <w:tc>
          <w:tcPr>
            <w:tcW w:type="dxa" w:w="1556"/>
            <w:vAlign w:val="center"/>
          </w:tcPr>
          <w:p>
            <w:pPr>
              <w:spacing w:before="20" w:after="20" w:line="260" w:lineRule="auto"/>
              <w:ind w:firstLine="0"/>
              <w:jc w:val="center"/>
            </w:pPr>
            <w:r>
              <w:rPr>
                <w:sz w:val="20"/>
                <w:szCs w:val="20"/>
              </w:rPr>
              <w:t xml:space="preserve">3</w:t>
            </w:r>
          </w:p>
        </w:tc>
      </w:tr>
      <w:tr>
        <w:trPr>
          <w:cantSplit/>
        </w:trPr>
        <w:tc>
          <w:tcPr>
            <w:tcW w:type="dxa" w:w="1098"/>
            <w:vAlign w:val="center"/>
          </w:tcPr>
          <w:p>
            <w:pPr>
              <w:spacing w:before="20" w:after="20" w:line="260" w:lineRule="auto"/>
              <w:ind w:firstLine="0"/>
              <w:jc w:val="center"/>
            </w:pPr>
            <w:r>
              <w:rPr>
                <w:sz w:val="20"/>
                <w:szCs w:val="20"/>
              </w:rPr>
              <w:t xml:space="preserve">02</w:t>
            </w:r>
          </w:p>
        </w:tc>
        <w:tc>
          <w:tcPr>
            <w:tcW w:type="dxa" w:w="2162"/>
            <w:vAlign w:val="center"/>
          </w:tcPr>
          <w:p>
            <w:pPr>
              <w:spacing w:before="20" w:after="20" w:line="260" w:lineRule="auto"/>
              <w:ind w:firstLine="0"/>
              <w:jc w:val="left"/>
            </w:pPr>
            <w:r>
              <w:rPr>
                <w:sz w:val="20"/>
                <w:szCs w:val="20"/>
              </w:rPr>
              <w:t xml:space="preserve">02_eda_decomposition.py</w:t>
            </w:r>
          </w:p>
        </w:tc>
        <w:tc>
          <w:tcPr>
            <w:tcW w:type="dxa" w:w="4255"/>
            <w:vAlign w:val="center"/>
          </w:tcPr>
          <w:p>
            <w:pPr>
              <w:spacing w:before="20" w:after="20" w:line="260" w:lineRule="auto"/>
              <w:ind w:firstLine="0"/>
              <w:jc w:val="left"/>
            </w:pPr>
            <w:r>
              <w:rPr>
                <w:sz w:val="20"/>
                <w:szCs w:val="20"/>
              </w:rPr>
              <w:t xml:space="preserve">promotion_descriptive.csv, stl_weekly.csv: thống kê khuyến mãi, phân rã Robust STL</w:t>
            </w:r>
          </w:p>
        </w:tc>
        <w:tc>
          <w:tcPr>
            <w:tcW w:type="dxa" w:w="1556"/>
            <w:vAlign w:val="center"/>
          </w:tcPr>
          <w:p>
            <w:pPr>
              <w:spacing w:before="20" w:after="20" w:line="260" w:lineRule="auto"/>
              <w:ind w:firstLine="0"/>
              <w:jc w:val="center"/>
            </w:pPr>
            <w:r>
              <w:rPr>
                <w:sz w:val="20"/>
                <w:szCs w:val="20"/>
              </w:rPr>
              <w:t xml:space="preserve">4</w:t>
            </w:r>
          </w:p>
        </w:tc>
      </w:tr>
      <w:tr>
        <w:trPr>
          <w:cantSplit/>
        </w:trPr>
        <w:tc>
          <w:tcPr>
            <w:tcW w:type="dxa" w:w="1098"/>
            <w:vAlign w:val="center"/>
          </w:tcPr>
          <w:p>
            <w:pPr>
              <w:spacing w:before="20" w:after="20" w:line="260" w:lineRule="auto"/>
              <w:ind w:firstLine="0"/>
              <w:jc w:val="center"/>
            </w:pPr>
            <w:r>
              <w:rPr>
                <w:sz w:val="20"/>
                <w:szCs w:val="20"/>
              </w:rPr>
              <w:t xml:space="preserve">03</w:t>
            </w:r>
          </w:p>
        </w:tc>
        <w:tc>
          <w:tcPr>
            <w:tcW w:type="dxa" w:w="2162"/>
            <w:vAlign w:val="center"/>
          </w:tcPr>
          <w:p>
            <w:pPr>
              <w:spacing w:before="20" w:after="20" w:line="260" w:lineRule="auto"/>
              <w:ind w:firstLine="0"/>
              <w:jc w:val="left"/>
            </w:pPr>
            <w:r>
              <w:rPr>
                <w:sz w:val="20"/>
                <w:szCs w:val="20"/>
              </w:rPr>
              <w:t xml:space="preserve">03_feature_engineering.py</w:t>
            </w:r>
          </w:p>
        </w:tc>
        <w:tc>
          <w:tcPr>
            <w:tcW w:type="dxa" w:w="4255"/>
            <w:vAlign w:val="center"/>
          </w:tcPr>
          <w:p>
            <w:pPr>
              <w:spacing w:before="20" w:after="20" w:line="260" w:lineRule="auto"/>
              <w:ind w:firstLine="0"/>
              <w:jc w:val="left"/>
            </w:pPr>
            <w:r>
              <w:rPr>
                <w:sz w:val="20"/>
                <w:szCs w:val="20"/>
              </w:rPr>
              <w:t xml:space="preserve">features.parquet, feature_list.csv: đặc trưng theo ngày lịch, độ trễ ≥ 16 ngày</w:t>
            </w:r>
          </w:p>
        </w:tc>
        <w:tc>
          <w:tcPr>
            <w:tcW w:type="dxa" w:w="1556"/>
            <w:vAlign w:val="center"/>
          </w:tcPr>
          <w:p>
            <w:pPr>
              <w:spacing w:before="20" w:after="20" w:line="260" w:lineRule="auto"/>
              <w:ind w:firstLine="0"/>
              <w:jc w:val="center"/>
            </w:pPr>
            <w:r>
              <w:rPr>
                <w:sz w:val="20"/>
                <w:szCs w:val="20"/>
              </w:rPr>
              <w:t xml:space="preserve">12</w:t>
            </w:r>
          </w:p>
        </w:tc>
      </w:tr>
      <w:tr>
        <w:trPr>
          <w:cantSplit/>
        </w:trPr>
        <w:tc>
          <w:tcPr>
            <w:tcW w:type="dxa" w:w="1098"/>
            <w:vAlign w:val="center"/>
          </w:tcPr>
          <w:p>
            <w:pPr>
              <w:spacing w:before="20" w:after="20" w:line="260" w:lineRule="auto"/>
              <w:ind w:firstLine="0"/>
              <w:jc w:val="center"/>
            </w:pPr>
            <w:r>
              <w:rPr>
                <w:sz w:val="20"/>
                <w:szCs w:val="20"/>
              </w:rPr>
              <w:t xml:space="preserve">04</w:t>
            </w:r>
          </w:p>
        </w:tc>
        <w:tc>
          <w:tcPr>
            <w:tcW w:type="dxa" w:w="2162"/>
            <w:vAlign w:val="center"/>
          </w:tcPr>
          <w:p>
            <w:pPr>
              <w:spacing w:before="20" w:after="20" w:line="260" w:lineRule="auto"/>
              <w:ind w:firstLine="0"/>
              <w:jc w:val="left"/>
            </w:pPr>
            <w:r>
              <w:rPr>
                <w:sz w:val="20"/>
                <w:szCs w:val="20"/>
              </w:rPr>
              <w:t xml:space="preserve">04_train_compare_5_models.py</w:t>
            </w:r>
          </w:p>
        </w:tc>
        <w:tc>
          <w:tcPr>
            <w:tcW w:type="dxa" w:w="4255"/>
            <w:vAlign w:val="center"/>
          </w:tcPr>
          <w:p>
            <w:pPr>
              <w:spacing w:before="20" w:after="20" w:line="260" w:lineRule="auto"/>
              <w:ind w:firstLine="0"/>
              <w:jc w:val="left"/>
            </w:pPr>
            <w:r>
              <w:rPr>
                <w:sz w:val="20"/>
                <w:szCs w:val="20"/>
              </w:rPr>
              <w:t xml:space="preserve">rolling_cv_metrics.csv, model_comparison_summary.csv, final_holdout_metrics.csv, model_selection.json, selected_point_model.joblib</w:t>
            </w:r>
          </w:p>
        </w:tc>
        <w:tc>
          <w:tcPr>
            <w:tcW w:type="dxa" w:w="1556"/>
            <w:vAlign w:val="center"/>
          </w:tcPr>
          <w:p>
            <w:pPr>
              <w:spacing w:before="20" w:after="20" w:line="260" w:lineRule="auto"/>
              <w:ind w:firstLine="0"/>
              <w:jc w:val="center"/>
            </w:pPr>
            <w:r>
              <w:rPr>
                <w:sz w:val="20"/>
                <w:szCs w:val="20"/>
              </w:rPr>
              <w:t xml:space="preserve">2.904</w:t>
            </w:r>
          </w:p>
        </w:tc>
      </w:tr>
      <w:tr>
        <w:trPr>
          <w:cantSplit/>
        </w:trPr>
        <w:tc>
          <w:tcPr>
            <w:tcW w:type="dxa" w:w="1098"/>
            <w:vAlign w:val="center"/>
          </w:tcPr>
          <w:p>
            <w:pPr>
              <w:spacing w:before="20" w:after="20" w:line="260" w:lineRule="auto"/>
              <w:ind w:firstLine="0"/>
              <w:jc w:val="center"/>
            </w:pPr>
            <w:r>
              <w:rPr>
                <w:sz w:val="20"/>
                <w:szCs w:val="20"/>
              </w:rPr>
              <w:t xml:space="preserve">05</w:t>
            </w:r>
          </w:p>
        </w:tc>
        <w:tc>
          <w:tcPr>
            <w:tcW w:type="dxa" w:w="2162"/>
            <w:vAlign w:val="center"/>
          </w:tcPr>
          <w:p>
            <w:pPr>
              <w:spacing w:before="20" w:after="20" w:line="260" w:lineRule="auto"/>
              <w:ind w:firstLine="0"/>
              <w:jc w:val="left"/>
            </w:pPr>
            <w:r>
              <w:rPr>
                <w:sz w:val="20"/>
                <w:szCs w:val="20"/>
              </w:rPr>
              <w:t xml:space="preserve">05_probabilistic_forecasting.py</w:t>
            </w:r>
          </w:p>
        </w:tc>
        <w:tc>
          <w:tcPr>
            <w:tcW w:type="dxa" w:w="4255"/>
            <w:vAlign w:val="center"/>
          </w:tcPr>
          <w:p>
            <w:pPr>
              <w:spacing w:before="20" w:after="20" w:line="260" w:lineRule="auto"/>
              <w:ind w:firstLine="0"/>
              <w:jc w:val="left"/>
            </w:pPr>
            <w:r>
              <w:rPr>
                <w:sz w:val="20"/>
                <w:szCs w:val="20"/>
              </w:rPr>
              <w:t xml:space="preserve">conformal_bins.csv, probabilistic_predictions.parquet, probabilistic_metrics.csv, probabilistic_method.json</w:t>
            </w:r>
          </w:p>
        </w:tc>
        <w:tc>
          <w:tcPr>
            <w:tcW w:type="dxa" w:w="1556"/>
            <w:vAlign w:val="center"/>
          </w:tcPr>
          <w:p>
            <w:pPr>
              <w:spacing w:before="20" w:after="20" w:line="260" w:lineRule="auto"/>
              <w:ind w:firstLine="0"/>
              <w:jc w:val="center"/>
            </w:pPr>
            <w:r>
              <w:rPr>
                <w:sz w:val="20"/>
                <w:szCs w:val="20"/>
              </w:rPr>
              <w:t xml:space="preserve">61</w:t>
            </w:r>
          </w:p>
        </w:tc>
      </w:tr>
      <w:tr>
        <w:trPr>
          <w:cantSplit/>
        </w:trPr>
        <w:tc>
          <w:tcPr>
            <w:tcW w:type="dxa" w:w="1098"/>
            <w:vAlign w:val="center"/>
          </w:tcPr>
          <w:p>
            <w:pPr>
              <w:spacing w:before="20" w:after="20" w:line="260" w:lineRule="auto"/>
              <w:ind w:firstLine="0"/>
              <w:jc w:val="center"/>
            </w:pPr>
            <w:r>
              <w:rPr>
                <w:sz w:val="20"/>
                <w:szCs w:val="20"/>
              </w:rPr>
              <w:t xml:space="preserve">06</w:t>
            </w:r>
          </w:p>
        </w:tc>
        <w:tc>
          <w:tcPr>
            <w:tcW w:type="dxa" w:w="2162"/>
            <w:vAlign w:val="center"/>
          </w:tcPr>
          <w:p>
            <w:pPr>
              <w:spacing w:before="20" w:after="20" w:line="260" w:lineRule="auto"/>
              <w:ind w:firstLine="0"/>
              <w:jc w:val="left"/>
            </w:pPr>
            <w:r>
              <w:rPr>
                <w:sz w:val="20"/>
                <w:szCs w:val="20"/>
              </w:rPr>
              <w:t xml:space="preserve">06_promotion_scenarios.py</w:t>
            </w:r>
          </w:p>
        </w:tc>
        <w:tc>
          <w:tcPr>
            <w:tcW w:type="dxa" w:w="4255"/>
            <w:vAlign w:val="center"/>
          </w:tcPr>
          <w:p>
            <w:pPr>
              <w:spacing w:before="20" w:after="20" w:line="260" w:lineRule="auto"/>
              <w:ind w:firstLine="0"/>
              <w:jc w:val="left"/>
            </w:pPr>
            <w:r>
              <w:rPr>
                <w:sz w:val="20"/>
                <w:szCs w:val="20"/>
              </w:rPr>
              <w:t xml:space="preserve">promotion_scenarios.csv, promotion_scenario_summary.csv</w:t>
            </w:r>
          </w:p>
        </w:tc>
        <w:tc>
          <w:tcPr>
            <w:tcW w:type="dxa" w:w="1556"/>
            <w:vAlign w:val="center"/>
          </w:tcPr>
          <w:p>
            <w:pPr>
              <w:spacing w:before="20" w:after="20" w:line="260" w:lineRule="auto"/>
              <w:ind w:firstLine="0"/>
              <w:jc w:val="center"/>
            </w:pPr>
            <w:r>
              <w:rPr>
                <w:sz w:val="20"/>
                <w:szCs w:val="20"/>
              </w:rPr>
              <w:t xml:space="preserve">3</w:t>
            </w:r>
          </w:p>
        </w:tc>
      </w:tr>
      <w:tr>
        <w:trPr>
          <w:cantSplit/>
        </w:trPr>
        <w:tc>
          <w:tcPr>
            <w:tcW w:type="dxa" w:w="1098"/>
            <w:vAlign w:val="center"/>
          </w:tcPr>
          <w:p>
            <w:pPr>
              <w:spacing w:before="20" w:after="20" w:line="260" w:lineRule="auto"/>
              <w:ind w:firstLine="0"/>
              <w:jc w:val="center"/>
            </w:pPr>
            <w:r>
              <w:rPr>
                <w:sz w:val="20"/>
                <w:szCs w:val="20"/>
              </w:rPr>
              <w:t xml:space="preserve">07</w:t>
            </w:r>
          </w:p>
        </w:tc>
        <w:tc>
          <w:tcPr>
            <w:tcW w:type="dxa" w:w="2162"/>
            <w:vAlign w:val="center"/>
          </w:tcPr>
          <w:p>
            <w:pPr>
              <w:spacing w:before="20" w:after="20" w:line="260" w:lineRule="auto"/>
              <w:ind w:firstLine="0"/>
              <w:jc w:val="left"/>
            </w:pPr>
            <w:r>
              <w:rPr>
                <w:sz w:val="20"/>
                <w:szCs w:val="20"/>
              </w:rPr>
              <w:t xml:space="preserve">07_inventory_decision.py</w:t>
            </w:r>
          </w:p>
        </w:tc>
        <w:tc>
          <w:tcPr>
            <w:tcW w:type="dxa" w:w="4255"/>
            <w:vAlign w:val="center"/>
          </w:tcPr>
          <w:p>
            <w:pPr>
              <w:spacing w:before="20" w:after="20" w:line="260" w:lineRule="auto"/>
              <w:ind w:firstLine="0"/>
              <w:jc w:val="left"/>
            </w:pPr>
            <w:r>
              <w:rPr>
                <w:sz w:val="20"/>
                <w:szCs w:val="20"/>
              </w:rPr>
              <w:t xml:space="preserve">inventory_recommendations.csv, inventory_assumptions.csv</w:t>
            </w:r>
          </w:p>
        </w:tc>
        <w:tc>
          <w:tcPr>
            <w:tcW w:type="dxa" w:w="1556"/>
            <w:vAlign w:val="center"/>
          </w:tcPr>
          <w:p>
            <w:pPr>
              <w:spacing w:before="20" w:after="20" w:line="260" w:lineRule="auto"/>
              <w:ind w:firstLine="0"/>
              <w:jc w:val="center"/>
            </w:pPr>
            <w:r>
              <w:rPr>
                <w:sz w:val="20"/>
                <w:szCs w:val="20"/>
              </w:rPr>
              <w:t xml:space="preserve">1</w:t>
            </w:r>
          </w:p>
        </w:tc>
      </w:tr>
      <w:tr>
        <w:trPr>
          <w:cantSplit/>
        </w:trPr>
        <w:tc>
          <w:tcPr>
            <w:tcW w:type="dxa" w:w="1098"/>
            <w:vAlign w:val="center"/>
          </w:tcPr>
          <w:p>
            <w:pPr>
              <w:spacing w:before="20" w:after="20" w:line="260" w:lineRule="auto"/>
              <w:ind w:firstLine="0"/>
              <w:jc w:val="center"/>
            </w:pPr>
            <w:r>
              <w:rPr>
                <w:sz w:val="20"/>
                <w:szCs w:val="20"/>
              </w:rPr>
              <w:t xml:space="preserve">08</w:t>
            </w:r>
          </w:p>
        </w:tc>
        <w:tc>
          <w:tcPr>
            <w:tcW w:type="dxa" w:w="2162"/>
            <w:vAlign w:val="center"/>
          </w:tcPr>
          <w:p>
            <w:pPr>
              <w:spacing w:before="20" w:after="20" w:line="260" w:lineRule="auto"/>
              <w:ind w:firstLine="0"/>
              <w:jc w:val="left"/>
            </w:pPr>
            <w:r>
              <w:rPr>
                <w:sz w:val="20"/>
                <w:szCs w:val="20"/>
              </w:rPr>
              <w:t xml:space="preserve">08_genai_decision_support.py</w:t>
            </w:r>
          </w:p>
        </w:tc>
        <w:tc>
          <w:tcPr>
            <w:tcW w:type="dxa" w:w="4255"/>
            <w:vAlign w:val="center"/>
          </w:tcPr>
          <w:p>
            <w:pPr>
              <w:spacing w:before="20" w:after="20" w:line="260" w:lineRule="auto"/>
              <w:ind w:firstLine="0"/>
              <w:jc w:val="left"/>
            </w:pPr>
            <w:r>
              <w:rPr>
                <w:sz w:val="20"/>
                <w:szCs w:val="20"/>
              </w:rPr>
              <w:t xml:space="preserve">decision_cases.jsonl, decision_queue.csv, genai_run_status.csv, decision_briefs/*.md</w:t>
            </w:r>
          </w:p>
        </w:tc>
        <w:tc>
          <w:tcPr>
            <w:tcW w:type="dxa" w:w="1556"/>
            <w:vAlign w:val="center"/>
          </w:tcPr>
          <w:p>
            <w:pPr>
              <w:spacing w:before="20" w:after="20" w:line="260" w:lineRule="auto"/>
              <w:ind w:firstLine="0"/>
              <w:jc w:val="center"/>
            </w:pPr>
            <w:r>
              <w:rPr>
                <w:sz w:val="20"/>
                <w:szCs w:val="20"/>
              </w:rPr>
              <w:t xml:space="preserve">9</w:t>
            </w:r>
          </w:p>
        </w:tc>
      </w:tr>
      <w:tr>
        <w:trPr>
          <w:cantSplit/>
        </w:trPr>
        <w:tc>
          <w:tcPr>
            <w:tcW w:type="dxa" w:w="1098"/>
            <w:vAlign w:val="center"/>
          </w:tcPr>
          <w:p>
            <w:pPr>
              <w:spacing w:before="20" w:after="20" w:line="260" w:lineRule="auto"/>
              <w:ind w:firstLine="0"/>
              <w:jc w:val="center"/>
            </w:pPr>
            <w:r>
              <w:rPr>
                <w:sz w:val="20"/>
                <w:szCs w:val="20"/>
              </w:rPr>
              <w:t xml:space="preserve">09</w:t>
            </w:r>
          </w:p>
        </w:tc>
        <w:tc>
          <w:tcPr>
            <w:tcW w:type="dxa" w:w="2162"/>
            <w:vAlign w:val="center"/>
          </w:tcPr>
          <w:p>
            <w:pPr>
              <w:spacing w:before="20" w:after="20" w:line="260" w:lineRule="auto"/>
              <w:ind w:firstLine="0"/>
              <w:jc w:val="left"/>
            </w:pPr>
            <w:r>
              <w:rPr>
                <w:sz w:val="20"/>
                <w:szCs w:val="20"/>
              </w:rPr>
              <w:t xml:space="preserve">09_build_research_summary.py</w:t>
            </w:r>
          </w:p>
        </w:tc>
        <w:tc>
          <w:tcPr>
            <w:tcW w:type="dxa" w:w="4255"/>
            <w:vAlign w:val="center"/>
          </w:tcPr>
          <w:p>
            <w:pPr>
              <w:spacing w:before="20" w:after="20" w:line="260" w:lineRule="auto"/>
              <w:ind w:firstLine="0"/>
              <w:jc w:val="left"/>
            </w:pPr>
            <w:r>
              <w:rPr>
                <w:sz w:val="20"/>
                <w:szCs w:val="20"/>
              </w:rPr>
              <w:t xml:space="preserve">research_summary.json và bản sao bảng tổng hợp</w:t>
            </w:r>
          </w:p>
        </w:tc>
        <w:tc>
          <w:tcPr>
            <w:tcW w:type="dxa" w:w="1556"/>
            <w:vAlign w:val="center"/>
          </w:tcPr>
          <w:p>
            <w:pPr>
              <w:spacing w:before="20" w:after="20" w:line="260" w:lineRule="auto"/>
              <w:ind w:firstLine="0"/>
              <w:jc w:val="center"/>
            </w:pPr>
            <w:r>
              <w:rPr>
                <w:sz w:val="20"/>
                <w:szCs w:val="20"/>
              </w:rPr>
              <w:t xml:space="preserve">1</w:t>
            </w:r>
          </w:p>
        </w:tc>
      </w:tr>
      <w:tr>
        <w:trPr>
          <w:cantSplit/>
        </w:trPr>
        <w:tc>
          <w:tcPr>
            <w:tcW w:type="dxa" w:w="1098"/>
            <w:vAlign w:val="center"/>
          </w:tcPr>
          <w:p>
            <w:pPr>
              <w:spacing w:before="20" w:after="20" w:line="260" w:lineRule="auto"/>
              <w:ind w:firstLine="0"/>
              <w:jc w:val="center"/>
            </w:pPr>
            <w:r>
              <w:rPr>
                <w:sz w:val="20"/>
                <w:szCs w:val="20"/>
              </w:rPr>
              <w:t xml:space="preserve">10</w:t>
            </w:r>
          </w:p>
        </w:tc>
        <w:tc>
          <w:tcPr>
            <w:tcW w:type="dxa" w:w="2162"/>
            <w:vAlign w:val="center"/>
          </w:tcPr>
          <w:p>
            <w:pPr>
              <w:spacing w:before="20" w:after="20" w:line="260" w:lineRule="auto"/>
              <w:ind w:firstLine="0"/>
              <w:jc w:val="left"/>
            </w:pPr>
            <w:r>
              <w:rPr>
                <w:sz w:val="20"/>
                <w:szCs w:val="20"/>
              </w:rPr>
              <w:t xml:space="preserve">10_pipeline_smoke_test.py</w:t>
            </w:r>
          </w:p>
        </w:tc>
        <w:tc>
          <w:tcPr>
            <w:tcW w:type="dxa" w:w="4255"/>
            <w:vAlign w:val="center"/>
          </w:tcPr>
          <w:p>
            <w:pPr>
              <w:spacing w:before="20" w:after="20" w:line="260" w:lineRule="auto"/>
              <w:ind w:firstLine="0"/>
              <w:jc w:val="left"/>
            </w:pPr>
            <w:r>
              <w:rPr>
                <w:sz w:val="20"/>
                <w:szCs w:val="20"/>
              </w:rPr>
              <w:t xml:space="preserve">Kiểm thử khói: đủ đầu ra và các ràng buộc phương pháp</w:t>
            </w:r>
          </w:p>
        </w:tc>
        <w:tc>
          <w:tcPr>
            <w:tcW w:type="dxa" w:w="1556"/>
            <w:vAlign w:val="center"/>
          </w:tcPr>
          <w:p>
            <w:pPr>
              <w:spacing w:before="20" w:after="20" w:line="260" w:lineRule="auto"/>
              <w:ind w:firstLine="0"/>
              <w:jc w:val="center"/>
            </w:pPr>
            <w:r>
              <w:rPr>
                <w:sz w:val="20"/>
                <w:szCs w:val="20"/>
              </w:rPr>
              <w:t xml:space="preserve">0</w:t>
            </w:r>
          </w:p>
        </w:tc>
      </w:tr>
      <w:tr>
        <w:trPr>
          <w:cantSplit/>
        </w:trPr>
        <w:tc>
          <w:tcPr>
            <w:tcW w:type="dxa" w:w="1098"/>
            <w:vAlign w:val="center"/>
          </w:tcPr>
          <w:p>
            <w:pPr>
              <w:spacing w:before="20" w:after="20" w:line="260" w:lineRule="auto"/>
              <w:ind w:firstLine="0"/>
              <w:jc w:val="center"/>
            </w:pPr>
            <w:r>
              <w:rPr>
                <w:sz w:val="20"/>
                <w:szCs w:val="20"/>
              </w:rPr>
              <w:t xml:space="preserve">11</w:t>
            </w:r>
          </w:p>
        </w:tc>
        <w:tc>
          <w:tcPr>
            <w:tcW w:type="dxa" w:w="2162"/>
            <w:vAlign w:val="center"/>
          </w:tcPr>
          <w:p>
            <w:pPr>
              <w:spacing w:before="20" w:after="20" w:line="260" w:lineRule="auto"/>
              <w:ind w:firstLine="0"/>
              <w:jc w:val="left"/>
            </w:pPr>
            <w:r>
              <w:rPr>
                <w:sz w:val="20"/>
                <w:szCs w:val="20"/>
              </w:rPr>
              <w:t xml:space="preserve">11_forecast_diagnostics.py</w:t>
            </w:r>
          </w:p>
        </w:tc>
        <w:tc>
          <w:tcPr>
            <w:tcW w:type="dxa" w:w="4255"/>
            <w:vAlign w:val="center"/>
          </w:tcPr>
          <w:p>
            <w:pPr>
              <w:spacing w:before="20" w:after="20" w:line="260" w:lineRule="auto"/>
              <w:ind w:firstLine="0"/>
              <w:jc w:val="left"/>
            </w:pPr>
            <w:r>
              <w:rPr>
                <w:sz w:val="20"/>
                <w:szCs w:val="20"/>
              </w:rPr>
              <w:t xml:space="preserve">Sai số theo ngày, mức nhu cầu, cửa hàng, nhóm, chuỗi; representative_cases.csv</w:t>
            </w:r>
          </w:p>
        </w:tc>
        <w:tc>
          <w:tcPr>
            <w:tcW w:type="dxa" w:w="1556"/>
            <w:vAlign w:val="center"/>
          </w:tcPr>
          <w:p>
            <w:pPr>
              <w:spacing w:before="20" w:after="20" w:line="260" w:lineRule="auto"/>
              <w:ind w:firstLine="0"/>
              <w:jc w:val="center"/>
            </w:pPr>
            <w:r>
              <w:rPr>
                <w:sz w:val="20"/>
                <w:szCs w:val="20"/>
              </w:rPr>
              <w:t xml:space="preserve">4</w:t>
            </w:r>
          </w:p>
        </w:tc>
      </w:tr>
      <w:tr>
        <w:trPr>
          <w:cantSplit/>
        </w:trPr>
        <w:tc>
          <w:tcPr>
            <w:tcW w:type="dxa" w:w="1098"/>
            <w:vAlign w:val="center"/>
          </w:tcPr>
          <w:p>
            <w:pPr>
              <w:spacing w:before="20" w:after="20" w:line="260" w:lineRule="auto"/>
              <w:ind w:firstLine="0"/>
              <w:jc w:val="center"/>
            </w:pPr>
            <w:r>
              <w:rPr>
                <w:sz w:val="20"/>
                <w:szCs w:val="20"/>
              </w:rPr>
              <w:t xml:space="preserve">12</w:t>
            </w:r>
          </w:p>
        </w:tc>
        <w:tc>
          <w:tcPr>
            <w:tcW w:type="dxa" w:w="2162"/>
            <w:vAlign w:val="center"/>
          </w:tcPr>
          <w:p>
            <w:pPr>
              <w:spacing w:before="20" w:after="20" w:line="260" w:lineRule="auto"/>
              <w:ind w:firstLine="0"/>
              <w:jc w:val="left"/>
            </w:pPr>
            <w:r>
              <w:rPr>
                <w:sz w:val="20"/>
                <w:szCs w:val="20"/>
              </w:rPr>
              <w:t xml:space="preserve">12_case_studies.py</w:t>
            </w:r>
          </w:p>
        </w:tc>
        <w:tc>
          <w:tcPr>
            <w:tcW w:type="dxa" w:w="4255"/>
            <w:vAlign w:val="center"/>
          </w:tcPr>
          <w:p>
            <w:pPr>
              <w:spacing w:before="20" w:after="20" w:line="260" w:lineRule="auto"/>
              <w:ind w:firstLine="0"/>
              <w:jc w:val="left"/>
            </w:pPr>
            <w:r>
              <w:rPr>
                <w:sz w:val="20"/>
                <w:szCs w:val="20"/>
              </w:rPr>
              <w:t xml:space="preserve">case_study_metrics.csv, promotion_sensitivity_by_series.csv</w:t>
            </w:r>
          </w:p>
        </w:tc>
        <w:tc>
          <w:tcPr>
            <w:tcW w:type="dxa" w:w="1556"/>
            <w:vAlign w:val="center"/>
          </w:tcPr>
          <w:p>
            <w:pPr>
              <w:spacing w:before="20" w:after="20" w:line="260" w:lineRule="auto"/>
              <w:ind w:firstLine="0"/>
              <w:jc w:val="center"/>
            </w:pPr>
            <w:r>
              <w:rPr>
                <w:sz w:val="20"/>
                <w:szCs w:val="20"/>
              </w:rPr>
              <w:t xml:space="preserve">0</w:t>
            </w:r>
          </w:p>
        </w:tc>
      </w:tr>
      <w:tr>
        <w:trPr>
          <w:cantSplit/>
        </w:trPr>
        <w:tc>
          <w:tcPr>
            <w:tcW w:type="dxa" w:w="1098"/>
            <w:vAlign w:val="center"/>
          </w:tcPr>
          <w:p>
            <w:pPr>
              <w:spacing w:before="20" w:after="20" w:line="260" w:lineRule="auto"/>
              <w:ind w:firstLine="0"/>
              <w:jc w:val="center"/>
            </w:pPr>
            <w:r>
              <w:rPr>
                <w:sz w:val="20"/>
                <w:szCs w:val="20"/>
              </w:rPr>
              <w:t xml:space="preserve">13</w:t>
            </w:r>
          </w:p>
        </w:tc>
        <w:tc>
          <w:tcPr>
            <w:tcW w:type="dxa" w:w="2162"/>
            <w:vAlign w:val="center"/>
          </w:tcPr>
          <w:p>
            <w:pPr>
              <w:spacing w:before="20" w:after="20" w:line="260" w:lineRule="auto"/>
              <w:ind w:firstLine="0"/>
              <w:jc w:val="left"/>
            </w:pPr>
            <w:r>
              <w:rPr>
                <w:sz w:val="20"/>
                <w:szCs w:val="20"/>
              </w:rPr>
              <w:t xml:space="preserve">13_build_report_ready.py</w:t>
            </w:r>
          </w:p>
        </w:tc>
        <w:tc>
          <w:tcPr>
            <w:tcW w:type="dxa" w:w="4255"/>
            <w:vAlign w:val="center"/>
          </w:tcPr>
          <w:p>
            <w:pPr>
              <w:spacing w:before="20" w:after="20" w:line="260" w:lineRule="auto"/>
              <w:ind w:firstLine="0"/>
              <w:jc w:val="left"/>
            </w:pPr>
            <w:r>
              <w:rPr>
                <w:sz w:val="20"/>
                <w:szCs w:val="20"/>
              </w:rPr>
              <w:t xml:space="preserve">REPORT_READY/tables (23 CSV) và REPORT_READY/figures (27 hình)</w:t>
            </w:r>
          </w:p>
        </w:tc>
        <w:tc>
          <w:tcPr>
            <w:tcW w:type="dxa" w:w="1556"/>
            <w:vAlign w:val="center"/>
          </w:tcPr>
          <w:p>
            <w:pPr>
              <w:spacing w:before="20" w:after="20" w:line="260" w:lineRule="auto"/>
              <w:ind w:firstLine="0"/>
              <w:jc w:val="center"/>
            </w:pPr>
            <w:r>
              <w:rPr>
                <w:sz w:val="20"/>
                <w:szCs w:val="20"/>
              </w:rPr>
              <w:t xml:space="preserve">9</w:t>
            </w:r>
          </w:p>
        </w:tc>
      </w:tr>
      <w:tr>
        <w:trPr>
          <w:cantSplit/>
        </w:trPr>
        <w:tc>
          <w:tcPr>
            <w:tcW w:type="dxa" w:w="1098"/>
            <w:vAlign w:val="center"/>
          </w:tcPr>
          <w:p>
            <w:pPr>
              <w:spacing w:before="20" w:after="20" w:line="260" w:lineRule="auto"/>
              <w:ind w:firstLine="0"/>
              <w:jc w:val="center"/>
            </w:pPr>
            <w:r>
              <w:rPr>
                <w:sz w:val="20"/>
                <w:szCs w:val="20"/>
              </w:rPr>
              <w:t xml:space="preserve">14</w:t>
            </w:r>
          </w:p>
        </w:tc>
        <w:tc>
          <w:tcPr>
            <w:tcW w:type="dxa" w:w="2162"/>
            <w:vAlign w:val="center"/>
          </w:tcPr>
          <w:p>
            <w:pPr>
              <w:spacing w:before="20" w:after="20" w:line="260" w:lineRule="auto"/>
              <w:ind w:firstLine="0"/>
              <w:jc w:val="left"/>
            </w:pPr>
            <w:r>
              <w:rPr>
                <w:sz w:val="20"/>
                <w:szCs w:val="20"/>
              </w:rPr>
              <w:t xml:space="preserve">14_sensitivity_experiments.py</w:t>
            </w:r>
          </w:p>
        </w:tc>
        <w:tc>
          <w:tcPr>
            <w:tcW w:type="dxa" w:w="4255"/>
            <w:vAlign w:val="center"/>
          </w:tcPr>
          <w:p>
            <w:pPr>
              <w:spacing w:before="20" w:after="20" w:line="260" w:lineRule="auto"/>
              <w:ind w:firstLine="0"/>
              <w:jc w:val="left"/>
            </w:pPr>
            <w:r>
              <w:rPr>
                <w:sz w:val="20"/>
                <w:szCs w:val="20"/>
              </w:rPr>
              <w:t xml:space="preserve">sensitivity_cv.csv: thí nghiệm độ nhạy (mục 4.15)</w:t>
            </w:r>
          </w:p>
        </w:tc>
        <w:tc>
          <w:tcPr>
            <w:tcW w:type="dxa" w:w="1556"/>
            <w:vAlign w:val="center"/>
          </w:tcPr>
          <w:p>
            <w:pPr>
              <w:spacing w:before="20" w:after="20" w:line="260" w:lineRule="auto"/>
              <w:ind w:firstLine="0"/>
              <w:jc w:val="center"/>
            </w:pPr>
            <w:r>
              <w:rPr>
                <w:sz w:val="20"/>
                <w:szCs w:val="20"/>
              </w:rPr>
              <w:t xml:space="preserve">171</w:t>
            </w:r>
          </w:p>
        </w:tc>
      </w:tr>
    </w:tbl>
    <w:p>
      <w:pPr>
        <w:spacing w:before="40" w:after="160"/>
        <w:ind w:firstLine="0"/>
      </w:pPr>
      <w:r>
        <w:rPr>
          <w:i/>
          <w:sz w:val="22"/>
          <w:szCs w:val="22"/>
        </w:rPr>
        <w:t xml:space="preserve">Nguồn: tổng hợp của tác giả từ mã nguồn các Stage 01–14 và nhật ký thời gian của lần chạy chính thức. Stage 01–14 chạy tuần tự trong một lần, tổng 53,0 phút, trong đó Stage 14 mất 171 giây, trên cùng đặc trưng và cùng ba lần kiểm định của Stage 04.</w:t>
      </w:r>
    </w:p>
    <w:p>
      <w:pPr>
        <w:keepLines w:val="0"/>
        <w:spacing w:after="120"/>
        <w:ind w:firstLine="567"/>
      </w:pPr>
      <w:r>
        <w:t xml:space="preserve">Thời gian chạy phân bố rất không đều. Mười bốn stage, chạy tuần tự trong một lần, mất tổng cộng 53,0 phút, trong đó Stage 04 chiếm 2.904 giây, khoảng 91% tổng thời gian, Stage 14 mất 171 giây, còn mọi stage khác đều chỉ khoảng một phút trở xuống, lâu nhất là Stage 05 với 61 giây dù phải huấn luyện lại một mô hình XGBoost trên 2.632.476 dòng. Trong Stage 04, phần lớn thời gian thuộc về Random Forest: bốn lần huấn luyện của nó (ba lần kiểm định và mô hình cuối) cộng lại khoảng 2.464 giây, so với khoảng 252 giây cho bốn lần huấn luyện XGBoost và khoảng 174 giây cho LightGBM, dù Random Forest chỉ học trên mẫu 600.000 dòng. Con số này minh họa lý do phương pháp của việc giới hạn mẫu cho Random Forest ở mục 3.7 và 3.8.2.</w:t>
      </w:r>
    </w:p>
    <w:p>
      <w:pPr>
        <w:keepLines w:val="0"/>
        <w:spacing w:after="120"/>
        <w:ind w:firstLine="567"/>
      </w:pPr>
      <w:r>
        <w:t xml:space="preserve">Stage 14 (14_sensitivity_experiments.py) là bước cuối của cùng lần chạy, mất 171 giây, và không ảnh hưởng tới bất kỳ đầu ra nào của Stage 01–13. Stage này lặp lại ba lần kiểm định của Stage 04 với cùng đặc trưng, nhưng mỗi cấu hình thay đổi đúng một yếu tố so với cấu hình chính thức: XGBoost học trên mẫu 600.000 dòng thay vì toàn bộ dữ liệu, và LightGBM không đặt subsample_freq. Hai thí nghiệm này kiểm tra độ nhạy của kết quả đối với hai lựa chọn thiết kế nêu ở mục 3.7 và 3.8.2; kết quả và diễn giải thận trọng, do chỉ có ba cửa sổ, được trình bày ở mục 4.15 và Phụ lục E.</w:t>
      </w:r>
    </w:p>
    <w:p>
      <w:pPr>
        <w:pStyle w:val="Heading3"/>
        <w:keepNext/>
      </w:pPr>
      <w:r>
        <w:t xml:space="preserve">3.14.2. Môi trường chạy và phiên bản thư viện</w:t>
      </w:r>
    </w:p>
    <w:p>
      <w:pPr>
        <w:keepLines w:val="0"/>
        <w:spacing w:after="120"/>
        <w:ind w:firstLine="567"/>
      </w:pPr>
      <w:r>
        <w:t xml:space="preserve">Lần chạy chính thức được thực hiện trên môi trường Python 3.11 với pandas 2.3.3, numpy 2.4.4, scikit-learn 1.8.0, xgboost 3.2.0, lightgbm 4.7.0 và statsmodels 0.15.0, trên máy 2 CPU. Tệp requirements.txt chỉ quy định khoảng phiên bản cho từng thư viện chứ không cố định một phiên bản duy nhất, nên môi trường.venv do START_WINDOWS.bat tạo có thể nhận phiên bản khác; trong thư mục đề tài, môi trường.venv hiện dùng scikit-learn 1.9.1, xgboost 3.4.1 và lightgbm 4.7.0. Với cùng cấu hình và cùng hạt giống, hai phiên bản khác nhau của một thư viện tổ hợp cây vẫn có thể dựng các cây khác nhau đôi chút, do thay đổi trong cài đặt nội bộ giữa các phiên bản.</w:t>
      </w:r>
    </w:p>
    <w:p>
      <w:pPr>
        <w:keepLines w:val="0"/>
        <w:spacing w:after="120"/>
        <w:ind w:firstLine="567"/>
      </w:pPr>
      <w:r>
        <w:t xml:space="preserve">Hệ quả là khi chạy lại bằng START_WINDOWS.bat trong.venv, kết quả của XGBoost và Random Forest có thể lệch nhỏ so với số liệu trong luận văn, và sai lệch này lan sang các đại lượng dựa trên dự báo XGBoost như P10/P50/P90, kịch bản khuyến mãi, tồn kho và phiếu khuyến nghị. LightGBM có cùng phiên bản ở hai môi trường, còn Seasonal Naive không phụ thuộc thư viện học máy. Luận văn vì vậy phân biệt hai mức tái lập: tái lập theo nghĩa chặt, tức trùng từng chữ số, đòi hỏi cố định đúng các phiên bản thư viện của lần chạy chính thức; tái lập theo nghĩa quy trình, tức chạy lại được toàn bộ các bước từ train.csv bằng một lệnh, được bảo đảm bởi cấu trúc stage ở mục 3.14.1. Khác biệt phiên bản giữa môi trường chạy và.venv được nêu như một giới hạn của nghiên cứu.</w:t>
      </w:r>
    </w:p>
    <w:p>
      <w:pPr>
        <w:pStyle w:val="Heading3"/>
        <w:keepNext/>
      </w:pPr>
      <w:r>
        <w:t xml:space="preserve">3.14.3. Các lớp kiểm thử</w:t>
      </w:r>
    </w:p>
    <w:p>
      <w:pPr>
        <w:keepLines w:val="0"/>
        <w:spacing w:after="120"/>
        <w:ind w:firstLine="567"/>
      </w:pPr>
      <w:r>
        <w:t xml:space="preserve">Quy trình được kiểm thử ở nhiều lớp, từ ràng buộc phương pháp của toàn bộ đầu ra đến từng tệp xuất cho người dùng, như tổng hợp trong 3.16. Lớp thứ nhất là kiểm thử khói (smoke test) của Stage 10, chạy ngay trong quy trình sau Stage 09: chương trình dừng với lỗi nếu thiếu một trong các đầu ra chính từ Stage 01 đến 09, nếu model_selection.json cho thấy tập kiểm tra cuối đã được dùng để chọn mô hình, nếu có dòng mà P10 ≤ P50 ≤ P90 không thỏa hoặc thiếu phân vị, hoặc nếu bảng thước đo tập kiểm tra cuối không đủ năm mô hình với giá trị hữu hạn. Lớp thứ hai là bốn kiểm thử đơn vị trong tests/test_core.py chạy bằng pytest trên dữ liệu tổng hợp nhỏ, kiểm tra nhận dạng lược đồ, việc lag_16 đúng bằng doanh số 16 ngày trước, phân vị tới hạn Newsvendor bằng 0,75 khi Cu = 3, Co = 1 và thứ tự phân vị sau sắp xếp.</w:t>
      </w:r>
    </w:p>
    <w:p>
      <w:pPr>
        <w:keepNext/>
        <w:spacing w:before="120" w:after="60"/>
        <w:ind w:firstLine="0"/>
        <w:jc w:val="center"/>
      </w:pPr>
      <w:r>
        <w:t xml:space="preserve">Bảng 3.16. Các kiểm thử của quy trình và kết quả trên đầu ra của lần chạy chính thức</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77"/>
        <w:gridCol w:w="3577"/>
        <w:gridCol w:w="3117"/>
      </w:tblGrid>
      <w:tr>
        <w:trPr>
          <w:tblHeader/>
          <w:cantSplit/>
        </w:trPr>
        <w:tc>
          <w:tcPr>
            <w:tcW w:type="dxa" w:w="2377"/>
            <w:shd w:val="clear" w:color="auto" w:fill="D9E2F3"/>
            <w:vAlign w:val="center"/>
          </w:tcPr>
          <w:p>
            <w:pPr>
              <w:spacing w:before="20" w:after="20" w:line="260" w:lineRule="auto"/>
              <w:ind w:firstLine="0"/>
              <w:jc w:val="center"/>
            </w:pPr>
            <w:r>
              <w:rPr>
                <w:b/>
                <w:sz w:val="20"/>
                <w:szCs w:val="20"/>
              </w:rPr>
              <w:t xml:space="preserve">Kiểm thử</w:t>
            </w:r>
          </w:p>
        </w:tc>
        <w:tc>
          <w:tcPr>
            <w:tcW w:type="dxa" w:w="3577"/>
            <w:shd w:val="clear" w:color="auto" w:fill="D9E2F3"/>
            <w:vAlign w:val="center"/>
          </w:tcPr>
          <w:p>
            <w:pPr>
              <w:spacing w:before="20" w:after="20" w:line="260" w:lineRule="auto"/>
              <w:ind w:firstLine="0"/>
              <w:jc w:val="center"/>
            </w:pPr>
            <w:r>
              <w:rPr>
                <w:b/>
                <w:sz w:val="20"/>
                <w:szCs w:val="20"/>
              </w:rPr>
              <w:t xml:space="preserve">Nội dung</w:t>
            </w:r>
          </w:p>
        </w:tc>
        <w:tc>
          <w:tcPr>
            <w:tcW w:type="dxa" w:w="3117"/>
            <w:shd w:val="clear" w:color="auto" w:fill="D9E2F3"/>
            <w:vAlign w:val="center"/>
          </w:tcPr>
          <w:p>
            <w:pPr>
              <w:spacing w:before="20" w:after="20" w:line="260" w:lineRule="auto"/>
              <w:ind w:firstLine="0"/>
              <w:jc w:val="center"/>
            </w:pPr>
            <w:r>
              <w:rPr>
                <w:b/>
                <w:sz w:val="20"/>
                <w:szCs w:val="20"/>
              </w:rPr>
              <w:t xml:space="preserve">Kết quả</w:t>
            </w:r>
          </w:p>
        </w:tc>
      </w:tr>
      <w:tr>
        <w:trPr>
          <w:cantSplit/>
        </w:trPr>
        <w:tc>
          <w:tcPr>
            <w:tcW w:type="dxa" w:w="2377"/>
            <w:vAlign w:val="center"/>
          </w:tcPr>
          <w:p>
            <w:pPr>
              <w:spacing w:before="20" w:after="20" w:line="260" w:lineRule="auto"/>
              <w:ind w:firstLine="0"/>
              <w:jc w:val="left"/>
            </w:pPr>
            <w:r>
              <w:rPr>
                <w:sz w:val="20"/>
                <w:szCs w:val="20"/>
              </w:rPr>
              <w:t xml:space="preserve">Kiểm thử khói toàn quy trình (Stage 10)</w:t>
            </w:r>
          </w:p>
        </w:tc>
        <w:tc>
          <w:tcPr>
            <w:tcW w:type="dxa" w:w="3577"/>
            <w:vAlign w:val="center"/>
          </w:tcPr>
          <w:p>
            <w:pPr>
              <w:spacing w:before="20" w:after="20" w:line="260" w:lineRule="auto"/>
              <w:ind w:firstLine="0"/>
              <w:jc w:val="left"/>
            </w:pPr>
            <w:r>
              <w:rPr>
                <w:sz w:val="20"/>
                <w:szCs w:val="20"/>
              </w:rPr>
              <w:t xml:space="preserve">10_pipeline_smoke_test.py kiểm tra đủ đầu ra của các stage và các ràng buộc phương pháp: tập kiểm tra cuối không dùng để chọn mô hình, không giao cắt phân vị, không thiếu P10/P50/P90, đủ thước đo hữu hạn của năm mô hình</w:t>
            </w:r>
          </w:p>
        </w:tc>
        <w:tc>
          <w:tcPr>
            <w:tcW w:type="dxa" w:w="3117"/>
            <w:vAlign w:val="center"/>
          </w:tcPr>
          <w:p>
            <w:pPr>
              <w:spacing w:before="20" w:after="20" w:line="260" w:lineRule="auto"/>
              <w:ind w:firstLine="0"/>
              <w:jc w:val="left"/>
            </w:pPr>
            <w:r>
              <w:rPr>
                <w:sz w:val="20"/>
                <w:szCs w:val="20"/>
              </w:rPr>
              <w:t xml:space="preserve">PASS</w:t>
            </w:r>
          </w:p>
        </w:tc>
      </w:tr>
      <w:tr>
        <w:trPr>
          <w:cantSplit/>
        </w:trPr>
        <w:tc>
          <w:tcPr>
            <w:tcW w:type="dxa" w:w="2377"/>
            <w:vAlign w:val="center"/>
          </w:tcPr>
          <w:p>
            <w:pPr>
              <w:spacing w:before="20" w:after="20" w:line="260" w:lineRule="auto"/>
              <w:ind w:firstLine="0"/>
              <w:jc w:val="left"/>
            </w:pPr>
            <w:r>
              <w:rPr>
                <w:sz w:val="20"/>
                <w:szCs w:val="20"/>
              </w:rPr>
              <w:t xml:space="preserve">Kiểm thử đơn vị</w:t>
            </w:r>
          </w:p>
        </w:tc>
        <w:tc>
          <w:tcPr>
            <w:tcW w:type="dxa" w:w="3577"/>
            <w:vAlign w:val="center"/>
          </w:tcPr>
          <w:p>
            <w:pPr>
              <w:spacing w:before="20" w:after="20" w:line="260" w:lineRule="auto"/>
              <w:ind w:firstLine="0"/>
              <w:jc w:val="left"/>
            </w:pPr>
            <w:r>
              <w:rPr>
                <w:sz w:val="20"/>
                <w:szCs w:val="20"/>
              </w:rPr>
              <w:t xml:space="preserve">tests/test_core.py (pytest): lược đồ và dữ liệu tổng hợp, độ trễ không rò rỉ, logic Newsvendor, sắp xếp phân vị</w:t>
            </w:r>
          </w:p>
        </w:tc>
        <w:tc>
          <w:tcPr>
            <w:tcW w:type="dxa" w:w="3117"/>
            <w:vAlign w:val="center"/>
          </w:tcPr>
          <w:p>
            <w:pPr>
              <w:spacing w:before="20" w:after="20" w:line="260" w:lineRule="auto"/>
              <w:ind w:firstLine="0"/>
              <w:jc w:val="left"/>
            </w:pPr>
            <w:r>
              <w:rPr>
                <w:sz w:val="20"/>
                <w:szCs w:val="20"/>
              </w:rPr>
              <w:t xml:space="preserve">4/4 test đạt</w:t>
            </w:r>
          </w:p>
        </w:tc>
      </w:tr>
      <w:tr>
        <w:trPr>
          <w:cantSplit/>
        </w:trPr>
        <w:tc>
          <w:tcPr>
            <w:tcW w:type="dxa" w:w="2377"/>
            <w:vAlign w:val="center"/>
          </w:tcPr>
          <w:p>
            <w:pPr>
              <w:spacing w:before="20" w:after="20" w:line="260" w:lineRule="auto"/>
              <w:ind w:firstLine="0"/>
              <w:jc w:val="left"/>
            </w:pPr>
            <w:r>
              <w:rPr>
                <w:sz w:val="20"/>
                <w:szCs w:val="20"/>
              </w:rPr>
              <w:t xml:space="preserve">Kiểm tra nội bộ Stage 11 và 12</w:t>
            </w:r>
          </w:p>
        </w:tc>
        <w:tc>
          <w:tcPr>
            <w:tcW w:type="dxa" w:w="3577"/>
            <w:vAlign w:val="center"/>
          </w:tcPr>
          <w:p>
            <w:pPr>
              <w:spacing w:before="20" w:after="20" w:line="260" w:lineRule="auto"/>
              <w:ind w:firstLine="0"/>
              <w:jc w:val="left"/>
            </w:pPr>
            <w:r>
              <w:rPr>
                <w:sz w:val="20"/>
                <w:szCs w:val="20"/>
              </w:rPr>
              <w:t xml:space="preserve">Kiểm tra trong 11_forecast_diagnostics.py và 12_case_studies.py</w:t>
            </w:r>
          </w:p>
        </w:tc>
        <w:tc>
          <w:tcPr>
            <w:tcW w:type="dxa" w:w="3117"/>
            <w:vAlign w:val="center"/>
          </w:tcPr>
          <w:p>
            <w:pPr>
              <w:spacing w:before="20" w:after="20" w:line="260" w:lineRule="auto"/>
              <w:ind w:firstLine="0"/>
              <w:jc w:val="left"/>
            </w:pPr>
            <w:r>
              <w:rPr>
                <w:sz w:val="20"/>
                <w:szCs w:val="20"/>
              </w:rPr>
              <w:t xml:space="preserve">PASS (mô hình XGBoost; 4 trường hợp đại diện)</w:t>
            </w:r>
          </w:p>
        </w:tc>
      </w:tr>
      <w:tr>
        <w:trPr>
          <w:cantSplit/>
        </w:trPr>
        <w:tc>
          <w:tcPr>
            <w:tcW w:type="dxa" w:w="2377"/>
            <w:vAlign w:val="center"/>
          </w:tcPr>
          <w:p>
            <w:pPr>
              <w:spacing w:before="20" w:after="20" w:line="260" w:lineRule="auto"/>
              <w:ind w:firstLine="0"/>
              <w:jc w:val="left"/>
            </w:pPr>
            <w:r>
              <w:rPr>
                <w:sz w:val="20"/>
                <w:szCs w:val="20"/>
              </w:rPr>
              <w:t xml:space="preserve">Dashboard</w:t>
            </w:r>
          </w:p>
        </w:tc>
        <w:tc>
          <w:tcPr>
            <w:tcW w:type="dxa" w:w="3577"/>
            <w:vAlign w:val="center"/>
          </w:tcPr>
          <w:p>
            <w:pPr>
              <w:spacing w:before="20" w:after="20" w:line="260" w:lineRule="auto"/>
              <w:ind w:firstLine="0"/>
              <w:jc w:val="left"/>
            </w:pPr>
            <w:r>
              <w:rPr>
                <w:sz w:val="20"/>
                <w:szCs w:val="20"/>
              </w:rPr>
              <w:t xml:space="preserve">Streamlit AppTest mở lần lượt 11 trang trên đầu ra của lần chạy</w:t>
            </w:r>
          </w:p>
        </w:tc>
        <w:tc>
          <w:tcPr>
            <w:tcW w:type="dxa" w:w="3117"/>
            <w:vAlign w:val="center"/>
          </w:tcPr>
          <w:p>
            <w:pPr>
              <w:spacing w:before="20" w:after="20" w:line="260" w:lineRule="auto"/>
              <w:ind w:firstLine="0"/>
              <w:jc w:val="left"/>
            </w:pPr>
            <w:r>
              <w:rPr>
                <w:sz w:val="20"/>
                <w:szCs w:val="20"/>
              </w:rPr>
              <w:t xml:space="preserve">11/11 trang chạy không lỗi</w:t>
            </w:r>
          </w:p>
        </w:tc>
      </w:tr>
      <w:tr>
        <w:trPr>
          <w:cantSplit/>
        </w:trPr>
        <w:tc>
          <w:tcPr>
            <w:tcW w:type="dxa" w:w="2377"/>
            <w:vAlign w:val="center"/>
          </w:tcPr>
          <w:p>
            <w:pPr>
              <w:spacing w:before="20" w:after="20" w:line="260" w:lineRule="auto"/>
              <w:ind w:firstLine="0"/>
              <w:jc w:val="left"/>
            </w:pPr>
            <w:r>
              <w:rPr>
                <w:sz w:val="20"/>
                <w:szCs w:val="20"/>
              </w:rPr>
              <w:t xml:space="preserve">Luồng mô hình ngôn ngữ (mô phỏng, không gọi API thật)</w:t>
            </w:r>
          </w:p>
        </w:tc>
        <w:tc>
          <w:tcPr>
            <w:tcW w:type="dxa" w:w="3577"/>
            <w:vAlign w:val="center"/>
          </w:tcPr>
          <w:p>
            <w:pPr>
              <w:spacing w:before="20" w:after="20" w:line="260" w:lineRule="auto"/>
              <w:ind w:firstLine="0"/>
              <w:jc w:val="left"/>
            </w:pPr>
            <w:r>
              <w:rPr>
                <w:sz w:val="20"/>
                <w:szCs w:val="20"/>
              </w:rPr>
              <w:t xml:space="preserve">Giả lập ba phản hồi: bản hợp lệ; bản chứa số không có trong bằng chứng; phản hồi không phải JSON</w:t>
            </w:r>
          </w:p>
        </w:tc>
        <w:tc>
          <w:tcPr>
            <w:tcW w:type="dxa" w:w="3117"/>
            <w:vAlign w:val="center"/>
          </w:tcPr>
          <w:p>
            <w:pPr>
              <w:spacing w:before="20" w:after="20" w:line="260" w:lineRule="auto"/>
              <w:ind w:firstLine="0"/>
              <w:jc w:val="left"/>
            </w:pPr>
            <w:r>
              <w:rPr>
                <w:sz w:val="20"/>
                <w:szCs w:val="20"/>
              </w:rPr>
              <w:t xml:space="preserve">GENAI; RULE_BASED_AFTER_GUARDRAIL; RULE_BASED_AFTER_ERROR</w:t>
            </w:r>
          </w:p>
        </w:tc>
      </w:tr>
      <w:tr>
        <w:trPr>
          <w:cantSplit/>
        </w:trPr>
        <w:tc>
          <w:tcPr>
            <w:tcW w:type="dxa" w:w="2377"/>
            <w:vAlign w:val="center"/>
          </w:tcPr>
          <w:p>
            <w:pPr>
              <w:spacing w:before="20" w:after="20" w:line="260" w:lineRule="auto"/>
              <w:ind w:firstLine="0"/>
              <w:jc w:val="left"/>
            </w:pPr>
            <w:r>
              <w:rPr>
                <w:sz w:val="20"/>
                <w:szCs w:val="20"/>
              </w:rPr>
              <w:t xml:space="preserve">Workbook Excel xuất từ trang 10</w:t>
            </w:r>
          </w:p>
        </w:tc>
        <w:tc>
          <w:tcPr>
            <w:tcW w:type="dxa" w:w="3577"/>
            <w:vAlign w:val="center"/>
          </w:tcPr>
          <w:p>
            <w:pPr>
              <w:spacing w:before="20" w:after="20" w:line="260" w:lineRule="auto"/>
              <w:ind w:firstLine="0"/>
              <w:jc w:val="left"/>
            </w:pPr>
            <w:r>
              <w:rPr>
                <w:sz w:val="20"/>
                <w:szCs w:val="20"/>
              </w:rPr>
              <w:t xml:space="preserve">Sinh workbook toàn hệ thống, mở lại bằng openpyxl, đối chiếu WAPE và bao phủ của phạm vi toàn bộ với kết quả Stage 04/05</w:t>
            </w:r>
          </w:p>
        </w:tc>
        <w:tc>
          <w:tcPr>
            <w:tcW w:type="dxa" w:w="3117"/>
            <w:vAlign w:val="center"/>
          </w:tcPr>
          <w:p>
            <w:pPr>
              <w:spacing w:before="20" w:after="20" w:line="260" w:lineRule="auto"/>
              <w:ind w:firstLine="0"/>
              <w:jc w:val="left"/>
            </w:pPr>
            <w:r>
              <w:rPr>
                <w:sz w:val="20"/>
                <w:szCs w:val="20"/>
              </w:rPr>
              <w:t xml:space="preserve">9 sheet; WAPE 14,327%, bao phủ 75,40% (khớp)</w:t>
            </w:r>
          </w:p>
        </w:tc>
      </w:tr>
      <w:tr>
        <w:trPr>
          <w:cantSplit/>
        </w:trPr>
        <w:tc>
          <w:tcPr>
            <w:tcW w:type="dxa" w:w="2377"/>
            <w:vAlign w:val="center"/>
          </w:tcPr>
          <w:p>
            <w:pPr>
              <w:spacing w:before="20" w:after="20" w:line="260" w:lineRule="auto"/>
              <w:ind w:firstLine="0"/>
              <w:jc w:val="left"/>
            </w:pPr>
            <w:r>
              <w:rPr>
                <w:sz w:val="20"/>
                <w:szCs w:val="20"/>
              </w:rPr>
              <w:t xml:space="preserve">Mẫu ra quyết định dự báo</w:t>
            </w:r>
          </w:p>
        </w:tc>
        <w:tc>
          <w:tcPr>
            <w:tcW w:type="dxa" w:w="3577"/>
            <w:vAlign w:val="center"/>
          </w:tcPr>
          <w:p>
            <w:pPr>
              <w:spacing w:before="20" w:after="20" w:line="260" w:lineRule="auto"/>
              <w:ind w:firstLine="0"/>
              <w:jc w:val="left"/>
            </w:pPr>
            <w:r>
              <w:rPr>
                <w:sz w:val="20"/>
                <w:szCs w:val="20"/>
              </w:rPr>
              <w:t xml:space="preserve">Sinh mẫu cho 1.782 chuỗi, nhập thử 3 quyết định, tính lại toàn bộ công thức bằng LibreOffice</w:t>
            </w:r>
          </w:p>
        </w:tc>
        <w:tc>
          <w:tcPr>
            <w:tcW w:type="dxa" w:w="3117"/>
            <w:vAlign w:val="center"/>
          </w:tcPr>
          <w:p>
            <w:pPr>
              <w:spacing w:before="20" w:after="20" w:line="260" w:lineRule="auto"/>
              <w:ind w:firstLine="0"/>
              <w:jc w:val="left"/>
            </w:pPr>
            <w:r>
              <w:rPr>
                <w:sz w:val="20"/>
                <w:szCs w:val="20"/>
              </w:rPr>
              <w:t xml:space="preserve">7.140 công thức, 0 lỗi; cột Kiểm soát trả về đúng: hợp lệ / thiếu lý do / vượt mục tiêu P90</w:t>
            </w:r>
          </w:p>
        </w:tc>
      </w:tr>
      <w:tr>
        <w:trPr>
          <w:cantSplit/>
        </w:trPr>
        <w:tc>
          <w:tcPr>
            <w:tcW w:type="dxa" w:w="2377"/>
            <w:vAlign w:val="center"/>
          </w:tcPr>
          <w:p>
            <w:pPr>
              <w:spacing w:before="20" w:after="20" w:line="260" w:lineRule="auto"/>
              <w:ind w:firstLine="0"/>
              <w:jc w:val="left"/>
            </w:pPr>
            <w:r>
              <w:rPr>
                <w:sz w:val="20"/>
                <w:szCs w:val="20"/>
              </w:rPr>
              <w:t xml:space="preserve">Báo cáo 1 trang</w:t>
            </w:r>
          </w:p>
        </w:tc>
        <w:tc>
          <w:tcPr>
            <w:tcW w:type="dxa" w:w="3577"/>
            <w:vAlign w:val="center"/>
          </w:tcPr>
          <w:p>
            <w:pPr>
              <w:spacing w:before="20" w:after="20" w:line="260" w:lineRule="auto"/>
              <w:ind w:firstLine="0"/>
              <w:jc w:val="left"/>
            </w:pPr>
            <w:r>
              <w:rPr>
                <w:sz w:val="20"/>
                <w:szCs w:val="20"/>
              </w:rPr>
              <w:t xml:space="preserve">Sinh HTML và PDF A4 cho toàn hệ thống và cho phạm vi con</w:t>
            </w:r>
          </w:p>
        </w:tc>
        <w:tc>
          <w:tcPr>
            <w:tcW w:type="dxa" w:w="3117"/>
            <w:vAlign w:val="center"/>
          </w:tcPr>
          <w:p>
            <w:pPr>
              <w:spacing w:before="20" w:after="20" w:line="260" w:lineRule="auto"/>
              <w:ind w:firstLine="0"/>
              <w:jc w:val="left"/>
            </w:pPr>
            <w:r>
              <w:rPr>
                <w:sz w:val="20"/>
                <w:szCs w:val="20"/>
              </w:rPr>
              <w:t xml:space="preserve">Tạo thành công, hiển thị đúng 1 trang</w:t>
            </w:r>
          </w:p>
        </w:tc>
      </w:tr>
    </w:tbl>
    <w:p>
      <w:pPr>
        <w:spacing w:before="40" w:after="160"/>
        <w:ind w:firstLine="0"/>
      </w:pPr>
      <w:r>
        <w:rPr>
          <w:i/>
          <w:sz w:val="22"/>
          <w:szCs w:val="22"/>
        </w:rPr>
        <w:t xml:space="preserve">Nguồn: tổng hợp của tác giả từ 10_pipeline_smoke_test.py, tests/test_core.py, các stage 11–12, app.py và src/export/*.py. Luồng mô hình ngôn ngữ chỉ được kiểm thử bằng phản hồi giả lập, không gọi API thật.</w:t>
      </w:r>
    </w:p>
    <w:p>
      <w:pPr>
        <w:keepLines w:val="0"/>
        <w:spacing w:after="120"/>
        <w:ind w:firstLine="567"/>
      </w:pPr>
      <w:r>
        <w:t xml:space="preserve">Các lớp còn lại kiểm tra những thành phần mà người dùng tương tác trực tiếp. Streamlit AppTest mở lần lượt 11 trang của dashboard trên đầu ra của lần chạy chính thức và cả 11 trang chạy không lỗi. Luồng mô hình ngôn ngữ được kiểm thử bằng ba phản hồi giả lập: bản hợp lệ được chấp nhận ở chế độ GENAI, bản chứa số không có trong bằng chứng bị loại với chế độ RULE_BASED_AFTER_GUARDRAIL, và phản hồi không phải JSON làm phiếu quay về RULE_BASED_AFTER_ERROR. Với các tệp xuất của trang 10, workbook Excel toàn hệ thống được sinh ra, mở lại bằng openpyxl và có 9 sheet, với WAPE 14,327% và độ bao phủ 75,40% khớp với kết quả Stage 04 và 05. Mẫu ra quyết định được sinh cho 1.782 chuỗi, nhập thử 3 quyết định rồi tính lại bằng LibreOffice: 7.140 công thức không có lỗi và cột Kiểm soát trả về đúng các trạng thái hợp lệ, thiếu lý do và vượt mục tiêu P90. Báo cáo một trang được sinh thành công ở dạng HTML và PDF A4 cho toàn hệ thống và cho phạm vi con.</w:t>
      </w:r>
    </w:p>
    <w:p>
      <w:pPr>
        <w:keepLines w:val="0"/>
        <w:spacing w:after="120"/>
        <w:ind w:firstLine="567"/>
      </w:pPr>
      <w:r>
        <w:t xml:space="preserve">Phạm vi của bộ kiểm thử cũng cần được nêu rõ. Các lớp trên kiểm tra rằng quy trình thực thi trọn vẹn, tôn trọng một số ràng buộc phương pháp then chốt và tạo ra tệp xuất nhất quán với đầu ra gốc, nhưng chưa khẳng định mọi thuộc tính ngữ nghĩa của kết quả, chẳng hạn tính hợp lý kinh tế của từng khuyến nghị hay sự nhất quán giữa mọi bảng tổng hợp và tệp chi tiết tương ứng. Kiểm thử đơn vị chạy trên dữ liệu tổng hợp nên không thay thế được việc đối chiếu trên dữ liệu thật, và luồng mô hình ngôn ngữ mới chỉ được kiểm chứng bằng phản hồi giả lập, nên độ trung thực của một mô hình ngôn ngữ thật chưa được đo. Bổ sung kiểm thử ngữ nghĩa cho các đầu ra trung gian và đánh giá với lời gọi API thật là các hướng hoàn thiện tiếp theo, phù hợp với cảnh báo về nợ kỹ thuật ẩn trong hệ thống học máy (Sculley và cộng sự, 2015).</w:t>
      </w:r>
    </w:p>
    <w:p>
      <w:pPr>
        <w:pStyle w:val="Heading2"/>
        <w:keepNext/>
      </w:pPr>
      <w:r>
        <w:t xml:space="preserve">3.15. Tiểu kết Chương 3</w:t>
      </w:r>
    </w:p>
    <w:p>
      <w:pPr>
        <w:keepLines w:val="0"/>
        <w:spacing w:after="120"/>
        <w:ind w:firstLine="567"/>
      </w:pPr>
      <w:r>
        <w:t xml:space="preserve">Chương 3 đã trình bày quy trình thực nghiệm của lần chạy chính thức từ đánh giá mô hình đến hỗ trợ quyết định. Năm mô hình được so sánh qua ba lần kiểm định chéo cuốn chiếu với các cửa sổ 16 ngày liền kề từ 13/06/2017 đến 30/07/2017, theo quy tắc định trước dựa trên WAPE trung bình, rồi RMSE và MAE; Seasonal Naive cố định gốc là đường cơ sở hợp lệ, còn XGBoost, LightGBM, Ridge cùng học trên toàn bộ dữ liệu. Tập kiểm tra cuối 31/07/2017–15/08/2017 chỉ được dùng sau khi mô hình thắng đã được ghi nhận. Trên nền XGBoost được chọn, P10/P50/P90 được dựng bằng Mondrian split-conformal với 9 nhóm thực tế; các dự báo này đi vào năm kịch bản onpromotion có dải bất định theo từng dòng, vào logic Newsvendor với q* = 0,75, và vào lớp quyết định tạo phiếu khuyến nghị cho mọi chuỗi với điểm ưu tiên minh bạch, RAG trích dẫn bắt buộc, kiểm tra bám bằng chứng, biểu mẫu HITL 14 cột và dashboard 11 trang, trong đó trang 10 xuất workbook Excel, báo cáo một trang và mẫu ra quyết định. Toàn bộ quy trình chạy lại được từ train.csv bằng một lệnh và được kiểm thử ở nhiều lớp (mục 3.14).</w:t>
      </w:r>
    </w:p>
    <w:p>
      <w:pPr>
        <w:keepLines w:val="0"/>
        <w:spacing w:after="120"/>
        <w:ind w:firstLine="567"/>
      </w:pPr>
      <w:r>
        <w:t xml:space="preserve">Điểm xuyên suốt của chương là sự phân định giữa ba loại nội dung. Loại thứ nhất là các lựa chọn thiết kế cùng lý do phương pháp: Seasonal Naive cố định gốc, lịch ngày đầy đủ và độ trễ từ 16 ngày trở lên để mọi đặc trưng biết được tại gốc dự báo, khoảng Mondrian theo quy mô dự báo điểm, mô hình tính phần dư cùng quy tắc dữ liệu với mô hình cuối, dải kịch bản theo từng dòng và hàng đợi theo điểm ưu tiên. Loại thứ hai là các giới hạn của nghiên cứu: nhãn rủi ro gắn với quy mô (Spearman giữa P50 và r bằng −0,970); vị thế tồn kho giả định 0,8 × P50 và ROP = P90; chỉ 3 lần kiểm định với cửa sổ hiệu chỉnh trùng lần kiểm định 3; bao phủ tổng 75,40% thấp hơn danh nghĩa 80% và nhóm nhu cầu thấp nhất chỉ 70,86%; Random Forest dùng mẫu 600.000 dòng; không tinh chỉnh siêu tham số; kịch bản khuyến mãi có ngoại suy (783 chuỗi có P50 Current &gt; 0 lệch hơn 100% ở kịch bản High; 809 phiếu mang cảnh báo ngoại suy); chưa gọi mô hình ngôn ngữ thật; không có giá, biên lợi nhuận, tồn kho thực; và khác phiên bản thư viện giữa môi trường chạy và.venv. Loại thứ ba là các hướng cải tiến chưa triển khai. Chương 4 dùng đúng khung này để trình bày bằng chứng thực nghiệm, gồm cả thí nghiệm độ nhạy của hai lựa chọn thiết kế ở mục 4.15.</w:t>
      </w:r>
    </w:p>
    <w:p>
      <w:pPr>
        <w:pStyle w:val="Heading1"/>
        <w:pageBreakBefore/>
      </w:pPr>
      <w:r>
        <w:t xml:space="preserve">CHƯƠNG 4. KẾT QUẢ THỰC NGHIỆM VÀ PHÂN TÍCH</w:t>
      </w:r>
    </w:p>
    <w:p>
      <w:pPr>
        <w:keepLines w:val="0"/>
        <w:spacing w:after="120"/>
        <w:ind w:firstLine="567"/>
      </w:pPr>
      <w:r>
        <w:t xml:space="preserve">Chương 4 trình bày và phân tích kết quả thực nghiệm của quy trình đã thiết kế ở Chương 3, nhằm trả lời các câu hỏi nghiên cứu bằng bằng chứng định lượng rút ra từ lần chạy chính thức của quy trình trên dữ liệu Corporación Favorita. Trình tự của chương bám theo trình tự ra quyết định. Các mục 4.1 đến 4.5 tập trung vào lớp dự báo điểm: xếp hạng năm mô hình qua kiểm định chéo cuốn chiếu, độ ổn định giữa các lần kiểm định, kết quả trên tập kiểm tra cuối 16 ngày và đặc điểm của từng họ mô hình. Các mục tiếp theo chẩn đoán sai số của mô hình được chọn, cấu trúc đặc trưng và chất lượng dự báo xác suất P10/P50/P90. Phần sau chuyển dự báo thành kịch bản khuyến mãi, tín hiệu rủi ro tồn kho và phiếu khuyến nghị của lớp Generative AI, rồi kiểm tra độ nhạy của kết quả lựa chọn mô hình trước một số lựa chọn thiết kế của quy trình. Mỗi con số được diễn giải cùng phạm vi hiệu lực và các giới hạn còn tồn tại, để phân biệt bằng chứng cho lựa chọn mô hình, bằng chứng về khả năng khái quát hóa và những đại lượng chỉ mang tính minh họa.</w:t>
      </w:r>
    </w:p>
    <w:p>
      <w:pPr>
        <w:pStyle w:val="Heading2"/>
        <w:keepNext/>
      </w:pPr>
      <w:r>
        <w:t xml:space="preserve">4.1. Tổng quan kết quả</w:t>
      </w:r>
    </w:p>
    <w:p>
      <w:pPr>
        <w:pStyle w:val="Heading3"/>
        <w:keepNext/>
      </w:pPr>
      <w:r>
        <w:t xml:space="preserve">4.1.1. Kết quả chính của lớp dự báo điểm</w:t>
      </w:r>
    </w:p>
    <w:p>
      <w:pPr>
        <w:keepLines w:val="0"/>
        <w:spacing w:after="120"/>
        <w:ind w:firstLine="567"/>
      </w:pPr>
      <w:r>
        <w:t xml:space="preserve">Kết quả trung tâm của lớp dự báo điểm là việc XGBoost được chọn làm mô hình dự báo chính sau ba lần kiểm định chéo cuốn chiếu theo thời gian (rolling-origin cross-validation), với WAPE trung bình 12,089%. Quy tắc lựa chọn được cố định trước khi chạy: xếp hạng theo WAPE trung bình của ba lần kiểm định, nếu hòa thì xét RMSE trung bình rồi MAE trung bình. Tập kiểm tra cuối gồm 16 ngày (31/07/2017–15/08/2017) không tham gia lựa chọn, và mô hình thắng được xác định trước khi đánh giá trên giai đoạn này. Việc dựa trên nhiều gốc dự báo tương ứng với nguyên tắc đánh giá ngoài mẫu với gốc dự báo cuốn chiếu (Tashman, 2000). Trên tập kiểm tra cuối, XGBoost tiếp tục có WAPE thấp nhất (14,327%), với MAE 66,927 và RMSE 225,602 trên 28.512 quan sát chuỗi – ngày. Mô hình này được huấn luyện trên toàn bộ dữ liệu trước gốc dự báo, cùng quy tắc dữ liệu với LightGBM và Ridge.</w:t>
      </w:r>
    </w:p>
    <w:p>
      <w:pPr>
        <w:keepLines w:val="0"/>
        <w:spacing w:after="120"/>
        <w:ind w:firstLine="567"/>
      </w:pPr>
      <w:r>
        <w:t xml:space="preserve">Bên cạnh kết quả chính, lần chạy cho thấy bốn đặc điểm cần được đọc cùng nhau. Thứ nhất, ba mô hình tổ hợp cây (tree ensembles) gồm XGBoost, LightGBM và Random Forest tạo thành một cụm có WAPE trung bình dưới 13%, tách biệt rõ với Seasonal Naive và Ridge; thứ hạng của cả năm mô hình được lặp lại y hệt ở ba lần kiểm định. Thứ hai, XGBoost có RMSE thấp nhất ở cả ba lần kiểm định, nhưng khoảng cách WAPE với LightGBM chỉ 0,478 điểm phần trăm, nhỏ hơn độ lệch chuẩn giữa các lần của chính XGBoost. Thứ ba, Seasonal Naive là đường cơ sở cố định gốc dự báo, không rò rỉ thông tin, xếp thứ tư ở cả kiểm định chéo lẫn tập kiểm tra cuối và đứng trên Ridge; chênh lệch giữa XGBoost và đường cơ sở này vì vậy có thể dùng làm thước đo lợi ích của học máy. Thứ tư, cả năm mô hình đều có WAPE trên tập kiểm tra cuối cao hơn trung bình kiểm định chéo, trong đó XGBoost tăng ít nhất theo giá trị tuyệt đối (+2,237 điểm phần trăm). Các mục 4.2 đến 4.5 lần lượt phân tích từng đặc điểm này.</w:t>
      </w:r>
    </w:p>
    <w:p>
      <w:pPr>
        <w:pStyle w:val="Heading3"/>
        <w:keepNext/>
      </w:pPr>
      <w:r>
        <w:t xml:space="preserve">4.1.2. Cấu trúc bằng chứng của chương</w:t>
      </w:r>
    </w:p>
    <w:p>
      <w:pPr>
        <w:keepLines w:val="0"/>
        <w:spacing w:after="120"/>
        <w:ind w:firstLine="567"/>
      </w:pPr>
      <w:r>
        <w:t xml:space="preserve">Phân tích trong Chương 4 được tổ chức thành năm tầng bằng chứng, tóm tắt tại Bảng 4.1. Tầng thứ nhất so sánh năm mô hình và kiểm tra độ ổn định giữa các lần kiểm định (fold), nhằm trả lời câu hỏi mô hình nào nên được chọn. Tầng thứ hai đánh giá mô hình đã chọn trên giai đoạn chưa tham gia lựa chọn và phân rã sai số theo thời gian, cửa hàng, nhóm sản phẩm và mức nhu cầu. Tầng thứ ba đánh giá độ bất định (uncertainty) thông qua các phân vị P10/P50/P90. Tầng thứ tư chuyển đầu ra dự báo thành kịch bản khuyến mãi, tín hiệu tồn kho và phiếu khuyến nghị cho lớp Generative AI, RAG và cơ chế con người trong vòng lặp (human-in-the-loop, HITL). Tầng cuối cùng là thí nghiệm độ nhạy của các lựa chọn thiết kế: mỗi cấu hình thí nghiệm chỉ thay đổi đúng một yếu tố so với cấu hình chính thức, gồm quy mô dữ liệu huấn luyện của XGBoost (toàn bộ dữ liệu so với mẫu 600.000 dòng) và tham số subsample_freq của LightGBM, trên cùng ba lần kiểm định và cùng tập đặc trưng. Mỗi tầng trả lời một câu hỏi khác và bổ sung góc nhìn mà tầng trước không cung cấp được.</w:t>
      </w:r>
    </w:p>
    <w:p>
      <w:pPr>
        <w:keepNext/>
        <w:spacing w:before="120" w:after="60"/>
        <w:ind w:firstLine="0"/>
        <w:jc w:val="center"/>
      </w:pPr>
      <w:r>
        <w:t xml:space="preserve">Bảng 4.1. Năm tầng bằng chứng trong phân tích kết quả của Chương 4</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667"/>
        <w:gridCol w:w="3081"/>
        <w:gridCol w:w="3392"/>
        <w:gridCol w:w="931"/>
      </w:tblGrid>
      <w:tr>
        <w:trPr>
          <w:tblHeader/>
          <w:cantSplit/>
        </w:trPr>
        <w:tc>
          <w:tcPr>
            <w:tcW w:type="dxa" w:w="1667"/>
            <w:shd w:val="clear" w:color="auto" w:fill="D9E2F3"/>
            <w:vAlign w:val="center"/>
          </w:tcPr>
          <w:p>
            <w:pPr>
              <w:spacing w:before="20" w:after="20" w:line="260" w:lineRule="auto"/>
              <w:ind w:firstLine="0"/>
              <w:jc w:val="center"/>
            </w:pPr>
            <w:r>
              <w:rPr>
                <w:b/>
                <w:sz w:val="20"/>
                <w:szCs w:val="20"/>
              </w:rPr>
              <w:t xml:space="preserve">Tầng</w:t>
            </w:r>
          </w:p>
        </w:tc>
        <w:tc>
          <w:tcPr>
            <w:tcW w:type="dxa" w:w="3081"/>
            <w:shd w:val="clear" w:color="auto" w:fill="D9E2F3"/>
            <w:vAlign w:val="center"/>
          </w:tcPr>
          <w:p>
            <w:pPr>
              <w:spacing w:before="20" w:after="20" w:line="260" w:lineRule="auto"/>
              <w:ind w:firstLine="0"/>
              <w:jc w:val="center"/>
            </w:pPr>
            <w:r>
              <w:rPr>
                <w:b/>
                <w:sz w:val="20"/>
                <w:szCs w:val="20"/>
              </w:rPr>
              <w:t xml:space="preserve">Câu hỏi phân tích</w:t>
            </w:r>
          </w:p>
        </w:tc>
        <w:tc>
          <w:tcPr>
            <w:tcW w:type="dxa" w:w="3392"/>
            <w:shd w:val="clear" w:color="auto" w:fill="D9E2F3"/>
            <w:vAlign w:val="center"/>
          </w:tcPr>
          <w:p>
            <w:pPr>
              <w:spacing w:before="20" w:after="20" w:line="260" w:lineRule="auto"/>
              <w:ind w:firstLine="0"/>
              <w:jc w:val="center"/>
            </w:pPr>
            <w:r>
              <w:rPr>
                <w:b/>
                <w:sz w:val="20"/>
                <w:szCs w:val="20"/>
              </w:rPr>
              <w:t xml:space="preserve">Bằng chứng chính</w:t>
            </w:r>
          </w:p>
        </w:tc>
        <w:tc>
          <w:tcPr>
            <w:tcW w:type="dxa" w:w="931"/>
            <w:shd w:val="clear" w:color="auto" w:fill="D9E2F3"/>
            <w:vAlign w:val="center"/>
          </w:tcPr>
          <w:p>
            <w:pPr>
              <w:spacing w:before="20" w:after="20" w:line="260" w:lineRule="auto"/>
              <w:ind w:firstLine="0"/>
              <w:jc w:val="center"/>
            </w:pPr>
            <w:r>
              <w:rPr>
                <w:b/>
                <w:sz w:val="20"/>
                <w:szCs w:val="20"/>
              </w:rPr>
              <w:t xml:space="preserve">Mục</w:t>
            </w:r>
          </w:p>
        </w:tc>
      </w:tr>
      <w:tr>
        <w:trPr>
          <w:cantSplit/>
        </w:trPr>
        <w:tc>
          <w:tcPr>
            <w:tcW w:type="dxa" w:w="1667"/>
            <w:vAlign w:val="center"/>
          </w:tcPr>
          <w:p>
            <w:pPr>
              <w:spacing w:before="20" w:after="20" w:line="260" w:lineRule="auto"/>
              <w:ind w:firstLine="0"/>
              <w:jc w:val="left"/>
            </w:pPr>
            <w:r>
              <w:rPr>
                <w:sz w:val="20"/>
                <w:szCs w:val="20"/>
              </w:rPr>
              <w:t xml:space="preserve">1. Lựa chọn mô hình</w:t>
            </w:r>
          </w:p>
        </w:tc>
        <w:tc>
          <w:tcPr>
            <w:tcW w:type="dxa" w:w="3081"/>
            <w:vAlign w:val="center"/>
          </w:tcPr>
          <w:p>
            <w:pPr>
              <w:spacing w:before="20" w:after="20" w:line="260" w:lineRule="auto"/>
              <w:ind w:firstLine="0"/>
              <w:jc w:val="left"/>
            </w:pPr>
            <w:r>
              <w:rPr>
                <w:sz w:val="20"/>
                <w:szCs w:val="20"/>
              </w:rPr>
              <w:t xml:space="preserve">Mô hình nào có sai số thấp nhất và ổn định qua các gốc dự báo?</w:t>
            </w:r>
          </w:p>
        </w:tc>
        <w:tc>
          <w:tcPr>
            <w:tcW w:type="dxa" w:w="3392"/>
            <w:vAlign w:val="center"/>
          </w:tcPr>
          <w:p>
            <w:pPr>
              <w:spacing w:before="20" w:after="20" w:line="260" w:lineRule="auto"/>
              <w:ind w:firstLine="0"/>
              <w:jc w:val="left"/>
            </w:pPr>
            <w:r>
              <w:rPr>
                <w:sz w:val="20"/>
                <w:szCs w:val="20"/>
              </w:rPr>
              <w:t xml:space="preserve">WAPE, MAE, RMSE, sMAPE, RMSLE trung bình và theo từng lần của ba lần kiểm định chéo cuốn chiếu</w:t>
            </w:r>
          </w:p>
        </w:tc>
        <w:tc>
          <w:tcPr>
            <w:tcW w:type="dxa" w:w="931"/>
            <w:vAlign w:val="center"/>
          </w:tcPr>
          <w:p>
            <w:pPr>
              <w:spacing w:before="20" w:after="20" w:line="260" w:lineRule="auto"/>
              <w:ind w:firstLine="0"/>
              <w:jc w:val="left"/>
            </w:pPr>
            <w:r>
              <w:rPr>
                <w:sz w:val="20"/>
                <w:szCs w:val="20"/>
              </w:rPr>
              <w:t xml:space="preserve">4.2–4.3</w:t>
            </w:r>
          </w:p>
        </w:tc>
      </w:tr>
      <w:tr>
        <w:trPr>
          <w:cantSplit/>
        </w:trPr>
        <w:tc>
          <w:tcPr>
            <w:tcW w:type="dxa" w:w="1667"/>
            <w:vAlign w:val="center"/>
          </w:tcPr>
          <w:p>
            <w:pPr>
              <w:spacing w:before="20" w:after="20" w:line="260" w:lineRule="auto"/>
              <w:ind w:firstLine="0"/>
              <w:jc w:val="left"/>
            </w:pPr>
            <w:r>
              <w:rPr>
                <w:sz w:val="20"/>
                <w:szCs w:val="20"/>
              </w:rPr>
              <w:t xml:space="preserve">2. Khái quát hóa và chẩn đoán</w:t>
            </w:r>
          </w:p>
        </w:tc>
        <w:tc>
          <w:tcPr>
            <w:tcW w:type="dxa" w:w="3081"/>
            <w:vAlign w:val="center"/>
          </w:tcPr>
          <w:p>
            <w:pPr>
              <w:spacing w:before="20" w:after="20" w:line="260" w:lineRule="auto"/>
              <w:ind w:firstLine="0"/>
              <w:jc w:val="left"/>
            </w:pPr>
            <w:r>
              <w:rPr>
                <w:sz w:val="20"/>
                <w:szCs w:val="20"/>
              </w:rPr>
              <w:t xml:space="preserve">Mô hình đã chọn hoạt động thế nào trên giai đoạn chưa tham gia lựa chọn, và sai số tập trung ở đâu?</w:t>
            </w:r>
          </w:p>
        </w:tc>
        <w:tc>
          <w:tcPr>
            <w:tcW w:type="dxa" w:w="3392"/>
            <w:vAlign w:val="center"/>
          </w:tcPr>
          <w:p>
            <w:pPr>
              <w:spacing w:before="20" w:after="20" w:line="260" w:lineRule="auto"/>
              <w:ind w:firstLine="0"/>
              <w:jc w:val="left"/>
            </w:pPr>
            <w:r>
              <w:rPr>
                <w:sz w:val="20"/>
                <w:szCs w:val="20"/>
              </w:rPr>
              <w:t xml:space="preserve">Thước đo trên tập kiểm tra cuối 16 ngày; so sánh với kiểm định chéo; đặc điểm từng họ mô hình; diễn biến theo ngày, phần dư, phân rã sai số, mức độ quan trọng của đặc trưng</w:t>
            </w:r>
          </w:p>
        </w:tc>
        <w:tc>
          <w:tcPr>
            <w:tcW w:type="dxa" w:w="931"/>
            <w:vAlign w:val="center"/>
          </w:tcPr>
          <w:p>
            <w:pPr>
              <w:spacing w:before="20" w:after="20" w:line="260" w:lineRule="auto"/>
              <w:ind w:firstLine="0"/>
              <w:jc w:val="left"/>
            </w:pPr>
            <w:r>
              <w:rPr>
                <w:sz w:val="20"/>
                <w:szCs w:val="20"/>
              </w:rPr>
              <w:t xml:space="preserve">4.4–4.8</w:t>
            </w:r>
          </w:p>
        </w:tc>
      </w:tr>
      <w:tr>
        <w:trPr>
          <w:cantSplit/>
        </w:trPr>
        <w:tc>
          <w:tcPr>
            <w:tcW w:type="dxa" w:w="1667"/>
            <w:vAlign w:val="center"/>
          </w:tcPr>
          <w:p>
            <w:pPr>
              <w:spacing w:before="20" w:after="20" w:line="260" w:lineRule="auto"/>
              <w:ind w:firstLine="0"/>
              <w:jc w:val="left"/>
            </w:pPr>
            <w:r>
              <w:rPr>
                <w:sz w:val="20"/>
                <w:szCs w:val="20"/>
              </w:rPr>
              <w:t xml:space="preserve">3. Độ bất định</w:t>
            </w:r>
          </w:p>
        </w:tc>
        <w:tc>
          <w:tcPr>
            <w:tcW w:type="dxa" w:w="3081"/>
            <w:vAlign w:val="center"/>
          </w:tcPr>
          <w:p>
            <w:pPr>
              <w:spacing w:before="20" w:after="20" w:line="260" w:lineRule="auto"/>
              <w:ind w:firstLine="0"/>
              <w:jc w:val="left"/>
            </w:pPr>
            <w:r>
              <w:rPr>
                <w:sz w:val="20"/>
                <w:szCs w:val="20"/>
              </w:rPr>
              <w:t xml:space="preserve">Khoảng P10–P90 có được hiệu chỉnh và đủ sắc nét, kể cả theo quy mô nhu cầu?</w:t>
            </w:r>
          </w:p>
        </w:tc>
        <w:tc>
          <w:tcPr>
            <w:tcW w:type="dxa" w:w="3392"/>
            <w:vAlign w:val="center"/>
          </w:tcPr>
          <w:p>
            <w:pPr>
              <w:spacing w:before="20" w:after="20" w:line="260" w:lineRule="auto"/>
              <w:ind w:firstLine="0"/>
              <w:jc w:val="left"/>
            </w:pPr>
            <w:r>
              <w:rPr>
                <w:sz w:val="20"/>
                <w:szCs w:val="20"/>
              </w:rPr>
              <w:t xml:space="preserve">Hàm mất mát phân vị, độ bao phủ, độ rộng khoảng theo toàn hệ thống và theo phân đoạn của khoảng Mondrian split-conformal</w:t>
            </w:r>
          </w:p>
        </w:tc>
        <w:tc>
          <w:tcPr>
            <w:tcW w:type="dxa" w:w="931"/>
            <w:vAlign w:val="center"/>
          </w:tcPr>
          <w:p>
            <w:pPr>
              <w:spacing w:before="20" w:after="20" w:line="260" w:lineRule="auto"/>
              <w:ind w:firstLine="0"/>
              <w:jc w:val="center"/>
            </w:pPr>
            <w:r>
              <w:rPr>
                <w:sz w:val="20"/>
                <w:szCs w:val="20"/>
              </w:rPr>
              <w:t xml:space="preserve">4.9</w:t>
            </w:r>
          </w:p>
        </w:tc>
      </w:tr>
      <w:tr>
        <w:trPr>
          <w:cantSplit/>
        </w:trPr>
        <w:tc>
          <w:tcPr>
            <w:tcW w:type="dxa" w:w="1667"/>
            <w:vAlign w:val="center"/>
          </w:tcPr>
          <w:p>
            <w:pPr>
              <w:spacing w:before="20" w:after="20" w:line="260" w:lineRule="auto"/>
              <w:ind w:firstLine="0"/>
              <w:jc w:val="left"/>
            </w:pPr>
            <w:r>
              <w:rPr>
                <w:sz w:val="20"/>
                <w:szCs w:val="20"/>
              </w:rPr>
              <w:t xml:space="preserve">4. Hỗ trợ quyết định</w:t>
            </w:r>
          </w:p>
        </w:tc>
        <w:tc>
          <w:tcPr>
            <w:tcW w:type="dxa" w:w="3081"/>
            <w:vAlign w:val="center"/>
          </w:tcPr>
          <w:p>
            <w:pPr>
              <w:spacing w:before="20" w:after="20" w:line="260" w:lineRule="auto"/>
              <w:ind w:firstLine="0"/>
              <w:jc w:val="left"/>
            </w:pPr>
            <w:r>
              <w:rPr>
                <w:sz w:val="20"/>
                <w:szCs w:val="20"/>
              </w:rPr>
              <w:t xml:space="preserve">Dự báo được chuyển thành tín hiệu hành động như thế nào và trong giới hạn nào?</w:t>
            </w:r>
          </w:p>
        </w:tc>
        <w:tc>
          <w:tcPr>
            <w:tcW w:type="dxa" w:w="3392"/>
            <w:vAlign w:val="center"/>
          </w:tcPr>
          <w:p>
            <w:pPr>
              <w:spacing w:before="20" w:after="20" w:line="260" w:lineRule="auto"/>
              <w:ind w:firstLine="0"/>
              <w:jc w:val="left"/>
            </w:pPr>
            <w:r>
              <w:rPr>
                <w:sz w:val="20"/>
                <w:szCs w:val="20"/>
              </w:rPr>
              <w:t xml:space="preserve">Kịch bản khuyến mãi có điều kiện, đại lượng tồn kho mô phỏng, nhãn rủi ro, hàng đợi 1.782 phiếu khuyến nghị, bốn trường hợp đại diện, tổng hợp theo câu hỏi nghiên cứu</w:t>
            </w:r>
          </w:p>
        </w:tc>
        <w:tc>
          <w:tcPr>
            <w:tcW w:type="dxa" w:w="931"/>
            <w:vAlign w:val="center"/>
          </w:tcPr>
          <w:p>
            <w:pPr>
              <w:spacing w:before="20" w:after="20" w:line="260" w:lineRule="auto"/>
              <w:ind w:firstLine="0"/>
              <w:jc w:val="left"/>
            </w:pPr>
            <w:r>
              <w:rPr>
                <w:sz w:val="20"/>
                <w:szCs w:val="20"/>
              </w:rPr>
              <w:t xml:space="preserve">4.10–4.14</w:t>
            </w:r>
          </w:p>
        </w:tc>
      </w:tr>
      <w:tr>
        <w:trPr>
          <w:cantSplit/>
        </w:trPr>
        <w:tc>
          <w:tcPr>
            <w:tcW w:type="dxa" w:w="1667"/>
            <w:vAlign w:val="center"/>
          </w:tcPr>
          <w:p>
            <w:pPr>
              <w:spacing w:before="20" w:after="20" w:line="260" w:lineRule="auto"/>
              <w:ind w:firstLine="0"/>
              <w:jc w:val="left"/>
            </w:pPr>
            <w:r>
              <w:rPr>
                <w:sz w:val="20"/>
                <w:szCs w:val="20"/>
              </w:rPr>
              <w:t xml:space="preserve">5. Độ nhạy của thiết kế</w:t>
            </w:r>
          </w:p>
        </w:tc>
        <w:tc>
          <w:tcPr>
            <w:tcW w:type="dxa" w:w="3081"/>
            <w:vAlign w:val="center"/>
          </w:tcPr>
          <w:p>
            <w:pPr>
              <w:spacing w:before="20" w:after="20" w:line="260" w:lineRule="auto"/>
              <w:ind w:firstLine="0"/>
              <w:jc w:val="left"/>
            </w:pPr>
            <w:r>
              <w:rPr>
                <w:sz w:val="20"/>
                <w:szCs w:val="20"/>
              </w:rPr>
              <w:t xml:space="preserve">Kết quả lựa chọn mô hình thay đổi ra sao khi thay đổi từng lựa chọn thiết kế?</w:t>
            </w:r>
          </w:p>
        </w:tc>
        <w:tc>
          <w:tcPr>
            <w:tcW w:type="dxa" w:w="3392"/>
            <w:vAlign w:val="center"/>
          </w:tcPr>
          <w:p>
            <w:pPr>
              <w:spacing w:before="20" w:after="20" w:line="260" w:lineRule="auto"/>
              <w:ind w:firstLine="0"/>
              <w:jc w:val="left"/>
            </w:pPr>
            <w:r>
              <w:rPr>
                <w:sz w:val="20"/>
                <w:szCs w:val="20"/>
              </w:rPr>
              <w:t xml:space="preserve">Thí nghiệm độ nhạy trên cùng ba lần kiểm định: XGBoost trên toàn bộ dữ liệu so với mẫu 600.000 dòng; LightGBM có và không đặt subsample_freq</w:t>
            </w:r>
          </w:p>
        </w:tc>
        <w:tc>
          <w:tcPr>
            <w:tcW w:type="dxa" w:w="931"/>
            <w:vAlign w:val="center"/>
          </w:tcPr>
          <w:p>
            <w:pPr>
              <w:spacing w:before="20" w:after="20" w:line="260" w:lineRule="auto"/>
              <w:ind w:firstLine="0"/>
              <w:jc w:val="center"/>
            </w:pPr>
            <w:r>
              <w:rPr>
                <w:sz w:val="20"/>
                <w:szCs w:val="20"/>
              </w:rPr>
              <w:t xml:space="preserve">4.15</w:t>
            </w:r>
          </w:p>
        </w:tc>
      </w:tr>
    </w:tbl>
    <w:p>
      <w:pPr>
        <w:spacing w:before="40" w:after="160"/>
        <w:ind w:firstLine="0"/>
      </w:pPr>
      <w:r>
        <w:rPr>
          <w:i/>
          <w:sz w:val="22"/>
          <w:szCs w:val="22"/>
        </w:rPr>
        <w:t xml:space="preserve">Nguồn: tổng hợp của tác giả.</w:t>
      </w:r>
    </w:p>
    <w:p>
      <w:pPr>
        <w:keepLines w:val="0"/>
        <w:spacing w:after="120"/>
        <w:ind w:firstLine="567"/>
      </w:pPr>
      <w:r>
        <w:t xml:space="preserve">Cách tổ chức này phản ánh quan điểm rằng một mô hình dự báo trong thương mại bán lẻ chỉ có giá trị khi được đặt trong chuỗi quyết định mà nó phục vụ (Fildes và cộng sự, 2022). Một bảng độ chính xác (accuracy) đơn lẻ cho biết mô hình nào sai ít hơn trên trung bình, nhưng không cho biết sai số rơi vào đâu, khoảng dự báo có đáng tin hay không và nhà quản lý nên làm gì với con số dự báo. Vì vậy, tầng thứ nhất là nền móng cho các tầng sau: mô hình được chọn tại đây sinh ra toàn bộ dự báo điểm, phần dư hiệu chỉnh và các đại lượng quyết định. Tầng thứ năm được đặt cuối chương vì vai trò của nó là kiểm tra độ vững của các kết luận đã rút ra: chỉ khi toàn bộ kết quả của cấu hình chính thức đã được phân tích, người đọc mới có thể đánh giá mức độ các kết luận đó phụ thuộc vào từng lựa chọn thiết kế cụ thể.</w:t>
      </w:r>
    </w:p>
    <w:p>
      <w:pPr>
        <w:pStyle w:val="Heading3"/>
        <w:keepNext/>
      </w:pPr>
      <w:r>
        <w:t xml:space="preserve">4.1.3. Phạm vi hiệu lực của các nhóm số liệu</w:t>
      </w:r>
    </w:p>
    <w:p>
      <w:pPr>
        <w:keepLines w:val="0"/>
        <w:spacing w:after="120"/>
        <w:ind w:firstLine="567"/>
      </w:pPr>
      <w:r>
        <w:t xml:space="preserve">Toàn bộ bảng, hình và phần diễn giải từ mục 4.1 đến 4.14 sử dụng cùng một bộ tệp kết quả của lần chạy chính thức, với phần đầu chương dựa chủ yếu vào 05_model_cv_summary.csv, 06_rolling_cv_metrics.csv, 07_final_holdout_metrics.csv và 08_cv_vs_holdout.csv. Nhờ đó, mọi khuyến nghị có thể truy ngược về đúng mô hình, cửa sổ dữ liệu và cấu hình đã tạo ra nó, đồng thời tránh chọn lọc những con số thuận lợi nhất, một cạm bẫy phổ biến trong đánh giá dự báo (Hewamalage và cộng sự, 2023). Số liệu của các cấu hình thí nghiệm được trình bày ở mục 4.15 và chỉ được nhắc ngắn gọn ở mục 4.5, 4.14 và 4.16, luôn được ghi rõ là cấu hình thay đổi một yếu tố để kiểm tra độ nhạy, không phải cấu hình dùng để sinh dự báo chính thức. Người đọc cũng cần phân biệt vai trò của từng nhóm số liệu: kết quả kiểm định chéo phục vụ lựa chọn mô hình, kết quả tập kiểm tra cuối phục vụ đánh giá khái quát hóa, còn các đại lượng của lớp quyết định chỉ mang tính minh họa trong giới hạn dữ liệu hiện có.</w:t>
      </w:r>
    </w:p>
    <w:p>
      <w:pPr>
        <w:keepLines w:val="0"/>
        <w:spacing w:after="120"/>
        <w:ind w:firstLine="567"/>
      </w:pPr>
      <w:r>
        <w:t xml:space="preserve">Ba giới hạn phương pháp chi phối cách đọc các kết quả ở phần đầu chương. Giới hạn thứ nhất là quy mô dữ liệu huấn luyện: XGBoost, LightGBM và Ridge học trên toàn bộ dữ liệu trước gốc dự báo (từ 2.575.452 dòng ở lần kiểm định 1 đến 2.660.988 dòng khi huấn luyện lại cho tập kiểm tra cuối), còn Random Forest chỉ học trên mẫu ngẫu nhiên 600.000 dòng vì chi phí tính toán; thời gian huấn luyện vì thế chỉ phản ánh cấu hình và phần cứng 2 CPU của lần chạy. Giới hạn thứ hai là chỉ có ba lần kiểm định và không tinh chỉnh siêu tham số, nên thứ hạng sát nhau không thể được kiểm định ý nghĩa thống kê. Giới hạn thứ ba là khác biệt phiên bản thư viện giữa môi trường của lần chạy chính thức và môi trường.venv trong thư mục đề tài, có thể làm XGBoost và Random Forest lệch nhỏ khi chạy lại. Ngược lại, rủi ro rò rỉ thông tin (leakage) theo nghĩa của Kaufman và cộng sự (2012) được kiểm soát ngay trong thiết kế: Seasonal Naive được cố định tại gốc dự báo, còn bốn mô hình học máy chỉ dùng các đặc trưng đã biết tại gốc dự báo cho cả 16 ngày, nên mọi mô hình được so sánh trong cùng điều kiện thông tin.</w:t>
      </w:r>
    </w:p>
    <w:p>
      <w:pPr>
        <w:pStyle w:val="Heading2"/>
        <w:keepNext/>
      </w:pPr>
      <w:r>
        <w:t xml:space="preserve">4.2. Xếp hạng mô hình qua kiểm định chéo cuốn chiếu</w:t>
      </w:r>
    </w:p>
    <w:p>
      <w:pPr>
        <w:pStyle w:val="Heading3"/>
        <w:keepNext/>
      </w:pPr>
      <w:r>
        <w:t xml:space="preserve">4.2.1. Kết quả tổng hợp của năm mô hình</w:t>
      </w:r>
    </w:p>
    <w:p>
      <w:pPr>
        <w:keepLines w:val="0"/>
        <w:spacing w:after="120"/>
        <w:ind w:firstLine="567"/>
      </w:pPr>
      <w:r>
        <w:t xml:space="preserve">Bảng 4.2 tổng hợp kết quả của năm mô hình qua ba lần kiểm định chéo cuốn chiếu, mỗi lần gồm 16 ngày × 1.782 chuỗi = 28.512 quan sát, với ba cửa sổ liền kề 13/06/2017–28/06/2017, 29/06/2017–14/07/2017 và 15/07/2017–30/07/2017. XGBoost đứng đầu với WAPE trung bình 12,089%, tiếp theo là LightGBM (12,568%), Random Forest (12,969%), Seasonal Naive (15,718%) và Ridge Regression (17,142%). Kết quả tách thành hai cụm rõ rệt: ba mô hình tổ hợp cây nằm trong một dải hẹp 0,879 điểm phần trăm, còn hai phương pháp đơn giản có WAPE trên 15%. Thứ tự theo MAE trung bình trùng hoàn toàn với thứ tự theo WAPE (57,309; 59,580; 61,448; 74,456; 81,145), điều có thể dự đoán vì WAPE và MAE chỉ khác nhau ở mẫu số khi được tính trên cùng tập quan sát của mỗi lần kiểm định.</w:t>
      </w:r>
    </w:p>
    <w:p>
      <w:pPr>
        <w:keepNext/>
        <w:spacing w:before="120" w:after="60"/>
        <w:ind w:firstLine="0"/>
        <w:jc w:val="center"/>
      </w:pPr>
      <w:r>
        <w:t xml:space="preserve">Bảng 4.2. Kết quả tổng hợp của năm mô hình qua ba lần kiểm định chéo cuốn chiếu theo thời gian</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84"/>
        <w:gridCol w:w="1143"/>
        <w:gridCol w:w="919"/>
        <w:gridCol w:w="919"/>
        <w:gridCol w:w="1073"/>
        <w:gridCol w:w="1143"/>
        <w:gridCol w:w="784"/>
        <w:gridCol w:w="784"/>
        <w:gridCol w:w="1522"/>
      </w:tblGrid>
      <w:tr>
        <w:trPr>
          <w:tblHeader/>
          <w:cantSplit/>
        </w:trPr>
        <w:tc>
          <w:tcPr>
            <w:tcW w:type="dxa" w:w="784"/>
            <w:shd w:val="clear" w:color="auto" w:fill="D9E2F3"/>
            <w:vAlign w:val="center"/>
          </w:tcPr>
          <w:p>
            <w:pPr>
              <w:spacing w:before="20" w:after="20" w:line="260" w:lineRule="auto"/>
              <w:ind w:firstLine="0"/>
              <w:jc w:val="center"/>
            </w:pPr>
            <w:r>
              <w:rPr>
                <w:b/>
                <w:sz w:val="20"/>
                <w:szCs w:val="20"/>
              </w:rPr>
              <w:t xml:space="preserve">Hạng</w:t>
            </w:r>
          </w:p>
        </w:tc>
        <w:tc>
          <w:tcPr>
            <w:tcW w:type="dxa" w:w="1143"/>
            <w:shd w:val="clear" w:color="auto" w:fill="D9E2F3"/>
            <w:vAlign w:val="center"/>
          </w:tcPr>
          <w:p>
            <w:pPr>
              <w:spacing w:before="20" w:after="20" w:line="260" w:lineRule="auto"/>
              <w:ind w:firstLine="0"/>
              <w:jc w:val="center"/>
            </w:pPr>
            <w:r>
              <w:rPr>
                <w:b/>
                <w:sz w:val="20"/>
                <w:szCs w:val="20"/>
              </w:rPr>
              <w:t xml:space="preserve">Mô hình</w:t>
            </w:r>
          </w:p>
        </w:tc>
        <w:tc>
          <w:tcPr>
            <w:tcW w:type="dxa" w:w="919"/>
            <w:shd w:val="clear" w:color="auto" w:fill="D9E2F3"/>
            <w:vAlign w:val="center"/>
          </w:tcPr>
          <w:p>
            <w:pPr>
              <w:spacing w:before="20" w:after="20" w:line="260" w:lineRule="auto"/>
              <w:ind w:firstLine="0"/>
              <w:jc w:val="center"/>
            </w:pPr>
            <w:r>
              <w:rPr>
                <w:b/>
                <w:sz w:val="20"/>
                <w:szCs w:val="20"/>
              </w:rPr>
              <w:t xml:space="preserve">WAPE TB (%)</w:t>
            </w:r>
          </w:p>
        </w:tc>
        <w:tc>
          <w:tcPr>
            <w:tcW w:type="dxa" w:w="919"/>
            <w:shd w:val="clear" w:color="auto" w:fill="D9E2F3"/>
            <w:vAlign w:val="center"/>
          </w:tcPr>
          <w:p>
            <w:pPr>
              <w:spacing w:before="20" w:after="20" w:line="260" w:lineRule="auto"/>
              <w:ind w:firstLine="0"/>
              <w:jc w:val="center"/>
            </w:pPr>
            <w:r>
              <w:rPr>
                <w:b/>
                <w:sz w:val="20"/>
                <w:szCs w:val="20"/>
              </w:rPr>
              <w:t xml:space="preserve">sd WAPE (%)</w:t>
            </w:r>
          </w:p>
        </w:tc>
        <w:tc>
          <w:tcPr>
            <w:tcW w:type="dxa" w:w="1073"/>
            <w:shd w:val="clear" w:color="auto" w:fill="D9E2F3"/>
            <w:vAlign w:val="center"/>
          </w:tcPr>
          <w:p>
            <w:pPr>
              <w:spacing w:before="20" w:after="20" w:line="260" w:lineRule="auto"/>
              <w:ind w:firstLine="0"/>
              <w:jc w:val="center"/>
            </w:pPr>
            <w:r>
              <w:rPr>
                <w:b/>
                <w:sz w:val="20"/>
                <w:szCs w:val="20"/>
              </w:rPr>
              <w:t xml:space="preserve">MAE TB (±sd)</w:t>
            </w:r>
          </w:p>
        </w:tc>
        <w:tc>
          <w:tcPr>
            <w:tcW w:type="dxa" w:w="1143"/>
            <w:shd w:val="clear" w:color="auto" w:fill="D9E2F3"/>
            <w:vAlign w:val="center"/>
          </w:tcPr>
          <w:p>
            <w:pPr>
              <w:spacing w:before="20" w:after="20" w:line="260" w:lineRule="auto"/>
              <w:ind w:firstLine="0"/>
              <w:jc w:val="center"/>
            </w:pPr>
            <w:r>
              <w:rPr>
                <w:b/>
                <w:sz w:val="20"/>
                <w:szCs w:val="20"/>
              </w:rPr>
              <w:t xml:space="preserve">RMSE TB (±sd)</w:t>
            </w:r>
          </w:p>
        </w:tc>
        <w:tc>
          <w:tcPr>
            <w:tcW w:type="dxa" w:w="784"/>
            <w:shd w:val="clear" w:color="auto" w:fill="D9E2F3"/>
            <w:vAlign w:val="center"/>
          </w:tcPr>
          <w:p>
            <w:pPr>
              <w:spacing w:before="20" w:after="20" w:line="260" w:lineRule="auto"/>
              <w:ind w:firstLine="0"/>
              <w:jc w:val="center"/>
            </w:pPr>
            <w:r>
              <w:rPr>
                <w:b/>
                <w:sz w:val="20"/>
                <w:szCs w:val="20"/>
              </w:rPr>
              <w:t xml:space="preserve">sMAPE TB</w:t>
            </w:r>
          </w:p>
        </w:tc>
        <w:tc>
          <w:tcPr>
            <w:tcW w:type="dxa" w:w="784"/>
            <w:shd w:val="clear" w:color="auto" w:fill="D9E2F3"/>
            <w:vAlign w:val="center"/>
          </w:tcPr>
          <w:p>
            <w:pPr>
              <w:spacing w:before="20" w:after="20" w:line="260" w:lineRule="auto"/>
              <w:ind w:firstLine="0"/>
              <w:jc w:val="center"/>
            </w:pPr>
            <w:r>
              <w:rPr>
                <w:b/>
                <w:sz w:val="20"/>
                <w:szCs w:val="20"/>
              </w:rPr>
              <w:t xml:space="preserve">RMSLE TB</w:t>
            </w:r>
          </w:p>
        </w:tc>
        <w:tc>
          <w:tcPr>
            <w:tcW w:type="dxa" w:w="1522"/>
            <w:shd w:val="clear" w:color="auto" w:fill="D9E2F3"/>
            <w:vAlign w:val="center"/>
          </w:tcPr>
          <w:p>
            <w:pPr>
              <w:spacing w:before="20" w:after="20" w:line="260" w:lineRule="auto"/>
              <w:ind w:firstLine="0"/>
              <w:jc w:val="center"/>
            </w:pPr>
            <w:r>
              <w:rPr>
                <w:b/>
                <w:sz w:val="20"/>
                <w:szCs w:val="20"/>
              </w:rPr>
              <w:t xml:space="preserve">Thời gian huấn luyện TB (giây)</w:t>
            </w:r>
          </w:p>
        </w:tc>
      </w:tr>
      <w:tr>
        <w:trPr>
          <w:cantSplit/>
        </w:trPr>
        <w:tc>
          <w:tcPr>
            <w:tcW w:type="dxa" w:w="784"/>
            <w:vAlign w:val="center"/>
          </w:tcPr>
          <w:p>
            <w:pPr>
              <w:spacing w:before="20" w:after="20" w:line="260" w:lineRule="auto"/>
              <w:ind w:firstLine="0"/>
              <w:jc w:val="center"/>
            </w:pPr>
            <w:r>
              <w:rPr>
                <w:sz w:val="20"/>
                <w:szCs w:val="20"/>
              </w:rPr>
              <w:t xml:space="preserve">1</w:t>
            </w:r>
          </w:p>
        </w:tc>
        <w:tc>
          <w:tcPr>
            <w:tcW w:type="dxa" w:w="1143"/>
            <w:vAlign w:val="center"/>
          </w:tcPr>
          <w:p>
            <w:pPr>
              <w:spacing w:before="20" w:after="20" w:line="260" w:lineRule="auto"/>
              <w:ind w:firstLine="0"/>
              <w:jc w:val="left"/>
            </w:pPr>
            <w:r>
              <w:rPr>
                <w:sz w:val="20"/>
                <w:szCs w:val="20"/>
              </w:rPr>
              <w:t xml:space="preserve">XGBoost</w:t>
            </w:r>
          </w:p>
        </w:tc>
        <w:tc>
          <w:tcPr>
            <w:tcW w:type="dxa" w:w="919"/>
            <w:vAlign w:val="center"/>
          </w:tcPr>
          <w:p>
            <w:pPr>
              <w:spacing w:before="20" w:after="20" w:line="260" w:lineRule="auto"/>
              <w:ind w:firstLine="0"/>
              <w:jc w:val="center"/>
            </w:pPr>
            <w:r>
              <w:rPr>
                <w:sz w:val="20"/>
                <w:szCs w:val="20"/>
              </w:rPr>
              <w:t xml:space="preserve">12,089</w:t>
            </w:r>
          </w:p>
        </w:tc>
        <w:tc>
          <w:tcPr>
            <w:tcW w:type="dxa" w:w="919"/>
            <w:vAlign w:val="center"/>
          </w:tcPr>
          <w:p>
            <w:pPr>
              <w:spacing w:before="20" w:after="20" w:line="260" w:lineRule="auto"/>
              <w:ind w:firstLine="0"/>
              <w:jc w:val="center"/>
            </w:pPr>
            <w:r>
              <w:rPr>
                <w:sz w:val="20"/>
                <w:szCs w:val="20"/>
              </w:rPr>
              <w:t xml:space="preserve">0,646</w:t>
            </w:r>
          </w:p>
        </w:tc>
        <w:tc>
          <w:tcPr>
            <w:tcW w:type="dxa" w:w="1073"/>
            <w:vAlign w:val="center"/>
          </w:tcPr>
          <w:p>
            <w:pPr>
              <w:spacing w:before="20" w:after="20" w:line="260" w:lineRule="auto"/>
              <w:ind w:firstLine="0"/>
              <w:jc w:val="left"/>
            </w:pPr>
            <w:r>
              <w:rPr>
                <w:sz w:val="20"/>
                <w:szCs w:val="20"/>
              </w:rPr>
              <w:t xml:space="preserve">57,309 (±2,746)</w:t>
            </w:r>
          </w:p>
        </w:tc>
        <w:tc>
          <w:tcPr>
            <w:tcW w:type="dxa" w:w="1143"/>
            <w:vAlign w:val="center"/>
          </w:tcPr>
          <w:p>
            <w:pPr>
              <w:spacing w:before="20" w:after="20" w:line="260" w:lineRule="auto"/>
              <w:ind w:firstLine="0"/>
              <w:jc w:val="left"/>
            </w:pPr>
            <w:r>
              <w:rPr>
                <w:sz w:val="20"/>
                <w:szCs w:val="20"/>
              </w:rPr>
              <w:t xml:space="preserve">217,464 (±3,989)</w:t>
            </w:r>
          </w:p>
        </w:tc>
        <w:tc>
          <w:tcPr>
            <w:tcW w:type="dxa" w:w="784"/>
            <w:vAlign w:val="center"/>
          </w:tcPr>
          <w:p>
            <w:pPr>
              <w:spacing w:before="20" w:after="20" w:line="260" w:lineRule="auto"/>
              <w:ind w:firstLine="0"/>
              <w:jc w:val="center"/>
            </w:pPr>
            <w:r>
              <w:rPr>
                <w:sz w:val="20"/>
                <w:szCs w:val="20"/>
              </w:rPr>
              <w:t xml:space="preserve">0,5093</w:t>
            </w:r>
          </w:p>
        </w:tc>
        <w:tc>
          <w:tcPr>
            <w:tcW w:type="dxa" w:w="784"/>
            <w:vAlign w:val="center"/>
          </w:tcPr>
          <w:p>
            <w:pPr>
              <w:spacing w:before="20" w:after="20" w:line="260" w:lineRule="auto"/>
              <w:ind w:firstLine="0"/>
              <w:jc w:val="center"/>
            </w:pPr>
            <w:r>
              <w:rPr>
                <w:sz w:val="20"/>
                <w:szCs w:val="20"/>
              </w:rPr>
              <w:t xml:space="preserve">0,5838</w:t>
            </w:r>
          </w:p>
        </w:tc>
        <w:tc>
          <w:tcPr>
            <w:tcW w:type="dxa" w:w="1522"/>
            <w:vAlign w:val="center"/>
          </w:tcPr>
          <w:p>
            <w:pPr>
              <w:spacing w:before="20" w:after="20" w:line="260" w:lineRule="auto"/>
              <w:ind w:firstLine="0"/>
              <w:jc w:val="center"/>
            </w:pPr>
            <w:r>
              <w:rPr>
                <w:sz w:val="20"/>
                <w:szCs w:val="20"/>
              </w:rPr>
              <w:t xml:space="preserve">65,34</w:t>
            </w:r>
          </w:p>
        </w:tc>
      </w:tr>
      <w:tr>
        <w:trPr>
          <w:cantSplit/>
        </w:trPr>
        <w:tc>
          <w:tcPr>
            <w:tcW w:type="dxa" w:w="784"/>
            <w:vAlign w:val="center"/>
          </w:tcPr>
          <w:p>
            <w:pPr>
              <w:spacing w:before="20" w:after="20" w:line="260" w:lineRule="auto"/>
              <w:ind w:firstLine="0"/>
              <w:jc w:val="center"/>
            </w:pPr>
            <w:r>
              <w:rPr>
                <w:sz w:val="20"/>
                <w:szCs w:val="20"/>
              </w:rPr>
              <w:t xml:space="preserve">2</w:t>
            </w:r>
          </w:p>
        </w:tc>
        <w:tc>
          <w:tcPr>
            <w:tcW w:type="dxa" w:w="1143"/>
            <w:vAlign w:val="center"/>
          </w:tcPr>
          <w:p>
            <w:pPr>
              <w:spacing w:before="20" w:after="20" w:line="260" w:lineRule="auto"/>
              <w:ind w:firstLine="0"/>
              <w:jc w:val="left"/>
            </w:pPr>
            <w:r>
              <w:rPr>
                <w:sz w:val="20"/>
                <w:szCs w:val="20"/>
              </w:rPr>
              <w:t xml:space="preserve">LightGBM</w:t>
            </w:r>
          </w:p>
        </w:tc>
        <w:tc>
          <w:tcPr>
            <w:tcW w:type="dxa" w:w="919"/>
            <w:vAlign w:val="center"/>
          </w:tcPr>
          <w:p>
            <w:pPr>
              <w:spacing w:before="20" w:after="20" w:line="260" w:lineRule="auto"/>
              <w:ind w:firstLine="0"/>
              <w:jc w:val="center"/>
            </w:pPr>
            <w:r>
              <w:rPr>
                <w:sz w:val="20"/>
                <w:szCs w:val="20"/>
              </w:rPr>
              <w:t xml:space="preserve">12,568</w:t>
            </w:r>
          </w:p>
        </w:tc>
        <w:tc>
          <w:tcPr>
            <w:tcW w:type="dxa" w:w="919"/>
            <w:vAlign w:val="center"/>
          </w:tcPr>
          <w:p>
            <w:pPr>
              <w:spacing w:before="20" w:after="20" w:line="260" w:lineRule="auto"/>
              <w:ind w:firstLine="0"/>
              <w:jc w:val="center"/>
            </w:pPr>
            <w:r>
              <w:rPr>
                <w:sz w:val="20"/>
                <w:szCs w:val="20"/>
              </w:rPr>
              <w:t xml:space="preserve">0,499</w:t>
            </w:r>
          </w:p>
        </w:tc>
        <w:tc>
          <w:tcPr>
            <w:tcW w:type="dxa" w:w="1073"/>
            <w:vAlign w:val="center"/>
          </w:tcPr>
          <w:p>
            <w:pPr>
              <w:spacing w:before="20" w:after="20" w:line="260" w:lineRule="auto"/>
              <w:ind w:firstLine="0"/>
              <w:jc w:val="left"/>
            </w:pPr>
            <w:r>
              <w:rPr>
                <w:sz w:val="20"/>
                <w:szCs w:val="20"/>
              </w:rPr>
              <w:t xml:space="preserve">59,580 (±2,033)</w:t>
            </w:r>
          </w:p>
        </w:tc>
        <w:tc>
          <w:tcPr>
            <w:tcW w:type="dxa" w:w="1143"/>
            <w:vAlign w:val="center"/>
          </w:tcPr>
          <w:p>
            <w:pPr>
              <w:spacing w:before="20" w:after="20" w:line="260" w:lineRule="auto"/>
              <w:ind w:firstLine="0"/>
              <w:jc w:val="left"/>
            </w:pPr>
            <w:r>
              <w:rPr>
                <w:sz w:val="20"/>
                <w:szCs w:val="20"/>
              </w:rPr>
              <w:t xml:space="preserve">220,044 (±3,674)</w:t>
            </w:r>
          </w:p>
        </w:tc>
        <w:tc>
          <w:tcPr>
            <w:tcW w:type="dxa" w:w="784"/>
            <w:vAlign w:val="center"/>
          </w:tcPr>
          <w:p>
            <w:pPr>
              <w:spacing w:before="20" w:after="20" w:line="260" w:lineRule="auto"/>
              <w:ind w:firstLine="0"/>
              <w:jc w:val="center"/>
            </w:pPr>
            <w:r>
              <w:rPr>
                <w:sz w:val="20"/>
                <w:szCs w:val="20"/>
              </w:rPr>
              <w:t xml:space="preserve">0,5996</w:t>
            </w:r>
          </w:p>
        </w:tc>
        <w:tc>
          <w:tcPr>
            <w:tcW w:type="dxa" w:w="784"/>
            <w:vAlign w:val="center"/>
          </w:tcPr>
          <w:p>
            <w:pPr>
              <w:spacing w:before="20" w:after="20" w:line="260" w:lineRule="auto"/>
              <w:ind w:firstLine="0"/>
              <w:jc w:val="center"/>
            </w:pPr>
            <w:r>
              <w:rPr>
                <w:sz w:val="20"/>
                <w:szCs w:val="20"/>
              </w:rPr>
              <w:t xml:space="preserve">0,6788</w:t>
            </w:r>
          </w:p>
        </w:tc>
        <w:tc>
          <w:tcPr>
            <w:tcW w:type="dxa" w:w="1522"/>
            <w:vAlign w:val="center"/>
          </w:tcPr>
          <w:p>
            <w:pPr>
              <w:spacing w:before="20" w:after="20" w:line="260" w:lineRule="auto"/>
              <w:ind w:firstLine="0"/>
              <w:jc w:val="center"/>
            </w:pPr>
            <w:r>
              <w:rPr>
                <w:sz w:val="20"/>
                <w:szCs w:val="20"/>
              </w:rPr>
              <w:t xml:space="preserve">43,02</w:t>
            </w:r>
          </w:p>
        </w:tc>
      </w:tr>
      <w:tr>
        <w:trPr>
          <w:cantSplit/>
        </w:trPr>
        <w:tc>
          <w:tcPr>
            <w:tcW w:type="dxa" w:w="784"/>
            <w:vAlign w:val="center"/>
          </w:tcPr>
          <w:p>
            <w:pPr>
              <w:spacing w:before="20" w:after="20" w:line="260" w:lineRule="auto"/>
              <w:ind w:firstLine="0"/>
              <w:jc w:val="center"/>
            </w:pPr>
            <w:r>
              <w:rPr>
                <w:sz w:val="20"/>
                <w:szCs w:val="20"/>
              </w:rPr>
              <w:t xml:space="preserve">3</w:t>
            </w:r>
          </w:p>
        </w:tc>
        <w:tc>
          <w:tcPr>
            <w:tcW w:type="dxa" w:w="1143"/>
            <w:vAlign w:val="center"/>
          </w:tcPr>
          <w:p>
            <w:pPr>
              <w:spacing w:before="20" w:after="20" w:line="260" w:lineRule="auto"/>
              <w:ind w:firstLine="0"/>
              <w:jc w:val="left"/>
            </w:pPr>
            <w:r>
              <w:rPr>
                <w:sz w:val="20"/>
                <w:szCs w:val="20"/>
              </w:rPr>
              <w:t xml:space="preserve">Random Forest (*)</w:t>
            </w:r>
          </w:p>
        </w:tc>
        <w:tc>
          <w:tcPr>
            <w:tcW w:type="dxa" w:w="919"/>
            <w:vAlign w:val="center"/>
          </w:tcPr>
          <w:p>
            <w:pPr>
              <w:spacing w:before="20" w:after="20" w:line="260" w:lineRule="auto"/>
              <w:ind w:firstLine="0"/>
              <w:jc w:val="center"/>
            </w:pPr>
            <w:r>
              <w:rPr>
                <w:sz w:val="20"/>
                <w:szCs w:val="20"/>
              </w:rPr>
              <w:t xml:space="preserve">12,969</w:t>
            </w:r>
          </w:p>
        </w:tc>
        <w:tc>
          <w:tcPr>
            <w:tcW w:type="dxa" w:w="919"/>
            <w:vAlign w:val="center"/>
          </w:tcPr>
          <w:p>
            <w:pPr>
              <w:spacing w:before="20" w:after="20" w:line="260" w:lineRule="auto"/>
              <w:ind w:firstLine="0"/>
              <w:jc w:val="center"/>
            </w:pPr>
            <w:r>
              <w:rPr>
                <w:sz w:val="20"/>
                <w:szCs w:val="20"/>
              </w:rPr>
              <w:t xml:space="preserve">0,779</w:t>
            </w:r>
          </w:p>
        </w:tc>
        <w:tc>
          <w:tcPr>
            <w:tcW w:type="dxa" w:w="1073"/>
            <w:vAlign w:val="center"/>
          </w:tcPr>
          <w:p>
            <w:pPr>
              <w:spacing w:before="20" w:after="20" w:line="260" w:lineRule="auto"/>
              <w:ind w:firstLine="0"/>
              <w:jc w:val="left"/>
            </w:pPr>
            <w:r>
              <w:rPr>
                <w:sz w:val="20"/>
                <w:szCs w:val="20"/>
              </w:rPr>
              <w:t xml:space="preserve">61,448 (±2,475)</w:t>
            </w:r>
          </w:p>
        </w:tc>
        <w:tc>
          <w:tcPr>
            <w:tcW w:type="dxa" w:w="1143"/>
            <w:vAlign w:val="center"/>
          </w:tcPr>
          <w:p>
            <w:pPr>
              <w:spacing w:before="20" w:after="20" w:line="260" w:lineRule="auto"/>
              <w:ind w:firstLine="0"/>
              <w:jc w:val="left"/>
            </w:pPr>
            <w:r>
              <w:rPr>
                <w:sz w:val="20"/>
                <w:szCs w:val="20"/>
              </w:rPr>
              <w:t xml:space="preserve">230,966 (±10,776)</w:t>
            </w:r>
          </w:p>
        </w:tc>
        <w:tc>
          <w:tcPr>
            <w:tcW w:type="dxa" w:w="784"/>
            <w:vAlign w:val="center"/>
          </w:tcPr>
          <w:p>
            <w:pPr>
              <w:spacing w:before="20" w:after="20" w:line="260" w:lineRule="auto"/>
              <w:ind w:firstLine="0"/>
              <w:jc w:val="center"/>
            </w:pPr>
            <w:r>
              <w:rPr>
                <w:sz w:val="20"/>
                <w:szCs w:val="20"/>
              </w:rPr>
              <w:t xml:space="preserve">0,5452</w:t>
            </w:r>
          </w:p>
        </w:tc>
        <w:tc>
          <w:tcPr>
            <w:tcW w:type="dxa" w:w="784"/>
            <w:vAlign w:val="center"/>
          </w:tcPr>
          <w:p>
            <w:pPr>
              <w:spacing w:before="20" w:after="20" w:line="260" w:lineRule="auto"/>
              <w:ind w:firstLine="0"/>
              <w:jc w:val="center"/>
            </w:pPr>
            <w:r>
              <w:rPr>
                <w:sz w:val="20"/>
                <w:szCs w:val="20"/>
              </w:rPr>
              <w:t xml:space="preserve">0,4746</w:t>
            </w:r>
          </w:p>
        </w:tc>
        <w:tc>
          <w:tcPr>
            <w:tcW w:type="dxa" w:w="1522"/>
            <w:vAlign w:val="center"/>
          </w:tcPr>
          <w:p>
            <w:pPr>
              <w:spacing w:before="20" w:after="20" w:line="260" w:lineRule="auto"/>
              <w:ind w:firstLine="0"/>
              <w:jc w:val="center"/>
            </w:pPr>
            <w:r>
              <w:rPr>
                <w:sz w:val="20"/>
                <w:szCs w:val="20"/>
              </w:rPr>
              <w:t xml:space="preserve">612,65</w:t>
            </w:r>
          </w:p>
        </w:tc>
      </w:tr>
      <w:tr>
        <w:trPr>
          <w:cantSplit/>
        </w:trPr>
        <w:tc>
          <w:tcPr>
            <w:tcW w:type="dxa" w:w="784"/>
            <w:vAlign w:val="center"/>
          </w:tcPr>
          <w:p>
            <w:pPr>
              <w:spacing w:before="20" w:after="20" w:line="260" w:lineRule="auto"/>
              <w:ind w:firstLine="0"/>
              <w:jc w:val="center"/>
            </w:pPr>
            <w:r>
              <w:rPr>
                <w:sz w:val="20"/>
                <w:szCs w:val="20"/>
              </w:rPr>
              <w:t xml:space="preserve">4</w:t>
            </w:r>
          </w:p>
        </w:tc>
        <w:tc>
          <w:tcPr>
            <w:tcW w:type="dxa" w:w="1143"/>
            <w:vAlign w:val="center"/>
          </w:tcPr>
          <w:p>
            <w:pPr>
              <w:spacing w:before="20" w:after="20" w:line="260" w:lineRule="auto"/>
              <w:ind w:firstLine="0"/>
              <w:jc w:val="left"/>
            </w:pPr>
            <w:r>
              <w:rPr>
                <w:sz w:val="20"/>
                <w:szCs w:val="20"/>
              </w:rPr>
              <w:t xml:space="preserve">Seasonal Naive</w:t>
            </w:r>
          </w:p>
        </w:tc>
        <w:tc>
          <w:tcPr>
            <w:tcW w:type="dxa" w:w="919"/>
            <w:vAlign w:val="center"/>
          </w:tcPr>
          <w:p>
            <w:pPr>
              <w:spacing w:before="20" w:after="20" w:line="260" w:lineRule="auto"/>
              <w:ind w:firstLine="0"/>
              <w:jc w:val="center"/>
            </w:pPr>
            <w:r>
              <w:rPr>
                <w:sz w:val="20"/>
                <w:szCs w:val="20"/>
              </w:rPr>
              <w:t xml:space="preserve">15,718</w:t>
            </w:r>
          </w:p>
        </w:tc>
        <w:tc>
          <w:tcPr>
            <w:tcW w:type="dxa" w:w="919"/>
            <w:vAlign w:val="center"/>
          </w:tcPr>
          <w:p>
            <w:pPr>
              <w:spacing w:before="20" w:after="20" w:line="260" w:lineRule="auto"/>
              <w:ind w:firstLine="0"/>
              <w:jc w:val="center"/>
            </w:pPr>
            <w:r>
              <w:rPr>
                <w:sz w:val="20"/>
                <w:szCs w:val="20"/>
              </w:rPr>
              <w:t xml:space="preserve">1,552</w:t>
            </w:r>
          </w:p>
        </w:tc>
        <w:tc>
          <w:tcPr>
            <w:tcW w:type="dxa" w:w="1073"/>
            <w:vAlign w:val="center"/>
          </w:tcPr>
          <w:p>
            <w:pPr>
              <w:spacing w:before="20" w:after="20" w:line="260" w:lineRule="auto"/>
              <w:ind w:firstLine="0"/>
              <w:jc w:val="left"/>
            </w:pPr>
            <w:r>
              <w:rPr>
                <w:sz w:val="20"/>
                <w:szCs w:val="20"/>
              </w:rPr>
              <w:t xml:space="preserve">74,456 (±6,252)</w:t>
            </w:r>
          </w:p>
        </w:tc>
        <w:tc>
          <w:tcPr>
            <w:tcW w:type="dxa" w:w="1143"/>
            <w:vAlign w:val="center"/>
          </w:tcPr>
          <w:p>
            <w:pPr>
              <w:spacing w:before="20" w:after="20" w:line="260" w:lineRule="auto"/>
              <w:ind w:firstLine="0"/>
              <w:jc w:val="left"/>
            </w:pPr>
            <w:r>
              <w:rPr>
                <w:sz w:val="20"/>
                <w:szCs w:val="20"/>
              </w:rPr>
              <w:t xml:space="preserve">293,700 (±26,603)</w:t>
            </w:r>
          </w:p>
        </w:tc>
        <w:tc>
          <w:tcPr>
            <w:tcW w:type="dxa" w:w="784"/>
            <w:vAlign w:val="center"/>
          </w:tcPr>
          <w:p>
            <w:pPr>
              <w:spacing w:before="20" w:after="20" w:line="260" w:lineRule="auto"/>
              <w:ind w:firstLine="0"/>
              <w:jc w:val="center"/>
            </w:pPr>
            <w:r>
              <w:rPr>
                <w:sz w:val="20"/>
                <w:szCs w:val="20"/>
              </w:rPr>
              <w:t xml:space="preserve">0,4079</w:t>
            </w:r>
          </w:p>
        </w:tc>
        <w:tc>
          <w:tcPr>
            <w:tcW w:type="dxa" w:w="784"/>
            <w:vAlign w:val="center"/>
          </w:tcPr>
          <w:p>
            <w:pPr>
              <w:spacing w:before="20" w:after="20" w:line="260" w:lineRule="auto"/>
              <w:ind w:firstLine="0"/>
              <w:jc w:val="center"/>
            </w:pPr>
            <w:r>
              <w:rPr>
                <w:sz w:val="20"/>
                <w:szCs w:val="20"/>
              </w:rPr>
              <w:t xml:space="preserve">0,5208</w:t>
            </w:r>
          </w:p>
        </w:tc>
        <w:tc>
          <w:tcPr>
            <w:tcW w:type="dxa" w:w="1522"/>
            <w:vAlign w:val="center"/>
          </w:tcPr>
          <w:p>
            <w:pPr>
              <w:spacing w:before="20" w:after="20" w:line="260" w:lineRule="auto"/>
              <w:ind w:firstLine="0"/>
              <w:jc w:val="center"/>
            </w:pPr>
            <w:r>
              <w:rPr>
                <w:sz w:val="20"/>
                <w:szCs w:val="20"/>
              </w:rPr>
              <w:t xml:space="preserve">0,00</w:t>
            </w:r>
          </w:p>
        </w:tc>
      </w:tr>
      <w:tr>
        <w:trPr>
          <w:cantSplit/>
        </w:trPr>
        <w:tc>
          <w:tcPr>
            <w:tcW w:type="dxa" w:w="784"/>
            <w:vAlign w:val="center"/>
          </w:tcPr>
          <w:p>
            <w:pPr>
              <w:spacing w:before="20" w:after="20" w:line="260" w:lineRule="auto"/>
              <w:ind w:firstLine="0"/>
              <w:jc w:val="center"/>
            </w:pPr>
            <w:r>
              <w:rPr>
                <w:sz w:val="20"/>
                <w:szCs w:val="20"/>
              </w:rPr>
              <w:t xml:space="preserve">5</w:t>
            </w:r>
          </w:p>
        </w:tc>
        <w:tc>
          <w:tcPr>
            <w:tcW w:type="dxa" w:w="1143"/>
            <w:vAlign w:val="center"/>
          </w:tcPr>
          <w:p>
            <w:pPr>
              <w:spacing w:before="20" w:after="20" w:line="260" w:lineRule="auto"/>
              <w:ind w:firstLine="0"/>
              <w:jc w:val="left"/>
            </w:pPr>
            <w:r>
              <w:rPr>
                <w:sz w:val="20"/>
                <w:szCs w:val="20"/>
              </w:rPr>
              <w:t xml:space="preserve">Ridge Regression</w:t>
            </w:r>
          </w:p>
        </w:tc>
        <w:tc>
          <w:tcPr>
            <w:tcW w:type="dxa" w:w="919"/>
            <w:vAlign w:val="center"/>
          </w:tcPr>
          <w:p>
            <w:pPr>
              <w:spacing w:before="20" w:after="20" w:line="260" w:lineRule="auto"/>
              <w:ind w:firstLine="0"/>
              <w:jc w:val="center"/>
            </w:pPr>
            <w:r>
              <w:rPr>
                <w:sz w:val="20"/>
                <w:szCs w:val="20"/>
              </w:rPr>
              <w:t xml:space="preserve">17,142</w:t>
            </w:r>
          </w:p>
        </w:tc>
        <w:tc>
          <w:tcPr>
            <w:tcW w:type="dxa" w:w="919"/>
            <w:vAlign w:val="center"/>
          </w:tcPr>
          <w:p>
            <w:pPr>
              <w:spacing w:before="20" w:after="20" w:line="260" w:lineRule="auto"/>
              <w:ind w:firstLine="0"/>
              <w:jc w:val="center"/>
            </w:pPr>
            <w:r>
              <w:rPr>
                <w:sz w:val="20"/>
                <w:szCs w:val="20"/>
              </w:rPr>
              <w:t xml:space="preserve">1,602</w:t>
            </w:r>
          </w:p>
        </w:tc>
        <w:tc>
          <w:tcPr>
            <w:tcW w:type="dxa" w:w="1073"/>
            <w:vAlign w:val="center"/>
          </w:tcPr>
          <w:p>
            <w:pPr>
              <w:spacing w:before="20" w:after="20" w:line="260" w:lineRule="auto"/>
              <w:ind w:firstLine="0"/>
              <w:jc w:val="left"/>
            </w:pPr>
            <w:r>
              <w:rPr>
                <w:sz w:val="20"/>
                <w:szCs w:val="20"/>
              </w:rPr>
              <w:t xml:space="preserve">81,145 (±4,873)</w:t>
            </w:r>
          </w:p>
        </w:tc>
        <w:tc>
          <w:tcPr>
            <w:tcW w:type="dxa" w:w="1143"/>
            <w:vAlign w:val="center"/>
          </w:tcPr>
          <w:p>
            <w:pPr>
              <w:spacing w:before="20" w:after="20" w:line="260" w:lineRule="auto"/>
              <w:ind w:firstLine="0"/>
              <w:jc w:val="left"/>
            </w:pPr>
            <w:r>
              <w:rPr>
                <w:sz w:val="20"/>
                <w:szCs w:val="20"/>
              </w:rPr>
              <w:t xml:space="preserve">261,874 (±29,778)</w:t>
            </w:r>
          </w:p>
        </w:tc>
        <w:tc>
          <w:tcPr>
            <w:tcW w:type="dxa" w:w="784"/>
            <w:vAlign w:val="center"/>
          </w:tcPr>
          <w:p>
            <w:pPr>
              <w:spacing w:before="20" w:after="20" w:line="260" w:lineRule="auto"/>
              <w:ind w:firstLine="0"/>
              <w:jc w:val="center"/>
            </w:pPr>
            <w:r>
              <w:rPr>
                <w:sz w:val="20"/>
                <w:szCs w:val="20"/>
              </w:rPr>
              <w:t xml:space="preserve">0,7742</w:t>
            </w:r>
          </w:p>
        </w:tc>
        <w:tc>
          <w:tcPr>
            <w:tcW w:type="dxa" w:w="784"/>
            <w:vAlign w:val="center"/>
          </w:tcPr>
          <w:p>
            <w:pPr>
              <w:spacing w:before="20" w:after="20" w:line="260" w:lineRule="auto"/>
              <w:ind w:firstLine="0"/>
              <w:jc w:val="center"/>
            </w:pPr>
            <w:r>
              <w:rPr>
                <w:sz w:val="20"/>
                <w:szCs w:val="20"/>
              </w:rPr>
              <w:t xml:space="preserve">1,2846</w:t>
            </w:r>
          </w:p>
        </w:tc>
        <w:tc>
          <w:tcPr>
            <w:tcW w:type="dxa" w:w="1522"/>
            <w:vAlign w:val="center"/>
          </w:tcPr>
          <w:p>
            <w:pPr>
              <w:spacing w:before="20" w:after="20" w:line="260" w:lineRule="auto"/>
              <w:ind w:firstLine="0"/>
              <w:jc w:val="center"/>
            </w:pPr>
            <w:r>
              <w:rPr>
                <w:sz w:val="20"/>
                <w:szCs w:val="20"/>
              </w:rPr>
              <w:t xml:space="preserve">2,11</w:t>
            </w:r>
          </w:p>
        </w:tc>
      </w:tr>
    </w:tbl>
    <w:p>
      <w:pPr>
        <w:spacing w:before="40" w:after="160"/>
        <w:ind w:firstLine="0"/>
      </w:pPr>
      <w:r>
        <w:rPr>
          <w:i/>
          <w:sz w:val="22"/>
          <w:szCs w:val="22"/>
        </w:rPr>
        <w:t xml:space="preserve">Nguồn: REPORT_READY/tables/05_model_cv_summary.csv. Hạng theo WAPE trung bình. Seasonal Naive là bản cố định gốc dự báo (lag_7 cho ngày 1–7, lag_14 cho ngày 8–14, lag_21 cho ngày 15–16), không huấn luyện. (*) Random Forest huấn luyện trên mẫu ngẫu nhiên 600.000 dòng; các mô hình học máy khác dùng toàn bộ dữ liệu huấn luyện.</w:t>
      </w:r>
    </w:p>
    <w:p>
      <w:pPr>
        <w:keepLines w:val="0"/>
        <w:spacing w:after="120"/>
        <w:ind w:firstLine="567"/>
      </w:pPr>
      <w:r>
        <w:t xml:space="preserve">Hình 4.1 biểu diễn cùng thứ hạng dưới dạng cột, trong đó chiều cao cột là WAPE trung bình và vạch sai số thể hiện độ lệch chuẩn giữa ba lần kiểm định. Về mặt thị giác, vạch sai số của ba mô hình cây ngắn và chồng lấn lên nhau, trong khi vạch của Seasonal Naive và Ridge dài hơn rõ rệt; cột của XGBoost thấp nhất nhưng vạch sai số của nó chạm tới vùng của LightGBM. Nói cách khác, cụm mô hình cây không chỉ có sai số trung bình thấp hơn mà còn biến động ít hơn giữa các cửa sổ. Khoảng cách giữa XGBoost và LightGBM là 0,478 điểm phần trăm, tương đương khoảng 3,95% theo giá trị tương đối, nhỏ hơn độ lệch chuẩn của cả hai mô hình (0,646 và 0,499 điểm phần trăm). Ở mức chênh lệch này, thứ hạng giữa hai mô hình tăng cường (boosting) là kết quả của quy tắc lựa chọn áp dụng trên ba cửa sổ cụ thể, không phải bằng chứng rằng XGBoost chắc chắn tốt hơn LightGBM khi dữ liệu hay cấu hình thay đổi.</w:t>
      </w:r>
    </w:p>
    <w:p>
      <w:pPr>
        <w:jc w:val="center"/>
      </w:pPr>
      <w:r>
        <w:drawing>
          <wp:inline xmlns:a="http://schemas.openxmlformats.org/drawingml/2006/main" xmlns:pic="http://schemas.openxmlformats.org/drawingml/2006/picture">
            <wp:extent cx="5580000" cy="2992173"/>
            <wp:docPr id="5005" name="Picture 5005"/>
            <wp:cNvGraphicFramePr>
              <a:graphicFrameLocks noChangeAspect="1"/>
            </wp:cNvGraphicFramePr>
            <a:graphic>
              <a:graphicData uri="http://schemas.openxmlformats.org/drawingml/2006/picture">
                <pic:pic>
                  <pic:nvPicPr>
                    <pic:cNvPr id="0" name="F06_cv_model_comparison_758.png"/>
                    <pic:cNvPicPr/>
                  </pic:nvPicPr>
                  <pic:blipFill>
                    <a:blip r:embed="rId104"/>
                    <a:stretch>
                      <a:fillRect/>
                    </a:stretch>
                  </pic:blipFill>
                  <pic:spPr>
                    <a:xfrm>
                      <a:off x="0" y="0"/>
                      <a:ext cx="5580000" cy="2992173"/>
                    </a:xfrm>
                    <a:prstGeom prst="rect"/>
                  </pic:spPr>
                </pic:pic>
              </a:graphicData>
            </a:graphic>
          </wp:inline>
        </w:drawing>
      </w:r>
    </w:p>
    <w:p>
      <w:pPr>
        <w:keepNext w:val="0"/>
        <w:spacing w:after="160"/>
        <w:ind w:firstLine="0"/>
        <w:jc w:val="center"/>
      </w:pPr>
      <w:r>
        <w:t xml:space="preserve">Hình 4.1. WAPE trung bình của năm mô hình qua ba lần kiểm định chéo cuốn chiếu, vạch sai số thể hiện độ lệch chuẩn giữa các lần kiểm định</w:t>
      </w:r>
    </w:p>
    <w:p>
      <w:pPr>
        <w:spacing w:before="0" w:after="160"/>
        <w:ind w:firstLine="0"/>
        <w:jc w:val="center"/>
      </w:pPr>
      <w:r>
        <w:rPr>
          <w:i/>
          <w:sz w:val="22"/>
          <w:szCs w:val="22"/>
        </w:rPr>
        <w:t xml:space="preserve">Nguồn: REPORT_READY/figures/F06_cv_model_comparison.png</w:t>
      </w:r>
    </w:p>
    <w:p>
      <w:pPr>
        <w:keepLines w:val="0"/>
        <w:spacing w:after="120"/>
        <w:ind w:firstLine="567"/>
      </w:pPr>
      <w:r>
        <w:t xml:space="preserve">Sự hội tụ của ba mô hình cây về một dải sai số hẹp phù hợp với các nhận định tổng quát trong tài liệu rằng mô hình cây tăng cường huấn luyện toàn cục trên nhiều chuỗi thường đạt độ chính xác cao trong dự báo bán lẻ (Makridakis và cộng sự, 2022a; Januschowski và cộng sự, 2022). Mô hình toàn cục (global model) được huấn luyện chung cho 1.782 chuỗi có thể chia sẻ thông tin giữa các cửa hàng và nhóm sản phẩm, điều mà một mô hình cục bộ cho từng chuỗi không làm được (Montero-Manso và Hyndman, 2021). Luận văn không có thí nghiệm đối chứng giữa mô hình cục bộ và toàn cục, nên nhận định này chỉ là khung lý giải. Điều mà dữ liệu của lần chạy khẳng định được là: dưới cùng tập 29 đặc trưng (đã loại lag_7 và lag_14) và cùng quy trình kiểm định, ba mô hình cây cho WAPE trung bình thấp hơn Ridge từ 4,173 đến 5,053 điểm phần trăm và thấp hơn Seasonal Naive từ 2,749 đến 3,629 điểm phần trăm.</w:t>
      </w:r>
    </w:p>
    <w:p>
      <w:pPr>
        <w:pStyle w:val="Heading3"/>
        <w:keepNext/>
      </w:pPr>
      <w:r>
        <w:t xml:space="preserve">4.2.2. Đọc kết quả theo nhiều thước đo</w:t>
      </w:r>
    </w:p>
    <w:p>
      <w:pPr>
        <w:keepLines w:val="0"/>
        <w:spacing w:after="120"/>
        <w:ind w:firstLine="567"/>
      </w:pPr>
      <w:r>
        <w:t xml:space="preserve">Năm thước đo trong Bảng 4.2 không cho cùng một thứ hạng, và sự khác biệt này mang thông tin về dạng sai số của từng mô hình. Theo RMSE trung bình, XGBoost (217,464) cũng đứng đầu, thấp hơn LightGBM 2,580 và thấp hơn Random Forest 13,502; vì RMSE bình phương sai số trước khi lấy trung bình nên đặt trọng số lớn cho các sai số lớn (Hyndman và Athanasopoulos, 2021), kết quả này cho thấy ưu thế của XGBoost không chỉ nằm ở tổng sai số tuyệt đối mà còn ở các quan sát có sai số lớn. Độ lệch chuẩn RMSE của hai mô hình tăng cường tương đương nhau (3,989 và 3,674), trong khi Random Forest có độ lệch chuẩn RMSE 10,776, tức mức sai số lớn của nó dao động mạnh hơn giữa các cửa sổ. Ở cuối bảng, Ridge có RMSE trung bình 261,874, thấp hơn Seasonal Naive (293,700) dù WAPE cao hơn; thứ tự giữa hai phương pháp đơn giản vì thế phụ thuộc vào việc thước đo nhấn mạnh sai số lớn hay tổng sai số tuyệt đối.</w:t>
      </w:r>
    </w:p>
    <w:p>
      <w:pPr>
        <w:keepLines w:val="0"/>
        <w:spacing w:after="120"/>
        <w:ind w:firstLine="567"/>
      </w:pPr>
      <w:r>
        <w:t xml:space="preserve">Hai thước đo sMAPE và RMSLE cho bức tranh khác hẳn: Seasonal Naive có sMAPE thấp nhất (0,4079), Random Forest có RMSLE thấp nhất (0,4746) và Seasonal Naive đứng thứ hai về RMSLE (0,5208), còn Ridge có cả hai giá trị cao nhất (0,7742 và 1,2846). Dù Seasonal Naive là đường cơ sở hợp lệ, sMAPE thấp của nó không có nghĩa là phương pháp này dự báo tốt hơn các mô hình học máy. Nguyên nhân nằm ở cách hai thước đo xử lý giá trị bằng 0 và giá trị nhỏ: trong mã nguồn, sMAPE đặt sai số bằng 0 cho điểm có cả thực tế và dự báo bằng 0 nhưng vẫn giữ điểm đó trong mẫu số trung bình, còn RMSLE dùng log(1 + y) nên co giãn mạnh sai số ở vùng giá trị nhỏ. Với 31,30% số dòng doanh số bằng 0 trong toàn bộ dữ liệu và 14,58% trên tập kiểm tra cuối, một phương pháp lặp lại đúng giá trị 0 của tuần trước được hưởng lợi rất lớn. Tính lại từ tệp dự báo theo dòng của tập kiểm tra cuối, Seasonal Naive dự báo đúng bằng 0 ở 78,99% số quan sát có doanh số thực tế bằng 0, so với 31,50% của XGBoost.</w:t>
      </w:r>
    </w:p>
    <w:p>
      <w:pPr>
        <w:keepLines w:val="0"/>
        <w:spacing w:after="120"/>
        <w:ind w:firstLine="567"/>
      </w:pPr>
      <w:r>
        <w:t xml:space="preserve">Hạn chế của các thước đo phần trăm khi giá trị thực tế gần 0 đã được Hyndman và Koehler (2006) phân tích đối với MAPE và sMAPE; điều đó củng cố lựa chọn WAPE làm thước đo chính, còn sMAPE và RMSLE giữ vai trò chẩn đoán. XGBoost đứng thứ hai về sMAPE (0,5093), tốt hơn Random Forest (0,5452) và LightGBM (0,5996); Random Forest lại có RMSLE thấp hơn XGBoost (0,4746 so với 0,5838), còn LightGBM cao hơn cả hai ở cả hai thước đo. Tính lại theo bốn mức nhu cầu trên tập kiểm tra cuối, Random Forest có MAE thấp hơn XGBoost ở ba mức thấp (ví dụ 5,460 so với 7,660 ở mức Q2) nhưng cao hơn rõ ở mức nhu cầu cao nhất (269,609 so với 231,940), trong khi LightGBM có MAE cao hơn XGBoost ở cả bốn mức. Như vậy, Random Forest mạnh ở vùng nhu cầu nhỏ, còn XGBoost mạnh ở vùng nhu cầu lớn, vùng chi phối WAPE; phân tích chi tiết theo mức nhu cầu cho mô hình được chọn được trình bày ở Mục 4.7.</w:t>
      </w:r>
    </w:p>
    <w:p>
      <w:pPr>
        <w:pStyle w:val="Heading3"/>
        <w:keepNext/>
      </w:pPr>
      <w:r>
        <w:t xml:space="preserve">4.2.3. Vị trí của Seasonal Naive trong so sánh</w:t>
      </w:r>
    </w:p>
    <w:p>
      <w:pPr>
        <w:keepLines w:val="0"/>
        <w:spacing w:after="120"/>
        <w:ind w:firstLine="567"/>
      </w:pPr>
      <w:r>
        <w:t xml:space="preserve">Trong luận văn, Seasonal Naive được thiết kế theo nguyên tắc cố định gốc dự báo: ngày thứ h của cửa sổ dùng doanh số cùng thứ trong tuần gần nhất trước gốc, tức lag_7 với h = 1–7, lag_14 với h = 8–14 và lag_21 với h = 15–16. Lý do là với kỳ dự báo H = 16, nếu dùng lag_7 cho mọi ngày thì các ngày 8–16 sẽ lấy doanh số nằm trong chính kỳ dự báo, là thông tin chưa có tại gốc dự báo, và đường cơ sở sẽ không khả thi trong vận hành. Mọi giá trị được dùng đều đã quan sát được tại gốc dự báo, nên đường cơ sở này đứng trên cùng điều kiện thông tin hợp lệ với bốn mô hình học máy. Thậm chí, ở các ngày đầu cửa sổ, đường cơ sở còn dùng thông tin gần hơn các mô hình học máy, vốn chỉ dùng độ trễ từ 16 ngày trở lên (lag_16 đến lag_56) và thống kê trượt trên chuỗi đã dịch 16 ngày để giữ một tập đặc trưng thống nhất cho cả kỳ dự báo. Vì vậy, Seasonal Naive là mốc so sánh hợp lệ, và chênh lệch giữa XGBoost với nó có thể dùng làm bằng chứng định lượng về lợi ích của học máy trong thiết kế này.</w:t>
      </w:r>
    </w:p>
    <w:p>
      <w:pPr>
        <w:keepLines w:val="0"/>
        <w:spacing w:after="120"/>
        <w:ind w:firstLine="567"/>
      </w:pPr>
      <w:r>
        <w:t xml:space="preserve">Theo số liệu của lần chạy, WAPE trung bình giảm từ 15,718% của Seasonal Naive xuống 12,089% của XGBoost, tức giảm 3,629 điểm phần trăm, tương đương khoảng 23,09% theo giá trị tương đối. Ưu thế này được lặp lại ở mọi lần kiểm định, nhưng độ lớn thay đổi đáng kể: 4,533 điểm phần trăm ở lần 1, 4,911 ở lần 2 và chỉ 1,441 ở lần 3, khi WAPE của Seasonal Naive giảm xuống 13,968%. Trên tập kiểm tra cuối, khoảng cách lại mở rộng thành 6,338 điểm phần trăm (khoảng 30,67% theo giá trị tương đối). Sự dao động này nhắc rằng mức lợi ích của học máy phụ thuộc vào giai đoạn: khi mẫu hình theo tuần của giai đoạn trước gốc dự báo đại diện tốt cho giai đoạn dự báo, đường cơ sở đơn giản có thể tiến khá gần các mô hình cây.</w:t>
      </w:r>
    </w:p>
    <w:p>
      <w:pPr>
        <w:keepLines w:val="0"/>
        <w:spacing w:after="120"/>
        <w:ind w:firstLine="567"/>
      </w:pPr>
      <w:r>
        <w:t xml:space="preserve">Một kết quả đáng chú ý khác là Seasonal Naive có WAPE thấp hơn Ridge ở cả ba lần kiểm định và trên tập kiểm tra cuối. Như vậy, trong cấu hình của luận văn, không phải mọi mô hình học máy đều vượt đường cơ sở theo mùa vụ: lợi ích định lượng đến từ nhóm mô hình tổ hợp cây, còn mô hình tuyến tính với tập đặc trưng hiện có không vượt được phương pháp lặp lại tuần gần nhất. Seasonal Naive cũng không cần huấn luyện, nên có thể đóng vai trò cơ chế dự phòng khi quy trình học máy gặp sự cố hoặc đặc trưng ngoại sinh chưa sẵn sàng, với mức sai số đã được lượng hóa trong Bảng 4.2.</w:t>
      </w:r>
    </w:p>
    <w:p>
      <w:pPr>
        <w:pStyle w:val="Heading3"/>
        <w:keepNext/>
      </w:pPr>
      <w:r>
        <w:t xml:space="preserve">4.2.4. Từ sai số nhu cầu đến giá trị kinh tế</w:t>
      </w:r>
    </w:p>
    <w:p>
      <w:pPr>
        <w:keepLines w:val="0"/>
        <w:spacing w:after="120"/>
        <w:ind w:firstLine="567"/>
      </w:pPr>
      <w:r>
        <w:t xml:space="preserve">WAPE không thể tự quy đổi thành doanh thu chịu rủi ro, vì mỗi đơn vị sai số được coi như nhau bất kể giá trị của nhóm hàng. Việc quy đổi cần đơn giá (price) hoặc biên lợi nhuận gộp (gross margin) theo cửa hàng, nhóm sản phẩm và ngày, trong khi dữ liệu Favorita không chứa những biến này. Vì vậy, luận văn chỉ nêu công thức triển khai: mức doanh thu chịu rủi ro ước tính (estimated revenue exposure) theo công thức (4.1) và mức biên lợi nhuận chịu rủi ro ước tính (estimated margin exposure) theo công thức (4.2), trong đó đơn giá được thay bằng biên lợi nhuận gộp trên mỗi đơn vị.</w:t>
      </w:r>
    </w:p>
    <w:p>
      <w:pPr>
        <w:tabs>
          <w:tab w:val="center" w:pos="4535"/>
          <w:tab w:val="right" w:pos="9071"/>
        </w:tabs>
        <w:spacing w:before="60" w:after="60"/>
        <w:ind w:firstLine="0"/>
      </w:pPr>
      <w:r>
        <w:tab/>
      </w:r>
      <m:oMath xmlns:a="http://schemas.openxmlformats.org/drawingml/2006/main" xmlns:pic="http://schemas.openxmlformats.org/drawingml/2006/picture">
        <m:r>
          <m:rPr>
            <m:sty m:val="p"/>
          </m:rPr>
          <m:t>R</m:t>
        </m:r>
        <m:r>
          <m:rPr>
            <m:sty m:val="p"/>
          </m:rPr>
          <m:t>E</m:t>
        </m:r>
        <m:r>
          <m:rPr>
            <m:sty m:val="p"/>
          </m:rPr>
          <m:t>=</m:t>
        </m:r>
        <m:nary>
          <m:naryPr>
            <m:chr m:val="∑"/>
            <m:limLoc m:val="undOvr"/>
            <m:subHide m:val="off"/>
            <m:supHide m:val="on"/>
          </m:naryPr>
          <m:sub>
            <m:r>
              <m:t>i</m:t>
            </m:r>
          </m:sub>
          <m:sup>
            <m:r>
              <m:t>​</m:t>
            </m:r>
          </m:sup>
          <m:e>
            <m:nary>
              <m:naryPr>
                <m:chr m:val="∑"/>
                <m:limLoc m:val="undOvr"/>
                <m:subHide m:val="off"/>
                <m:supHide m:val="on"/>
              </m:naryPr>
              <m:sub>
                <m:r>
                  <m:t>t</m:t>
                </m:r>
              </m:sub>
              <m:sup>
                <m:r>
                  <m:t>​</m:t>
                </m:r>
              </m:sup>
              <m:e>
                <m:d>
                  <m:dPr>
                    <m:begChr m:val="|"/>
                    <m:sepChr m:val=""/>
                    <m:endChr m:val="|"/>
                    <m:grow/>
                  </m:dPr>
                  <m:e>
                    <m:sSub>
                      <m:e>
                        <m:r>
                          <m:t>y</m:t>
                        </m:r>
                      </m:e>
                      <m:sub>
                        <m:r>
                          <m:t>i</m:t>
                        </m:r>
                        <m:r>
                          <m:rPr>
                            <m:sty m:val="p"/>
                          </m:rPr>
                          <m:t>,</m:t>
                        </m:r>
                        <m:r>
                          <m:t>t</m:t>
                        </m:r>
                      </m:sub>
                    </m:sSub>
                    <m:r>
                      <m:rPr>
                        <m:sty m:val="p"/>
                      </m:rPr>
                      <m:t>−</m:t>
                    </m:r>
                    <m:sSub>
                      <m:e>
                        <m:acc>
                          <m:accPr>
                            <m:chr m:val="̂"/>
                          </m:accPr>
                          <m:e>
                            <m:r>
                              <m:t>y</m:t>
                            </m:r>
                          </m:e>
                        </m:acc>
                      </m:e>
                      <m:sub>
                        <m:r>
                          <m:t>i</m:t>
                        </m:r>
                        <m:r>
                          <m:rPr>
                            <m:sty m:val="p"/>
                          </m:rPr>
                          <m:t>,</m:t>
                        </m:r>
                        <m:r>
                          <m:t>t</m:t>
                        </m:r>
                      </m:sub>
                    </m:sSub>
                  </m:e>
                </m:d>
              </m:e>
            </m:nary>
          </m:e>
        </m:nary>
        <m:r>
          <m:rPr>
            <m:sty m:val="p"/>
          </m:rPr>
          <m:t>×</m:t>
        </m:r>
        <m:sSub>
          <m:e>
            <m:r>
              <m:t>c</m:t>
            </m:r>
          </m:e>
          <m:sub>
            <m:r>
              <m:t>i</m:t>
            </m:r>
            <m:r>
              <m:rPr>
                <m:sty m:val="p"/>
              </m:rPr>
              <m:t>,</m:t>
            </m:r>
            <m:r>
              <m:t>t</m:t>
            </m:r>
          </m:sub>
        </m:sSub>
      </m:oMath>
      <w:r>
        <w:tab/>
        <w:t>(4.1)</w:t>
      </w:r>
    </w:p>
    <w:p>
      <w:pPr>
        <w:tabs>
          <w:tab w:val="center" w:pos="4535"/>
          <w:tab w:val="right" w:pos="9071"/>
        </w:tabs>
        <w:spacing w:before="60" w:after="60"/>
        <w:ind w:firstLine="0"/>
      </w:pPr>
      <w:r>
        <w:tab/>
      </w:r>
      <m:oMath xmlns:a="http://schemas.openxmlformats.org/drawingml/2006/main" xmlns:pic="http://schemas.openxmlformats.org/drawingml/2006/picture">
        <m:r>
          <m:rPr>
            <m:sty m:val="p"/>
          </m:rPr>
          <m:t>M</m:t>
        </m:r>
        <m:r>
          <m:rPr>
            <m:sty m:val="p"/>
          </m:rPr>
          <m:t>E</m:t>
        </m:r>
        <m:r>
          <m:rPr>
            <m:sty m:val="p"/>
          </m:rPr>
          <m:t>=</m:t>
        </m:r>
        <m:nary>
          <m:naryPr>
            <m:chr m:val="∑"/>
            <m:limLoc m:val="undOvr"/>
            <m:subHide m:val="off"/>
            <m:supHide m:val="on"/>
          </m:naryPr>
          <m:sub>
            <m:r>
              <m:t>i</m:t>
            </m:r>
          </m:sub>
          <m:sup>
            <m:r>
              <m:t>​</m:t>
            </m:r>
          </m:sup>
          <m:e>
            <m:nary>
              <m:naryPr>
                <m:chr m:val="∑"/>
                <m:limLoc m:val="undOvr"/>
                <m:subHide m:val="off"/>
                <m:supHide m:val="on"/>
              </m:naryPr>
              <m:sub>
                <m:r>
                  <m:t>t</m:t>
                </m:r>
              </m:sub>
              <m:sup>
                <m:r>
                  <m:t>​</m:t>
                </m:r>
              </m:sup>
              <m:e>
                <m:d>
                  <m:dPr>
                    <m:begChr m:val="|"/>
                    <m:sepChr m:val=""/>
                    <m:endChr m:val="|"/>
                    <m:grow/>
                  </m:dPr>
                  <m:e>
                    <m:sSub>
                      <m:e>
                        <m:r>
                          <m:t>y</m:t>
                        </m:r>
                      </m:e>
                      <m:sub>
                        <m:r>
                          <m:t>i</m:t>
                        </m:r>
                        <m:r>
                          <m:rPr>
                            <m:sty m:val="p"/>
                          </m:rPr>
                          <m:t>,</m:t>
                        </m:r>
                        <m:r>
                          <m:t>t</m:t>
                        </m:r>
                      </m:sub>
                    </m:sSub>
                    <m:r>
                      <m:rPr>
                        <m:sty m:val="p"/>
                      </m:rPr>
                      <m:t>−</m:t>
                    </m:r>
                    <m:sSub>
                      <m:e>
                        <m:acc>
                          <m:accPr>
                            <m:chr m:val="̂"/>
                          </m:accPr>
                          <m:e>
                            <m:r>
                              <m:t>y</m:t>
                            </m:r>
                          </m:e>
                        </m:acc>
                      </m:e>
                      <m:sub>
                        <m:r>
                          <m:t>i</m:t>
                        </m:r>
                        <m:r>
                          <m:rPr>
                            <m:sty m:val="p"/>
                          </m:rPr>
                          <m:t>,</m:t>
                        </m:r>
                        <m:r>
                          <m:t>t</m:t>
                        </m:r>
                      </m:sub>
                    </m:sSub>
                  </m:e>
                </m:d>
              </m:e>
            </m:nary>
          </m:e>
        </m:nary>
        <m:r>
          <m:rPr>
            <m:sty m:val="p"/>
          </m:rPr>
          <m:t>×</m:t>
        </m:r>
        <m:sSub>
          <m:e>
            <m:r>
              <m:t>g</m:t>
            </m:r>
          </m:e>
          <m:sub>
            <m:r>
              <m:t>i</m:t>
            </m:r>
            <m:r>
              <m:rPr>
                <m:sty m:val="p"/>
              </m:rPr>
              <m:t>,</m:t>
            </m:r>
            <m:r>
              <m:t>t</m:t>
            </m:r>
          </m:sub>
        </m:sSub>
      </m:oMath>
      <w:r>
        <w:tab/>
        <w:t>(4.2)</w:t>
      </w:r>
    </w:p>
    <w:p>
      <w:pPr>
        <w:keepLines w:val="0"/>
        <w:spacing w:after="120"/>
        <w:ind w:firstLine="567"/>
      </w:pPr>
      <w:r>
        <w:t xml:space="preserve">Trong hai công thức, y(i,t) và ŷ(i,t) là nhu cầu thực tế và dự báo của chuỗi i tại ngày t, c(i,t) là đơn giá và g(i,t) là biên lợi nhuận gộp trên mỗi đơn vị. Do có trọng số theo giá, thứ hạng theo WAPE chưa chắc trùng với thứ hạng theo doanh thu chịu rủi ro: một mô hình giảm sai số chủ yếu ở nhóm hàng giá thấp có thể giảm WAPE nhiều hơn mức giảm giá trị tiền tệ. Hơn nữa, dự báo thấp dẫn đến thiếu hàng còn dự báo cao dẫn đến tồn đọng, hai hậu quả không đối xứng mà công thức tuyệt đối chưa phân biệt. Khi thiếu giá và biên lợi nhuận, mọi con số tiền tệ đều là giả định, nên phần quy đổi được giữ ở dạng khung phương pháp cho khi doanh nghiệp có dữ liệu nội bộ.</w:t>
      </w:r>
    </w:p>
    <w:p>
      <w:pPr>
        <w:pStyle w:val="Heading2"/>
        <w:keepNext/>
      </w:pPr>
      <w:r>
        <w:t xml:space="preserve">4.3. Độ ổn định giữa các lần kiểm định</w:t>
      </w:r>
    </w:p>
    <w:p>
      <w:pPr>
        <w:pStyle w:val="Heading3"/>
        <w:keepNext/>
      </w:pPr>
      <w:r>
        <w:t xml:space="preserve">4.3.1. WAPE và RMSE theo từng lần kiểm định</w:t>
      </w:r>
    </w:p>
    <w:p>
      <w:pPr>
        <w:keepLines w:val="0"/>
        <w:spacing w:after="120"/>
        <w:ind w:firstLine="567"/>
      </w:pPr>
      <w:r>
        <w:t xml:space="preserve">Giá trị trung bình trong Mục 4.2 có thể che khuất khác biệt giữa các giai đoạn: cùng một WAPE trung bình thấp có thể đến từ một mô hình tốt đều ở cả ba cửa sổ hoặc từ một mô hình rất tốt ở một cửa sổ nhưng kém ở cửa sổ khác. Bảng 4.3 vì vậy trình bày WAPE và RMSE của từng mô hình ở từng lần kiểm định, lấy từ tệp 06_rolling_cv_metrics.csv. Kết quả quan trọng nhất là thứ hạng WAPE của cả năm mô hình giống hệt nhau ở ba lần: XGBoost hạng 1 (12,393%; 11,348%; 12,527%), LightGBM hạng 2, Random Forest hạng 3, Seasonal Naive hạng 4 và Ridge hạng 5. Như vậy, thứ hạng trung bình không bị chi phối bởi một cửa sổ đơn lẻ mà được lặp lại nhất quán.</w:t>
      </w:r>
    </w:p>
    <w:p>
      <w:pPr>
        <w:keepNext/>
        <w:spacing w:before="120" w:after="60"/>
        <w:ind w:firstLine="0"/>
        <w:jc w:val="center"/>
      </w:pPr>
      <w:r>
        <w:t xml:space="preserve">Bảng 4.3. WAPE và RMSE của năm mô hình theo từng lần kiểm định chéo cuốn chiếu</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468"/>
        <w:gridCol w:w="1373"/>
        <w:gridCol w:w="1373"/>
        <w:gridCol w:w="1373"/>
        <w:gridCol w:w="1160"/>
        <w:gridCol w:w="1160"/>
        <w:gridCol w:w="1164"/>
      </w:tblGrid>
      <w:tr>
        <w:trPr>
          <w:tblHeader/>
          <w:cantSplit/>
        </w:trPr>
        <w:tc>
          <w:tcPr>
            <w:tcW w:type="dxa" w:w="1468"/>
            <w:shd w:val="clear" w:color="auto" w:fill="D9E2F3"/>
            <w:vAlign w:val="center"/>
          </w:tcPr>
          <w:p>
            <w:pPr>
              <w:spacing w:before="20" w:after="20" w:line="260" w:lineRule="auto"/>
              <w:ind w:firstLine="0"/>
              <w:jc w:val="center"/>
            </w:pPr>
            <w:r>
              <w:rPr>
                <w:b/>
                <w:sz w:val="20"/>
                <w:szCs w:val="20"/>
              </w:rPr>
              <w:t xml:space="preserve">Mô hình</w:t>
            </w:r>
          </w:p>
        </w:tc>
        <w:tc>
          <w:tcPr>
            <w:tcW w:type="dxa" w:w="1373"/>
            <w:shd w:val="clear" w:color="auto" w:fill="D9E2F3"/>
            <w:vAlign w:val="center"/>
          </w:tcPr>
          <w:p>
            <w:pPr>
              <w:spacing w:before="20" w:after="20" w:line="260" w:lineRule="auto"/>
              <w:ind w:firstLine="0"/>
              <w:jc w:val="center"/>
            </w:pPr>
            <w:r>
              <w:rPr>
                <w:b/>
                <w:sz w:val="20"/>
                <w:szCs w:val="20"/>
              </w:rPr>
              <w:t xml:space="preserve">WAPE lần 1 (%)</w:t>
            </w:r>
          </w:p>
        </w:tc>
        <w:tc>
          <w:tcPr>
            <w:tcW w:type="dxa" w:w="1373"/>
            <w:shd w:val="clear" w:color="auto" w:fill="D9E2F3"/>
            <w:vAlign w:val="center"/>
          </w:tcPr>
          <w:p>
            <w:pPr>
              <w:spacing w:before="20" w:after="20" w:line="260" w:lineRule="auto"/>
              <w:ind w:firstLine="0"/>
              <w:jc w:val="center"/>
            </w:pPr>
            <w:r>
              <w:rPr>
                <w:b/>
                <w:sz w:val="20"/>
                <w:szCs w:val="20"/>
              </w:rPr>
              <w:t xml:space="preserve">WAPE lần 2 (%)</w:t>
            </w:r>
          </w:p>
        </w:tc>
        <w:tc>
          <w:tcPr>
            <w:tcW w:type="dxa" w:w="1373"/>
            <w:shd w:val="clear" w:color="auto" w:fill="D9E2F3"/>
            <w:vAlign w:val="center"/>
          </w:tcPr>
          <w:p>
            <w:pPr>
              <w:spacing w:before="20" w:after="20" w:line="260" w:lineRule="auto"/>
              <w:ind w:firstLine="0"/>
              <w:jc w:val="center"/>
            </w:pPr>
            <w:r>
              <w:rPr>
                <w:b/>
                <w:sz w:val="20"/>
                <w:szCs w:val="20"/>
              </w:rPr>
              <w:t xml:space="preserve">WAPE lần 3 (%)</w:t>
            </w:r>
          </w:p>
        </w:tc>
        <w:tc>
          <w:tcPr>
            <w:tcW w:type="dxa" w:w="1160"/>
            <w:shd w:val="clear" w:color="auto" w:fill="D9E2F3"/>
            <w:vAlign w:val="center"/>
          </w:tcPr>
          <w:p>
            <w:pPr>
              <w:spacing w:before="20" w:after="20" w:line="260" w:lineRule="auto"/>
              <w:ind w:firstLine="0"/>
              <w:jc w:val="center"/>
            </w:pPr>
            <w:r>
              <w:rPr>
                <w:b/>
                <w:sz w:val="20"/>
                <w:szCs w:val="20"/>
              </w:rPr>
              <w:t xml:space="preserve">RMSE lần 1</w:t>
            </w:r>
          </w:p>
        </w:tc>
        <w:tc>
          <w:tcPr>
            <w:tcW w:type="dxa" w:w="1160"/>
            <w:shd w:val="clear" w:color="auto" w:fill="D9E2F3"/>
            <w:vAlign w:val="center"/>
          </w:tcPr>
          <w:p>
            <w:pPr>
              <w:spacing w:before="20" w:after="20" w:line="260" w:lineRule="auto"/>
              <w:ind w:firstLine="0"/>
              <w:jc w:val="center"/>
            </w:pPr>
            <w:r>
              <w:rPr>
                <w:b/>
                <w:sz w:val="20"/>
                <w:szCs w:val="20"/>
              </w:rPr>
              <w:t xml:space="preserve">RMSE lần 2</w:t>
            </w:r>
          </w:p>
        </w:tc>
        <w:tc>
          <w:tcPr>
            <w:tcW w:type="dxa" w:w="1164"/>
            <w:shd w:val="clear" w:color="auto" w:fill="D9E2F3"/>
            <w:vAlign w:val="center"/>
          </w:tcPr>
          <w:p>
            <w:pPr>
              <w:spacing w:before="20" w:after="20" w:line="260" w:lineRule="auto"/>
              <w:ind w:firstLine="0"/>
              <w:jc w:val="center"/>
            </w:pPr>
            <w:r>
              <w:rPr>
                <w:b/>
                <w:sz w:val="20"/>
                <w:szCs w:val="20"/>
              </w:rPr>
              <w:t xml:space="preserve">RMSE lần 3</w:t>
            </w:r>
          </w:p>
        </w:tc>
      </w:tr>
      <w:tr>
        <w:trPr>
          <w:cantSplit/>
        </w:trPr>
        <w:tc>
          <w:tcPr>
            <w:tcW w:type="dxa" w:w="1468"/>
            <w:vAlign w:val="center"/>
          </w:tcPr>
          <w:p>
            <w:pPr>
              <w:spacing w:before="20" w:after="20" w:line="260" w:lineRule="auto"/>
              <w:ind w:firstLine="0"/>
              <w:jc w:val="left"/>
            </w:pPr>
            <w:r>
              <w:rPr>
                <w:sz w:val="20"/>
                <w:szCs w:val="20"/>
              </w:rPr>
              <w:t xml:space="preserve">XGBoost</w:t>
            </w:r>
          </w:p>
        </w:tc>
        <w:tc>
          <w:tcPr>
            <w:tcW w:type="dxa" w:w="1373"/>
            <w:vAlign w:val="center"/>
          </w:tcPr>
          <w:p>
            <w:pPr>
              <w:spacing w:before="20" w:after="20" w:line="260" w:lineRule="auto"/>
              <w:ind w:firstLine="0"/>
              <w:jc w:val="center"/>
            </w:pPr>
            <w:r>
              <w:rPr>
                <w:sz w:val="20"/>
                <w:szCs w:val="20"/>
              </w:rPr>
              <w:t xml:space="preserve">12,393</w:t>
            </w:r>
          </w:p>
        </w:tc>
        <w:tc>
          <w:tcPr>
            <w:tcW w:type="dxa" w:w="1373"/>
            <w:vAlign w:val="center"/>
          </w:tcPr>
          <w:p>
            <w:pPr>
              <w:spacing w:before="20" w:after="20" w:line="260" w:lineRule="auto"/>
              <w:ind w:firstLine="0"/>
              <w:jc w:val="center"/>
            </w:pPr>
            <w:r>
              <w:rPr>
                <w:sz w:val="20"/>
                <w:szCs w:val="20"/>
              </w:rPr>
              <w:t xml:space="preserve">11,348</w:t>
            </w:r>
          </w:p>
        </w:tc>
        <w:tc>
          <w:tcPr>
            <w:tcW w:type="dxa" w:w="1373"/>
            <w:vAlign w:val="center"/>
          </w:tcPr>
          <w:p>
            <w:pPr>
              <w:spacing w:before="20" w:after="20" w:line="260" w:lineRule="auto"/>
              <w:ind w:firstLine="0"/>
              <w:jc w:val="center"/>
            </w:pPr>
            <w:r>
              <w:rPr>
                <w:sz w:val="20"/>
                <w:szCs w:val="20"/>
              </w:rPr>
              <w:t xml:space="preserve">12,527</w:t>
            </w:r>
          </w:p>
        </w:tc>
        <w:tc>
          <w:tcPr>
            <w:tcW w:type="dxa" w:w="1160"/>
            <w:vAlign w:val="center"/>
          </w:tcPr>
          <w:p>
            <w:pPr>
              <w:spacing w:before="20" w:after="20" w:line="260" w:lineRule="auto"/>
              <w:ind w:firstLine="0"/>
              <w:jc w:val="center"/>
            </w:pPr>
            <w:r>
              <w:rPr>
                <w:sz w:val="20"/>
                <w:szCs w:val="20"/>
              </w:rPr>
              <w:t xml:space="preserve">219,224</w:t>
            </w:r>
          </w:p>
        </w:tc>
        <w:tc>
          <w:tcPr>
            <w:tcW w:type="dxa" w:w="1160"/>
            <w:vAlign w:val="center"/>
          </w:tcPr>
          <w:p>
            <w:pPr>
              <w:spacing w:before="20" w:after="20" w:line="260" w:lineRule="auto"/>
              <w:ind w:firstLine="0"/>
              <w:jc w:val="center"/>
            </w:pPr>
            <w:r>
              <w:rPr>
                <w:sz w:val="20"/>
                <w:szCs w:val="20"/>
              </w:rPr>
              <w:t xml:space="preserve">212,898</w:t>
            </w:r>
          </w:p>
        </w:tc>
        <w:tc>
          <w:tcPr>
            <w:tcW w:type="dxa" w:w="1164"/>
            <w:vAlign w:val="center"/>
          </w:tcPr>
          <w:p>
            <w:pPr>
              <w:spacing w:before="20" w:after="20" w:line="260" w:lineRule="auto"/>
              <w:ind w:firstLine="0"/>
              <w:jc w:val="center"/>
            </w:pPr>
            <w:r>
              <w:rPr>
                <w:sz w:val="20"/>
                <w:szCs w:val="20"/>
              </w:rPr>
              <w:t xml:space="preserve">220,270</w:t>
            </w:r>
          </w:p>
        </w:tc>
      </w:tr>
      <w:tr>
        <w:trPr>
          <w:cantSplit/>
        </w:trPr>
        <w:tc>
          <w:tcPr>
            <w:tcW w:type="dxa" w:w="1468"/>
            <w:vAlign w:val="center"/>
          </w:tcPr>
          <w:p>
            <w:pPr>
              <w:spacing w:before="20" w:after="20" w:line="260" w:lineRule="auto"/>
              <w:ind w:firstLine="0"/>
              <w:jc w:val="left"/>
            </w:pPr>
            <w:r>
              <w:rPr>
                <w:sz w:val="20"/>
                <w:szCs w:val="20"/>
              </w:rPr>
              <w:t xml:space="preserve">LightGBM</w:t>
            </w:r>
          </w:p>
        </w:tc>
        <w:tc>
          <w:tcPr>
            <w:tcW w:type="dxa" w:w="1373"/>
            <w:vAlign w:val="center"/>
          </w:tcPr>
          <w:p>
            <w:pPr>
              <w:spacing w:before="20" w:after="20" w:line="260" w:lineRule="auto"/>
              <w:ind w:firstLine="0"/>
              <w:jc w:val="center"/>
            </w:pPr>
            <w:r>
              <w:rPr>
                <w:sz w:val="20"/>
                <w:szCs w:val="20"/>
              </w:rPr>
              <w:t xml:space="preserve">12,863</w:t>
            </w:r>
          </w:p>
        </w:tc>
        <w:tc>
          <w:tcPr>
            <w:tcW w:type="dxa" w:w="1373"/>
            <w:vAlign w:val="center"/>
          </w:tcPr>
          <w:p>
            <w:pPr>
              <w:spacing w:before="20" w:after="20" w:line="260" w:lineRule="auto"/>
              <w:ind w:firstLine="0"/>
              <w:jc w:val="center"/>
            </w:pPr>
            <w:r>
              <w:rPr>
                <w:sz w:val="20"/>
                <w:szCs w:val="20"/>
              </w:rPr>
              <w:t xml:space="preserve">11,991</w:t>
            </w:r>
          </w:p>
        </w:tc>
        <w:tc>
          <w:tcPr>
            <w:tcW w:type="dxa" w:w="1373"/>
            <w:vAlign w:val="center"/>
          </w:tcPr>
          <w:p>
            <w:pPr>
              <w:spacing w:before="20" w:after="20" w:line="260" w:lineRule="auto"/>
              <w:ind w:firstLine="0"/>
              <w:jc w:val="center"/>
            </w:pPr>
            <w:r>
              <w:rPr>
                <w:sz w:val="20"/>
                <w:szCs w:val="20"/>
              </w:rPr>
              <w:t xml:space="preserve">12,849</w:t>
            </w:r>
          </w:p>
        </w:tc>
        <w:tc>
          <w:tcPr>
            <w:tcW w:type="dxa" w:w="1160"/>
            <w:vAlign w:val="center"/>
          </w:tcPr>
          <w:p>
            <w:pPr>
              <w:spacing w:before="20" w:after="20" w:line="260" w:lineRule="auto"/>
              <w:ind w:firstLine="0"/>
              <w:jc w:val="center"/>
            </w:pPr>
            <w:r>
              <w:rPr>
                <w:sz w:val="20"/>
                <w:szCs w:val="20"/>
              </w:rPr>
              <w:t xml:space="preserve">221,782</w:t>
            </w:r>
          </w:p>
        </w:tc>
        <w:tc>
          <w:tcPr>
            <w:tcW w:type="dxa" w:w="1160"/>
            <w:vAlign w:val="center"/>
          </w:tcPr>
          <w:p>
            <w:pPr>
              <w:spacing w:before="20" w:after="20" w:line="260" w:lineRule="auto"/>
              <w:ind w:firstLine="0"/>
              <w:jc w:val="center"/>
            </w:pPr>
            <w:r>
              <w:rPr>
                <w:sz w:val="20"/>
                <w:szCs w:val="20"/>
              </w:rPr>
              <w:t xml:space="preserve">215,824</w:t>
            </w:r>
          </w:p>
        </w:tc>
        <w:tc>
          <w:tcPr>
            <w:tcW w:type="dxa" w:w="1164"/>
            <w:vAlign w:val="center"/>
          </w:tcPr>
          <w:p>
            <w:pPr>
              <w:spacing w:before="20" w:after="20" w:line="260" w:lineRule="auto"/>
              <w:ind w:firstLine="0"/>
              <w:jc w:val="center"/>
            </w:pPr>
            <w:r>
              <w:rPr>
                <w:sz w:val="20"/>
                <w:szCs w:val="20"/>
              </w:rPr>
              <w:t xml:space="preserve">222,526</w:t>
            </w:r>
          </w:p>
        </w:tc>
      </w:tr>
      <w:tr>
        <w:trPr>
          <w:cantSplit/>
        </w:trPr>
        <w:tc>
          <w:tcPr>
            <w:tcW w:type="dxa" w:w="1468"/>
            <w:vAlign w:val="center"/>
          </w:tcPr>
          <w:p>
            <w:pPr>
              <w:spacing w:before="20" w:after="20" w:line="260" w:lineRule="auto"/>
              <w:ind w:firstLine="0"/>
              <w:jc w:val="left"/>
            </w:pPr>
            <w:r>
              <w:rPr>
                <w:sz w:val="20"/>
                <w:szCs w:val="20"/>
              </w:rPr>
              <w:t xml:space="preserve">Random Forest</w:t>
            </w:r>
          </w:p>
        </w:tc>
        <w:tc>
          <w:tcPr>
            <w:tcW w:type="dxa" w:w="1373"/>
            <w:vAlign w:val="center"/>
          </w:tcPr>
          <w:p>
            <w:pPr>
              <w:spacing w:before="20" w:after="20" w:line="260" w:lineRule="auto"/>
              <w:ind w:firstLine="0"/>
              <w:jc w:val="center"/>
            </w:pPr>
            <w:r>
              <w:rPr>
                <w:sz w:val="20"/>
                <w:szCs w:val="20"/>
              </w:rPr>
              <w:t xml:space="preserve">13,623</w:t>
            </w:r>
          </w:p>
        </w:tc>
        <w:tc>
          <w:tcPr>
            <w:tcW w:type="dxa" w:w="1373"/>
            <w:vAlign w:val="center"/>
          </w:tcPr>
          <w:p>
            <w:pPr>
              <w:spacing w:before="20" w:after="20" w:line="260" w:lineRule="auto"/>
              <w:ind w:firstLine="0"/>
              <w:jc w:val="center"/>
            </w:pPr>
            <w:r>
              <w:rPr>
                <w:sz w:val="20"/>
                <w:szCs w:val="20"/>
              </w:rPr>
              <w:t xml:space="preserve">12,106</w:t>
            </w:r>
          </w:p>
        </w:tc>
        <w:tc>
          <w:tcPr>
            <w:tcW w:type="dxa" w:w="1373"/>
            <w:vAlign w:val="center"/>
          </w:tcPr>
          <w:p>
            <w:pPr>
              <w:spacing w:before="20" w:after="20" w:line="260" w:lineRule="auto"/>
              <w:ind w:firstLine="0"/>
              <w:jc w:val="center"/>
            </w:pPr>
            <w:r>
              <w:rPr>
                <w:sz w:val="20"/>
                <w:szCs w:val="20"/>
              </w:rPr>
              <w:t xml:space="preserve">13,177</w:t>
            </w:r>
          </w:p>
        </w:tc>
        <w:tc>
          <w:tcPr>
            <w:tcW w:type="dxa" w:w="1160"/>
            <w:vAlign w:val="center"/>
          </w:tcPr>
          <w:p>
            <w:pPr>
              <w:spacing w:before="20" w:after="20" w:line="260" w:lineRule="auto"/>
              <w:ind w:firstLine="0"/>
              <w:jc w:val="center"/>
            </w:pPr>
            <w:r>
              <w:rPr>
                <w:sz w:val="20"/>
                <w:szCs w:val="20"/>
              </w:rPr>
              <w:t xml:space="preserve">240,360</w:t>
            </w:r>
          </w:p>
        </w:tc>
        <w:tc>
          <w:tcPr>
            <w:tcW w:type="dxa" w:w="1160"/>
            <w:vAlign w:val="center"/>
          </w:tcPr>
          <w:p>
            <w:pPr>
              <w:spacing w:before="20" w:after="20" w:line="260" w:lineRule="auto"/>
              <w:ind w:firstLine="0"/>
              <w:jc w:val="center"/>
            </w:pPr>
            <w:r>
              <w:rPr>
                <w:sz w:val="20"/>
                <w:szCs w:val="20"/>
              </w:rPr>
              <w:t xml:space="preserve">219,203</w:t>
            </w:r>
          </w:p>
        </w:tc>
        <w:tc>
          <w:tcPr>
            <w:tcW w:type="dxa" w:w="1164"/>
            <w:vAlign w:val="center"/>
          </w:tcPr>
          <w:p>
            <w:pPr>
              <w:spacing w:before="20" w:after="20" w:line="260" w:lineRule="auto"/>
              <w:ind w:firstLine="0"/>
              <w:jc w:val="center"/>
            </w:pPr>
            <w:r>
              <w:rPr>
                <w:sz w:val="20"/>
                <w:szCs w:val="20"/>
              </w:rPr>
              <w:t xml:space="preserve">233,334</w:t>
            </w:r>
          </w:p>
        </w:tc>
      </w:tr>
      <w:tr>
        <w:trPr>
          <w:cantSplit/>
        </w:trPr>
        <w:tc>
          <w:tcPr>
            <w:tcW w:type="dxa" w:w="1468"/>
            <w:vAlign w:val="center"/>
          </w:tcPr>
          <w:p>
            <w:pPr>
              <w:spacing w:before="20" w:after="20" w:line="260" w:lineRule="auto"/>
              <w:ind w:firstLine="0"/>
              <w:jc w:val="left"/>
            </w:pPr>
            <w:r>
              <w:rPr>
                <w:sz w:val="20"/>
                <w:szCs w:val="20"/>
              </w:rPr>
              <w:t xml:space="preserve">Seasonal Naive</w:t>
            </w:r>
          </w:p>
        </w:tc>
        <w:tc>
          <w:tcPr>
            <w:tcW w:type="dxa" w:w="1373"/>
            <w:vAlign w:val="center"/>
          </w:tcPr>
          <w:p>
            <w:pPr>
              <w:spacing w:before="20" w:after="20" w:line="260" w:lineRule="auto"/>
              <w:ind w:firstLine="0"/>
              <w:jc w:val="center"/>
            </w:pPr>
            <w:r>
              <w:rPr>
                <w:sz w:val="20"/>
                <w:szCs w:val="20"/>
              </w:rPr>
              <w:t xml:space="preserve">16,926</w:t>
            </w:r>
          </w:p>
        </w:tc>
        <w:tc>
          <w:tcPr>
            <w:tcW w:type="dxa" w:w="1373"/>
            <w:vAlign w:val="center"/>
          </w:tcPr>
          <w:p>
            <w:pPr>
              <w:spacing w:before="20" w:after="20" w:line="260" w:lineRule="auto"/>
              <w:ind w:firstLine="0"/>
              <w:jc w:val="center"/>
            </w:pPr>
            <w:r>
              <w:rPr>
                <w:sz w:val="20"/>
                <w:szCs w:val="20"/>
              </w:rPr>
              <w:t xml:space="preserve">16,259</w:t>
            </w:r>
          </w:p>
        </w:tc>
        <w:tc>
          <w:tcPr>
            <w:tcW w:type="dxa" w:w="1373"/>
            <w:vAlign w:val="center"/>
          </w:tcPr>
          <w:p>
            <w:pPr>
              <w:spacing w:before="20" w:after="20" w:line="260" w:lineRule="auto"/>
              <w:ind w:firstLine="0"/>
              <w:jc w:val="center"/>
            </w:pPr>
            <w:r>
              <w:rPr>
                <w:sz w:val="20"/>
                <w:szCs w:val="20"/>
              </w:rPr>
              <w:t xml:space="preserve">13,968</w:t>
            </w:r>
          </w:p>
        </w:tc>
        <w:tc>
          <w:tcPr>
            <w:tcW w:type="dxa" w:w="1160"/>
            <w:vAlign w:val="center"/>
          </w:tcPr>
          <w:p>
            <w:pPr>
              <w:spacing w:before="20" w:after="20" w:line="260" w:lineRule="auto"/>
              <w:ind w:firstLine="0"/>
              <w:jc w:val="center"/>
            </w:pPr>
            <w:r>
              <w:rPr>
                <w:sz w:val="20"/>
                <w:szCs w:val="20"/>
              </w:rPr>
              <w:t xml:space="preserve">294,468</w:t>
            </w:r>
          </w:p>
        </w:tc>
        <w:tc>
          <w:tcPr>
            <w:tcW w:type="dxa" w:w="1160"/>
            <w:vAlign w:val="center"/>
          </w:tcPr>
          <w:p>
            <w:pPr>
              <w:spacing w:before="20" w:after="20" w:line="260" w:lineRule="auto"/>
              <w:ind w:firstLine="0"/>
              <w:jc w:val="center"/>
            </w:pPr>
            <w:r>
              <w:rPr>
                <w:sz w:val="20"/>
                <w:szCs w:val="20"/>
              </w:rPr>
              <w:t xml:space="preserve">319,910</w:t>
            </w:r>
          </w:p>
        </w:tc>
        <w:tc>
          <w:tcPr>
            <w:tcW w:type="dxa" w:w="1164"/>
            <w:vAlign w:val="center"/>
          </w:tcPr>
          <w:p>
            <w:pPr>
              <w:spacing w:before="20" w:after="20" w:line="260" w:lineRule="auto"/>
              <w:ind w:firstLine="0"/>
              <w:jc w:val="center"/>
            </w:pPr>
            <w:r>
              <w:rPr>
                <w:sz w:val="20"/>
                <w:szCs w:val="20"/>
              </w:rPr>
              <w:t xml:space="preserve">266,721</w:t>
            </w:r>
          </w:p>
        </w:tc>
      </w:tr>
      <w:tr>
        <w:trPr>
          <w:cantSplit/>
        </w:trPr>
        <w:tc>
          <w:tcPr>
            <w:tcW w:type="dxa" w:w="1468"/>
            <w:vAlign w:val="center"/>
          </w:tcPr>
          <w:p>
            <w:pPr>
              <w:spacing w:before="20" w:after="20" w:line="260" w:lineRule="auto"/>
              <w:ind w:firstLine="0"/>
              <w:jc w:val="left"/>
            </w:pPr>
            <w:r>
              <w:rPr>
                <w:sz w:val="20"/>
                <w:szCs w:val="20"/>
              </w:rPr>
              <w:t xml:space="preserve">Ridge Regression</w:t>
            </w:r>
          </w:p>
        </w:tc>
        <w:tc>
          <w:tcPr>
            <w:tcW w:type="dxa" w:w="1373"/>
            <w:vAlign w:val="center"/>
          </w:tcPr>
          <w:p>
            <w:pPr>
              <w:spacing w:before="20" w:after="20" w:line="260" w:lineRule="auto"/>
              <w:ind w:firstLine="0"/>
              <w:jc w:val="center"/>
            </w:pPr>
            <w:r>
              <w:rPr>
                <w:sz w:val="20"/>
                <w:szCs w:val="20"/>
              </w:rPr>
              <w:t xml:space="preserve">18,981</w:t>
            </w:r>
          </w:p>
        </w:tc>
        <w:tc>
          <w:tcPr>
            <w:tcW w:type="dxa" w:w="1373"/>
            <w:vAlign w:val="center"/>
          </w:tcPr>
          <w:p>
            <w:pPr>
              <w:spacing w:before="20" w:after="20" w:line="260" w:lineRule="auto"/>
              <w:ind w:firstLine="0"/>
              <w:jc w:val="center"/>
            </w:pPr>
            <w:r>
              <w:rPr>
                <w:sz w:val="20"/>
                <w:szCs w:val="20"/>
              </w:rPr>
              <w:t xml:space="preserve">16,397</w:t>
            </w:r>
          </w:p>
        </w:tc>
        <w:tc>
          <w:tcPr>
            <w:tcW w:type="dxa" w:w="1373"/>
            <w:vAlign w:val="center"/>
          </w:tcPr>
          <w:p>
            <w:pPr>
              <w:spacing w:before="20" w:after="20" w:line="260" w:lineRule="auto"/>
              <w:ind w:firstLine="0"/>
              <w:jc w:val="center"/>
            </w:pPr>
            <w:r>
              <w:rPr>
                <w:sz w:val="20"/>
                <w:szCs w:val="20"/>
              </w:rPr>
              <w:t xml:space="preserve">16,048</w:t>
            </w:r>
          </w:p>
        </w:tc>
        <w:tc>
          <w:tcPr>
            <w:tcW w:type="dxa" w:w="1160"/>
            <w:vAlign w:val="center"/>
          </w:tcPr>
          <w:p>
            <w:pPr>
              <w:spacing w:before="20" w:after="20" w:line="260" w:lineRule="auto"/>
              <w:ind w:firstLine="0"/>
              <w:jc w:val="center"/>
            </w:pPr>
            <w:r>
              <w:rPr>
                <w:sz w:val="20"/>
                <w:szCs w:val="20"/>
              </w:rPr>
              <w:t xml:space="preserve">296,199</w:t>
            </w:r>
          </w:p>
        </w:tc>
        <w:tc>
          <w:tcPr>
            <w:tcW w:type="dxa" w:w="1160"/>
            <w:vAlign w:val="center"/>
          </w:tcPr>
          <w:p>
            <w:pPr>
              <w:spacing w:before="20" w:after="20" w:line="260" w:lineRule="auto"/>
              <w:ind w:firstLine="0"/>
              <w:jc w:val="center"/>
            </w:pPr>
            <w:r>
              <w:rPr>
                <w:sz w:val="20"/>
                <w:szCs w:val="20"/>
              </w:rPr>
              <w:t xml:space="preserve">246,455</w:t>
            </w:r>
          </w:p>
        </w:tc>
        <w:tc>
          <w:tcPr>
            <w:tcW w:type="dxa" w:w="1164"/>
            <w:vAlign w:val="center"/>
          </w:tcPr>
          <w:p>
            <w:pPr>
              <w:spacing w:before="20" w:after="20" w:line="260" w:lineRule="auto"/>
              <w:ind w:firstLine="0"/>
              <w:jc w:val="center"/>
            </w:pPr>
            <w:r>
              <w:rPr>
                <w:sz w:val="20"/>
                <w:szCs w:val="20"/>
              </w:rPr>
              <w:t xml:space="preserve">242,967</w:t>
            </w:r>
          </w:p>
        </w:tc>
      </w:tr>
    </w:tbl>
    <w:p>
      <w:pPr>
        <w:spacing w:before="40" w:after="160"/>
        <w:ind w:firstLine="0"/>
      </w:pPr>
      <w:r>
        <w:rPr>
          <w:i/>
          <w:sz w:val="22"/>
          <w:szCs w:val="22"/>
        </w:rPr>
        <w:t xml:space="preserve">Nguồn: REPORT_READY/tables/06_rolling_cv_metrics.csv. Lần 1: 13/06/2017–28/06/2017; lần 2: 29/06/2017–14/07/2017; lần 3: 15/07/2017–30/07/2017. Số dòng huấn luyện của XGBoost, LightGBM và Ridge: 2.575.452; 2.603.964; 2.632.476; Random Forest: 600.000 ở cả ba lần.</w:t>
      </w:r>
    </w:p>
    <w:p>
      <w:pPr>
        <w:keepLines w:val="0"/>
        <w:spacing w:after="120"/>
        <w:ind w:firstLine="567"/>
      </w:pPr>
      <w:r>
        <w:t xml:space="preserve">Về RMSE, XGBoost cũng thấp nhất ở cả ba lần kiểm định (219,224; 212,898; 220,270), với khoảng cách so với LightGBM lần lượt là 2,558; 2,926 và 2,256. Khoảng cách WAPE giữa hai mô hình tăng cường cũng dao động trong một biên hẹp: 0,470 điểm phần trăm ở lần 1, 0,643 ở lần 2 và 0,322 ở lần 3. Việc hai thước đo chính cùng chỉ về một mô hình ở mọi cửa sổ làm cho lựa chọn XGBoost ít phụ thuộc vào thước đo xếp hạng hơn: nếu quy tắc dựa trên RMSE thay vì WAPE, mô hình được chọn vẫn không đổi. Random Forest có RMSE dao động mạnh hơn nhiều (từ 219,203 đến 240,360), phù hợp với độ lệch chuẩn RMSE lớn đã nêu ở Mục 4.2. Đối với hai phương pháp đơn giản, Ridge có RMSE cao hơn Seasonal Naive ở lần 1 nhưng thấp hơn ở lần 2 và lần 3, cho thấy thứ tự giữa chúng theo RMSE không ổn định dù thứ tự theo WAPE được giữ nguyên.</w:t>
      </w:r>
    </w:p>
    <w:p>
      <w:pPr>
        <w:keepLines w:val="0"/>
        <w:spacing w:after="120"/>
        <w:ind w:firstLine="567"/>
      </w:pPr>
      <w:r>
        <w:t xml:space="preserve">Hình 4.2 minh họa trực quan diễn biến WAPE qua ba lần kiểm định. Ba đường của XGBoost, LightGBM và Random Forest gần như song song: cùng giảm ở lần 2 rồi tăng trở lại ở lần 3, với đường XGBoost nằm thấp nhất ở mọi điểm. Sự đồng biến này gợi ý phần lớn biến động giữa các lần đến từ đặc điểm của giai đoạn hơn là từ mô hình. Ngược lại, hai đường của Seasonal Naive và Ridge có hình dạng khác hẳn: cả hai giảm dần từ lần 1 đến lần 3, gần chạm nhau ở lần 2, và đường Seasonal Naive giảm mạnh ở lần 3 đến mức tiến sát cụm mô hình cây.</w:t>
      </w:r>
    </w:p>
    <w:p>
      <w:pPr>
        <w:jc w:val="center"/>
      </w:pPr>
      <w:r>
        <w:drawing>
          <wp:inline xmlns:a="http://schemas.openxmlformats.org/drawingml/2006/main" xmlns:pic="http://schemas.openxmlformats.org/drawingml/2006/picture">
            <wp:extent cx="5580000" cy="2992173"/>
            <wp:docPr id="5006" name="Picture 5006"/>
            <wp:cNvGraphicFramePr>
              <a:graphicFrameLocks noChangeAspect="1"/>
            </wp:cNvGraphicFramePr>
            <a:graphic>
              <a:graphicData uri="http://schemas.openxmlformats.org/drawingml/2006/picture">
                <pic:pic>
                  <pic:nvPicPr>
                    <pic:cNvPr id="0" name="F07_fold_stability_783.png"/>
                    <pic:cNvPicPr/>
                  </pic:nvPicPr>
                  <pic:blipFill>
                    <a:blip r:embed="rId105"/>
                    <a:stretch>
                      <a:fillRect/>
                    </a:stretch>
                  </pic:blipFill>
                  <pic:spPr>
                    <a:xfrm>
                      <a:off x="0" y="0"/>
                      <a:ext cx="5580000" cy="2992173"/>
                    </a:xfrm>
                    <a:prstGeom prst="rect"/>
                  </pic:spPr>
                </pic:pic>
              </a:graphicData>
            </a:graphic>
          </wp:inline>
        </w:drawing>
      </w:r>
    </w:p>
    <w:p>
      <w:pPr>
        <w:keepNext w:val="0"/>
        <w:spacing w:after="160"/>
        <w:ind w:firstLine="0"/>
        <w:jc w:val="center"/>
      </w:pPr>
      <w:r>
        <w:t xml:space="preserve">Hình 4.2. Diễn biến WAPE của năm mô hình qua ba lần kiểm định chéo cuốn chiếu</w:t>
      </w:r>
    </w:p>
    <w:p>
      <w:pPr>
        <w:spacing w:before="0" w:after="160"/>
        <w:ind w:firstLine="0"/>
        <w:jc w:val="center"/>
      </w:pPr>
      <w:r>
        <w:rPr>
          <w:i/>
          <w:sz w:val="22"/>
          <w:szCs w:val="22"/>
        </w:rPr>
        <w:t xml:space="preserve">Nguồn: REPORT_READY/figures/F07_fold_stability.png</w:t>
      </w:r>
    </w:p>
    <w:p>
      <w:pPr>
        <w:keepLines w:val="0"/>
        <w:spacing w:after="120"/>
        <w:ind w:firstLine="567"/>
      </w:pPr>
      <w:r>
        <w:t xml:space="preserve">Diễn biến của hai phương pháp đơn giản cho thấy mức độ nhạy của chúng với giai đoạn đánh giá. Ở lần 2, WAPE của Seasonal Naive (16,259%) chỉ thấp hơn Ridge (16,397%) 0,138 điểm phần trăm, còn ở lần 3, Seasonal Naive (13,968%) chỉ cao hơn Random Forest (13,177%) khoảng 0,791 điểm phần trăm. Biên độ dao động WAPE giữa lần tốt nhất và lần kém nhất của Seasonal Naive là 2,958 điểm phần trăm và của Ridge là 2,933 điểm phần trăm, lớn hơn rõ so với 1,179 của XGBoost, 0,872 của LightGBM và 1,517 của Random Forest. Với Seasonal Naive, độ nhạy này có thể liên quan đến việc mẫu hình của tuần ngay trước gốc dự báo có còn đại diện cho các tuần đang dự báo hay không; tuy nhiên, luận văn không phân tích nhân tố chi tiết cho từng cửa sổ nên không khẳng định nguyên nhân.</w:t>
      </w:r>
    </w:p>
    <w:p>
      <w:pPr>
        <w:pStyle w:val="Heading3"/>
        <w:keepNext/>
      </w:pPr>
      <w:r>
        <w:t xml:space="preserve">4.3.2. Độ lệch chuẩn và giới hạn của suy luận thống kê</w:t>
      </w:r>
    </w:p>
    <w:p>
      <w:pPr>
        <w:keepLines w:val="0"/>
        <w:spacing w:after="120"/>
        <w:ind w:firstLine="567"/>
      </w:pPr>
      <w:r>
        <w:t xml:space="preserve">Quy trình lưu độ lệch chuẩn của WAPE, MAE và RMSE giữa các lần kiểm định. Với K lần kiểm định và WAPE(m,k) là sai số của mô hình m ở lần k, trung bình và độ lệch chuẩn mẫu được xác định theo công thức (4.3); tính lại từ Bảng 4.3 cho thấy tệp 05_model_cv_summary.csv dùng mẫu số K − 1 (ví dụ XGBoost cho độ lệch chuẩn 0,646 điểm phần trăm). Theo thước đo này, LightGBM có độ phân tán WAPE thấp nhất (0,499), tiếp theo là XGBoost (0,646), Random Forest (0,779), Seasonal Naive (1,552) và Ridge (1,602). Mô hình được chọn vì thế có sai số trung bình thấp nhất nhưng không phải là mô hình ổn định nhất; độ phân tán của XGBoost chủ yếu đến từ lần 2, khi WAPE của nó giảm xuống 11,348%, tức biến động theo hướng thuận lợi chứ không phải một cửa sổ kém bất thường.</w:t>
      </w:r>
    </w:p>
    <w:p>
      <w:pPr>
        <w:tabs>
          <w:tab w:val="center" w:pos="4535"/>
          <w:tab w:val="right" w:pos="9071"/>
        </w:tabs>
        <w:spacing w:before="60" w:after="60"/>
        <w:ind w:firstLine="0"/>
      </w:pPr>
      <w:r>
        <w:tab/>
      </w:r>
      <m:oMath xmlns:a="http://schemas.openxmlformats.org/drawingml/2006/main" xmlns:pic="http://schemas.openxmlformats.org/drawingml/2006/picture">
        <m:sSub>
          <m:e>
            <m:bar>
              <m:barPr>
                <m:pos m:val="top"/>
              </m:barPr>
              <m:e>
                <m:r>
                  <m:rPr>
                    <m:sty m:val="p"/>
                  </m:rPr>
                  <m:t>W</m:t>
                </m:r>
                <m:r>
                  <m:rPr>
                    <m:sty m:val="p"/>
                  </m:rPr>
                  <m:t>A</m:t>
                </m:r>
                <m:r>
                  <m:rPr>
                    <m:sty m:val="p"/>
                  </m:rPr>
                  <m:t>P</m:t>
                </m:r>
                <m:r>
                  <m:rPr>
                    <m:sty m:val="p"/>
                  </m:rPr>
                  <m:t>E</m:t>
                </m:r>
              </m:e>
            </m:bar>
          </m:e>
          <m:sub>
            <m:r>
              <m:t>m</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r>
                  <m:rPr>
                    <m:sty m:val="p"/>
                  </m:rPr>
                  <m:t>W</m:t>
                </m:r>
                <m:r>
                  <m:rPr>
                    <m:sty m:val="p"/>
                  </m:rPr>
                  <m:t>A</m:t>
                </m:r>
                <m:r>
                  <m:rPr>
                    <m:sty m:val="p"/>
                  </m:rPr>
                  <m:t>P</m:t>
                </m:r>
                <m:r>
                  <m:rPr>
                    <m:sty m:val="p"/>
                  </m:rPr>
                  <m:t>E</m:t>
                </m:r>
              </m:e>
              <m:sub>
                <m:r>
                  <m:t>m</m:t>
                </m:r>
                <m:r>
                  <m:rPr>
                    <m:sty m:val="p"/>
                  </m:rPr>
                  <m:t>,</m:t>
                </m:r>
                <m:r>
                  <m:t>k</m:t>
                </m:r>
              </m:sub>
            </m:sSub>
          </m:e>
        </m:nary>
        <m:r>
          <m:rPr>
            <m:sty m:val="p"/>
          </m:rPr>
          <m:t>,</m:t>
        </m:r>
        <m:r>
          <m:t>  </m:t>
        </m:r>
        <m:sSub>
          <m:e>
            <m:r>
              <m:t>s</m:t>
            </m:r>
          </m:e>
          <m:sub>
            <m:r>
              <m:t>m</m:t>
            </m:r>
          </m:sub>
        </m:sSub>
        <m:r>
          <m:rPr>
            <m:sty m:val="p"/>
          </m:rPr>
          <m:t>=</m:t>
        </m:r>
        <m:rad>
          <m:radPr>
            <m:degHide m:val="on"/>
          </m:radPr>
          <m:deg/>
          <m:e>
            <m:f>
              <m:fPr>
                <m:type m:val="bar"/>
              </m:fPr>
              <m:num>
                <m:r>
                  <m:t>1</m:t>
                </m:r>
              </m:num>
              <m:den>
                <m:r>
                  <m:t>K</m:t>
                </m:r>
                <m:r>
                  <m:rPr>
                    <m:sty m:val="p"/>
                  </m:rPr>
                  <m:t>−</m:t>
                </m:r>
                <m:r>
                  <m:t>1</m:t>
                </m:r>
              </m:den>
            </m:f>
            <m:nary>
              <m:naryPr>
                <m:chr m:val="∑"/>
                <m:limLoc m:val="undOvr"/>
                <m:subHide m:val="off"/>
                <m:supHide m:val="off"/>
              </m:naryPr>
              <m:sub>
                <m:r>
                  <m:t>k</m:t>
                </m:r>
                <m:r>
                  <m:rPr>
                    <m:sty m:val="p"/>
                  </m:rPr>
                  <m:t>=</m:t>
                </m:r>
                <m:r>
                  <m:t>1</m:t>
                </m:r>
              </m:sub>
              <m:sup>
                <m:r>
                  <m:t>K</m:t>
                </m:r>
              </m:sup>
              <m:e>
                <m:sSup>
                  <m:e>
                    <m:d>
                      <m:dPr>
                        <m:begChr m:val="("/>
                        <m:sepChr m:val=""/>
                        <m:endChr m:val=")"/>
                        <m:grow/>
                      </m:dPr>
                      <m:e>
                        <m:sSub>
                          <m:e>
                            <m:r>
                              <m:rPr>
                                <m:sty m:val="p"/>
                              </m:rPr>
                              <m:t>W</m:t>
                            </m:r>
                            <m:r>
                              <m:rPr>
                                <m:sty m:val="p"/>
                              </m:rPr>
                              <m:t>A</m:t>
                            </m:r>
                            <m:r>
                              <m:rPr>
                                <m:sty m:val="p"/>
                              </m:rPr>
                              <m:t>P</m:t>
                            </m:r>
                            <m:r>
                              <m:rPr>
                                <m:sty m:val="p"/>
                              </m:rPr>
                              <m:t>E</m:t>
                            </m:r>
                          </m:e>
                          <m:sub>
                            <m:r>
                              <m:t>m</m:t>
                            </m:r>
                            <m:r>
                              <m:rPr>
                                <m:sty m:val="p"/>
                              </m:rPr>
                              <m:t>,</m:t>
                            </m:r>
                            <m:r>
                              <m:t>k</m:t>
                            </m:r>
                          </m:sub>
                        </m:sSub>
                        <m:r>
                          <m:rPr>
                            <m:sty m:val="p"/>
                          </m:rPr>
                          <m:t>−</m:t>
                        </m:r>
                        <m:sSub>
                          <m:e>
                            <m:bar>
                              <m:barPr>
                                <m:pos m:val="top"/>
                              </m:barPr>
                              <m:e>
                                <m:r>
                                  <m:rPr>
                                    <m:sty m:val="p"/>
                                  </m:rPr>
                                  <m:t>W</m:t>
                                </m:r>
                                <m:r>
                                  <m:rPr>
                                    <m:sty m:val="p"/>
                                  </m:rPr>
                                  <m:t>A</m:t>
                                </m:r>
                                <m:r>
                                  <m:rPr>
                                    <m:sty m:val="p"/>
                                  </m:rPr>
                                  <m:t>P</m:t>
                                </m:r>
                                <m:r>
                                  <m:rPr>
                                    <m:sty m:val="p"/>
                                  </m:rPr>
                                  <m:t>E</m:t>
                                </m:r>
                              </m:e>
                            </m:bar>
                          </m:e>
                          <m:sub>
                            <m:r>
                              <m:t>m</m:t>
                            </m:r>
                          </m:sub>
                        </m:sSub>
                      </m:e>
                    </m:d>
                  </m:e>
                  <m:sup>
                    <m:r>
                      <m:t>2</m:t>
                    </m:r>
                  </m:sup>
                </m:sSup>
              </m:e>
            </m:nary>
          </m:e>
        </m:rad>
      </m:oMath>
      <w:r>
        <w:tab/>
        <w:t>(4.3)</w:t>
      </w:r>
    </w:p>
    <w:p>
      <w:pPr>
        <w:keepLines w:val="0"/>
        <w:spacing w:after="120"/>
        <w:ind w:firstLine="567"/>
      </w:pPr>
      <w:r>
        <w:t xml:space="preserve">Tuy vậy, với K = 3, bản thân s(m) là một ước lượng rất thô: chỉ một cửa sổ khác thường cũng đủ làm giá trị này thay đổi đáng kể, và ba giá trị không đủ để ước lượng phân phối sai số giữa các giai đoạn. Do đó, độ lệch chuẩn được đọc như tín hiệu định tính về tính nhất quán, không phải căn cứ kiểm định ý nghĩa thống kê (statistical significance); lần chạy không bao gồm kiểm định thống kê nào. Với cặp XGBoost – LightGBM, chênh lệch WAPE trung bình 0,478 điểm phần trăm nhỏ hơn độ lệch chuẩn của cả hai mô hình; dù XGBoost thắng ở cả ba lần, ba cặp quan sát không đủ để loại trừ khả năng thứ hạng đảo ngược khi thêm cửa sổ hoặc thay đổi giai đoạn. Ngược lại, khoảng cách giữa cụm mô hình cây và hai phương pháp đơn giản, ví dụ 2,749 điểm phần trăm giữa Random Forest và Seasonal Naive, gấp khoảng 3,5 lần độ lệch chuẩn lớn nhất trong cụm mô hình cây và được lặp lại ở cả ba lần, nên có cơ sở vững hơn dù vẫn chưa được kiểm định chính thức.</w:t>
      </w:r>
    </w:p>
    <w:p>
      <w:pPr>
        <w:keepLines w:val="0"/>
        <w:spacing w:after="120"/>
        <w:ind w:firstLine="567"/>
      </w:pPr>
      <w:r>
        <w:t xml:space="preserve">Một điểm cần lưu ý khác là ba cửa sổ kiểm định nằm liền kề nhau trong khoảng một tháng rưỡi của năm 2017 và dùng cửa sổ huấn luyện mở rộng, nên dữ liệu huấn luyện của các lần kiểm định chồng lấn phần lớn: số dòng huấn luyện chỉ tăng thêm 28.512 dòng, đúng bằng một cửa sổ, từ lần này sang lần sau. Các lần kiểm định vì thế không độc lập, và độ lệch chuẩn có thể thấp hơn biến động thực sự ở những mùa khác. Ngoài ra, cửa sổ lần 3 đồng thời là cửa sổ hiệu chỉnh của lớp dự báo xác suất, nên giai đoạn này đóng hai vai trò trong quy trình. Việc tăng số lần kiểm định và trải các gốc dự báo trên nhiều giai đoạn là cách trực tiếp để cải thiện độ tin cậy của thứ hạng; đây cũng là một trong các hạn chế về quy trình lựa chọn mô hình được thảo luận ở Chương 5.</w:t>
      </w:r>
    </w:p>
    <w:p>
      <w:pPr>
        <w:pStyle w:val="Heading3"/>
        <w:keepNext/>
      </w:pPr>
      <w:r>
        <w:t xml:space="preserve">4.3.3. Ý nghĩa quản trị của độ ổn định</w:t>
      </w:r>
    </w:p>
    <w:p>
      <w:pPr>
        <w:keepLines w:val="0"/>
        <w:spacing w:after="120"/>
        <w:ind w:firstLine="567"/>
      </w:pPr>
      <w:r>
        <w:t xml:space="preserve">Trong hệ thống bán lẻ, độ ổn định có giá trị quản trị vì kế hoạch bổ sung hàng và bố trí nhân sự được lập lặp lại theo chu kỳ. Người lập kế hoạch (planner) cần biết sai số có tăng mạnh trong một số giai đoạn hay không, vì chính những giai đoạn đó tạo ra thiếu hàng hoặc tồn đọng ngoài dự kiến. Kết quả ở Bảng 4.3 cho thấy, trong ba cửa sổ quan sát, WAPE của XGBoost không vượt quá 12,527%, trong khi Seasonal Naive có một cửa sổ lên tới 16,926% và Ridge 18,981%. Với người sử dụng, một mô hình có biên độ dao động nhỏ và thứ hạng không đổi cho phép thiết lập ngưỡng cảnh báo và mức tồn kho an toàn một cách nhất quán hơn; việc LightGBM có độ phân tán thấp hơn một chút cũng gợi ý rằng mô hình này phù hợp làm mô hình thách thức (challenger) được theo dõi song song.</w:t>
      </w:r>
    </w:p>
    <w:p>
      <w:pPr>
        <w:keepLines w:val="0"/>
        <w:spacing w:after="120"/>
        <w:ind w:firstLine="567"/>
      </w:pPr>
      <w:r>
        <w:t xml:space="preserve">Từ góc độ triển khai, kết quả gợi ý bảng điều khiển (dashboard) nên theo dõi đồng thời WAPE trượt (rolling WAPE), mức phân tán giữa các cửa sổ và các cảnh báo trôi dạt dữ liệu (data drift), thay vì chỉ lưu một điểm số độ chính xác cố định, phù hợp với yêu cầu giám sát liên tục hệ thống học máy trong vận hành (Sculley và cộng sự, 2015). Dashboard của lần chạy đã hiển thị kết quả kiểm định; theo dõi định kỳ trên dữ liệu mới là mở rộng cần thiết khi sử dụng thực tế. Kết quả trên tập kiểm tra cuối ở Mục 4.4 cung cấp thêm một cửa sổ quan sát để kiểm tra xem thứ tự ổn định trong kiểm định chéo có được duy trì hay không.</w:t>
      </w:r>
    </w:p>
    <w:p>
      <w:pPr>
        <w:pStyle w:val="Heading2"/>
        <w:keepNext/>
      </w:pPr>
      <w:r>
        <w:t xml:space="preserve">4.4. Kết quả trên tập kiểm tra cuối</w:t>
      </w:r>
    </w:p>
    <w:p>
      <w:pPr>
        <w:pStyle w:val="Heading3"/>
        <w:keepNext/>
      </w:pPr>
      <w:r>
        <w:t xml:space="preserve">4.4.1. Năm mô hình trên 16 ngày cuối</w:t>
      </w:r>
    </w:p>
    <w:p>
      <w:pPr>
        <w:keepLines w:val="0"/>
        <w:spacing w:after="120"/>
        <w:ind w:firstLine="567"/>
      </w:pPr>
      <w:r>
        <w:t xml:space="preserve">Tập kiểm tra cuối gồm 16 ngày từ 31/07/2017 đến 15/08/2017, tương ứng 28.512 quan sát chuỗi – ngày của 1.782 chuỗi cửa hàng × nhóm sản phẩm. Bốn mô hình học máy được huấn luyện lại trên mọi ngày trước 31/07/2017, bao gồm cả ba cửa sổ kiểm định: XGBoost, LightGBM và Ridge dùng toàn bộ 2.660.988 dòng, còn Random Forest dùng mẫu ngẫu nhiên 600.000 dòng; sau đó các mô hình được đánh giá một lần duy nhất trên giai đoạn này. Bảng 4.4 trình bày đầy đủ năm thước đo, thời gian và số dòng huấn luyện ghi nhận trong tệp 07_final_holdout_metrics.csv. Theo WAPE, thứ hạng là XGBoost (14,327%), LightGBM (14,868%), Random Forest (16,181%), Seasonal Naive (20,665%) và Ridge Regression (21,160%). Thứ tự của cả năm mô hình được giữ nguyên so với kiểm định chéo, kể cả vị trí của Seasonal Naive trên Ridge.</w:t>
      </w:r>
    </w:p>
    <w:p>
      <w:pPr>
        <w:keepNext/>
        <w:spacing w:before="120" w:after="60"/>
        <w:ind w:firstLine="0"/>
        <w:jc w:val="center"/>
      </w:pPr>
      <w:r>
        <w:t xml:space="preserve">Bảng 4.4. Kết quả của năm mô hình trên tập kiểm tra cuối 16 ngày (31/07/2017–15/08/2017)</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315"/>
        <w:gridCol w:w="930"/>
        <w:gridCol w:w="930"/>
        <w:gridCol w:w="930"/>
        <w:gridCol w:w="930"/>
        <w:gridCol w:w="930"/>
        <w:gridCol w:w="1708"/>
        <w:gridCol w:w="1398"/>
      </w:tblGrid>
      <w:tr>
        <w:trPr>
          <w:tblHeader/>
          <w:cantSplit/>
        </w:trPr>
        <w:tc>
          <w:tcPr>
            <w:tcW w:type="dxa" w:w="1315"/>
            <w:shd w:val="clear" w:color="auto" w:fill="D9E2F3"/>
            <w:vAlign w:val="center"/>
          </w:tcPr>
          <w:p>
            <w:pPr>
              <w:spacing w:before="20" w:after="20" w:line="260" w:lineRule="auto"/>
              <w:ind w:firstLine="0"/>
              <w:jc w:val="center"/>
            </w:pPr>
            <w:r>
              <w:rPr>
                <w:b/>
                <w:sz w:val="20"/>
                <w:szCs w:val="20"/>
              </w:rPr>
              <w:t xml:space="preserve">Mô hình</w:t>
            </w:r>
          </w:p>
        </w:tc>
        <w:tc>
          <w:tcPr>
            <w:tcW w:type="dxa" w:w="930"/>
            <w:shd w:val="clear" w:color="auto" w:fill="D9E2F3"/>
            <w:vAlign w:val="center"/>
          </w:tcPr>
          <w:p>
            <w:pPr>
              <w:spacing w:before="20" w:after="20" w:line="260" w:lineRule="auto"/>
              <w:ind w:firstLine="0"/>
              <w:jc w:val="center"/>
            </w:pPr>
            <w:r>
              <w:rPr>
                <w:b/>
                <w:sz w:val="20"/>
                <w:szCs w:val="20"/>
              </w:rPr>
              <w:t xml:space="preserve">WAPE (%)</w:t>
            </w:r>
          </w:p>
        </w:tc>
        <w:tc>
          <w:tcPr>
            <w:tcW w:type="dxa" w:w="930"/>
            <w:shd w:val="clear" w:color="auto" w:fill="D9E2F3"/>
            <w:vAlign w:val="center"/>
          </w:tcPr>
          <w:p>
            <w:pPr>
              <w:spacing w:before="20" w:after="20" w:line="260" w:lineRule="auto"/>
              <w:ind w:firstLine="0"/>
              <w:jc w:val="center"/>
            </w:pPr>
            <w:r>
              <w:rPr>
                <w:b/>
                <w:sz w:val="20"/>
                <w:szCs w:val="20"/>
              </w:rPr>
              <w:t xml:space="preserve">MAE</w:t>
            </w:r>
          </w:p>
        </w:tc>
        <w:tc>
          <w:tcPr>
            <w:tcW w:type="dxa" w:w="930"/>
            <w:shd w:val="clear" w:color="auto" w:fill="D9E2F3"/>
            <w:vAlign w:val="center"/>
          </w:tcPr>
          <w:p>
            <w:pPr>
              <w:spacing w:before="20" w:after="20" w:line="260" w:lineRule="auto"/>
              <w:ind w:firstLine="0"/>
              <w:jc w:val="center"/>
            </w:pPr>
            <w:r>
              <w:rPr>
                <w:b/>
                <w:sz w:val="20"/>
                <w:szCs w:val="20"/>
              </w:rPr>
              <w:t xml:space="preserve">RMSE</w:t>
            </w:r>
          </w:p>
        </w:tc>
        <w:tc>
          <w:tcPr>
            <w:tcW w:type="dxa" w:w="930"/>
            <w:shd w:val="clear" w:color="auto" w:fill="D9E2F3"/>
            <w:vAlign w:val="center"/>
          </w:tcPr>
          <w:p>
            <w:pPr>
              <w:spacing w:before="20" w:after="20" w:line="260" w:lineRule="auto"/>
              <w:ind w:firstLine="0"/>
              <w:jc w:val="center"/>
            </w:pPr>
            <w:r>
              <w:rPr>
                <w:b/>
                <w:sz w:val="20"/>
                <w:szCs w:val="20"/>
              </w:rPr>
              <w:t xml:space="preserve">sMAPE</w:t>
            </w:r>
          </w:p>
        </w:tc>
        <w:tc>
          <w:tcPr>
            <w:tcW w:type="dxa" w:w="930"/>
            <w:shd w:val="clear" w:color="auto" w:fill="D9E2F3"/>
            <w:vAlign w:val="center"/>
          </w:tcPr>
          <w:p>
            <w:pPr>
              <w:spacing w:before="20" w:after="20" w:line="260" w:lineRule="auto"/>
              <w:ind w:firstLine="0"/>
              <w:jc w:val="center"/>
            </w:pPr>
            <w:r>
              <w:rPr>
                <w:b/>
                <w:sz w:val="20"/>
                <w:szCs w:val="20"/>
              </w:rPr>
              <w:t xml:space="preserve">RMSLE</w:t>
            </w:r>
          </w:p>
        </w:tc>
        <w:tc>
          <w:tcPr>
            <w:tcW w:type="dxa" w:w="1708"/>
            <w:shd w:val="clear" w:color="auto" w:fill="D9E2F3"/>
            <w:vAlign w:val="center"/>
          </w:tcPr>
          <w:p>
            <w:pPr>
              <w:spacing w:before="20" w:after="20" w:line="260" w:lineRule="auto"/>
              <w:ind w:firstLine="0"/>
              <w:jc w:val="center"/>
            </w:pPr>
            <w:r>
              <w:rPr>
                <w:b/>
                <w:sz w:val="20"/>
                <w:szCs w:val="20"/>
              </w:rPr>
              <w:t xml:space="preserve">Thời gian huấn luyện (giây)</w:t>
            </w:r>
          </w:p>
        </w:tc>
        <w:tc>
          <w:tcPr>
            <w:tcW w:type="dxa" w:w="1398"/>
            <w:shd w:val="clear" w:color="auto" w:fill="D9E2F3"/>
            <w:vAlign w:val="center"/>
          </w:tcPr>
          <w:p>
            <w:pPr>
              <w:spacing w:before="20" w:after="20" w:line="260" w:lineRule="auto"/>
              <w:ind w:firstLine="0"/>
              <w:jc w:val="center"/>
            </w:pPr>
            <w:r>
              <w:rPr>
                <w:b/>
                <w:sz w:val="20"/>
                <w:szCs w:val="20"/>
              </w:rPr>
              <w:t xml:space="preserve">Số dòng huấn luyện</w:t>
            </w:r>
          </w:p>
        </w:tc>
      </w:tr>
      <w:tr>
        <w:trPr>
          <w:cantSplit/>
        </w:trPr>
        <w:tc>
          <w:tcPr>
            <w:tcW w:type="dxa" w:w="1315"/>
            <w:vAlign w:val="center"/>
          </w:tcPr>
          <w:p>
            <w:pPr>
              <w:spacing w:before="20" w:after="20" w:line="260" w:lineRule="auto"/>
              <w:ind w:firstLine="0"/>
              <w:jc w:val="left"/>
            </w:pPr>
            <w:r>
              <w:rPr>
                <w:sz w:val="20"/>
                <w:szCs w:val="20"/>
              </w:rPr>
              <w:t xml:space="preserve">XGBoost</w:t>
            </w:r>
          </w:p>
        </w:tc>
        <w:tc>
          <w:tcPr>
            <w:tcW w:type="dxa" w:w="930"/>
            <w:vAlign w:val="center"/>
          </w:tcPr>
          <w:p>
            <w:pPr>
              <w:spacing w:before="20" w:after="20" w:line="260" w:lineRule="auto"/>
              <w:ind w:firstLine="0"/>
              <w:jc w:val="center"/>
            </w:pPr>
            <w:r>
              <w:rPr>
                <w:sz w:val="20"/>
                <w:szCs w:val="20"/>
              </w:rPr>
              <w:t xml:space="preserve">14,327</w:t>
            </w:r>
          </w:p>
        </w:tc>
        <w:tc>
          <w:tcPr>
            <w:tcW w:type="dxa" w:w="930"/>
            <w:vAlign w:val="center"/>
          </w:tcPr>
          <w:p>
            <w:pPr>
              <w:spacing w:before="20" w:after="20" w:line="260" w:lineRule="auto"/>
              <w:ind w:firstLine="0"/>
              <w:jc w:val="center"/>
            </w:pPr>
            <w:r>
              <w:rPr>
                <w:sz w:val="20"/>
                <w:szCs w:val="20"/>
              </w:rPr>
              <w:t xml:space="preserve">66,927</w:t>
            </w:r>
          </w:p>
        </w:tc>
        <w:tc>
          <w:tcPr>
            <w:tcW w:type="dxa" w:w="930"/>
            <w:vAlign w:val="center"/>
          </w:tcPr>
          <w:p>
            <w:pPr>
              <w:spacing w:before="20" w:after="20" w:line="260" w:lineRule="auto"/>
              <w:ind w:firstLine="0"/>
              <w:jc w:val="center"/>
            </w:pPr>
            <w:r>
              <w:rPr>
                <w:sz w:val="20"/>
                <w:szCs w:val="20"/>
              </w:rPr>
              <w:t xml:space="preserve">225,602</w:t>
            </w:r>
          </w:p>
        </w:tc>
        <w:tc>
          <w:tcPr>
            <w:tcW w:type="dxa" w:w="930"/>
            <w:vAlign w:val="center"/>
          </w:tcPr>
          <w:p>
            <w:pPr>
              <w:spacing w:before="20" w:after="20" w:line="260" w:lineRule="auto"/>
              <w:ind w:firstLine="0"/>
              <w:jc w:val="center"/>
            </w:pPr>
            <w:r>
              <w:rPr>
                <w:sz w:val="20"/>
                <w:szCs w:val="20"/>
              </w:rPr>
              <w:t xml:space="preserve">0,5423</w:t>
            </w:r>
          </w:p>
        </w:tc>
        <w:tc>
          <w:tcPr>
            <w:tcW w:type="dxa" w:w="930"/>
            <w:vAlign w:val="center"/>
          </w:tcPr>
          <w:p>
            <w:pPr>
              <w:spacing w:before="20" w:after="20" w:line="260" w:lineRule="auto"/>
              <w:ind w:firstLine="0"/>
              <w:jc w:val="center"/>
            </w:pPr>
            <w:r>
              <w:rPr>
                <w:sz w:val="20"/>
                <w:szCs w:val="20"/>
              </w:rPr>
              <w:t xml:space="preserve">0,5752</w:t>
            </w:r>
          </w:p>
        </w:tc>
        <w:tc>
          <w:tcPr>
            <w:tcW w:type="dxa" w:w="1708"/>
            <w:vAlign w:val="center"/>
          </w:tcPr>
          <w:p>
            <w:pPr>
              <w:spacing w:before="20" w:after="20" w:line="260" w:lineRule="auto"/>
              <w:ind w:firstLine="0"/>
              <w:jc w:val="center"/>
            </w:pPr>
            <w:r>
              <w:rPr>
                <w:sz w:val="20"/>
                <w:szCs w:val="20"/>
              </w:rPr>
              <w:t xml:space="preserve">55,7</w:t>
            </w:r>
          </w:p>
        </w:tc>
        <w:tc>
          <w:tcPr>
            <w:tcW w:type="dxa" w:w="1398"/>
            <w:vAlign w:val="center"/>
          </w:tcPr>
          <w:p>
            <w:pPr>
              <w:spacing w:before="20" w:after="20" w:line="260" w:lineRule="auto"/>
              <w:ind w:firstLine="0"/>
              <w:jc w:val="center"/>
            </w:pPr>
            <w:r>
              <w:rPr>
                <w:sz w:val="20"/>
                <w:szCs w:val="20"/>
              </w:rPr>
              <w:t xml:space="preserve">2.660.988</w:t>
            </w:r>
          </w:p>
        </w:tc>
      </w:tr>
      <w:tr>
        <w:trPr>
          <w:cantSplit/>
        </w:trPr>
        <w:tc>
          <w:tcPr>
            <w:tcW w:type="dxa" w:w="1315"/>
            <w:vAlign w:val="center"/>
          </w:tcPr>
          <w:p>
            <w:pPr>
              <w:spacing w:before="20" w:after="20" w:line="260" w:lineRule="auto"/>
              <w:ind w:firstLine="0"/>
              <w:jc w:val="left"/>
            </w:pPr>
            <w:r>
              <w:rPr>
                <w:sz w:val="20"/>
                <w:szCs w:val="20"/>
              </w:rPr>
              <w:t xml:space="preserve">LightGBM</w:t>
            </w:r>
          </w:p>
        </w:tc>
        <w:tc>
          <w:tcPr>
            <w:tcW w:type="dxa" w:w="930"/>
            <w:vAlign w:val="center"/>
          </w:tcPr>
          <w:p>
            <w:pPr>
              <w:spacing w:before="20" w:after="20" w:line="260" w:lineRule="auto"/>
              <w:ind w:firstLine="0"/>
              <w:jc w:val="center"/>
            </w:pPr>
            <w:r>
              <w:rPr>
                <w:sz w:val="20"/>
                <w:szCs w:val="20"/>
              </w:rPr>
              <w:t xml:space="preserve">14,868</w:t>
            </w:r>
          </w:p>
        </w:tc>
        <w:tc>
          <w:tcPr>
            <w:tcW w:type="dxa" w:w="930"/>
            <w:vAlign w:val="center"/>
          </w:tcPr>
          <w:p>
            <w:pPr>
              <w:spacing w:before="20" w:after="20" w:line="260" w:lineRule="auto"/>
              <w:ind w:firstLine="0"/>
              <w:jc w:val="center"/>
            </w:pPr>
            <w:r>
              <w:rPr>
                <w:sz w:val="20"/>
                <w:szCs w:val="20"/>
              </w:rPr>
              <w:t xml:space="preserve">69,453</w:t>
            </w:r>
          </w:p>
        </w:tc>
        <w:tc>
          <w:tcPr>
            <w:tcW w:type="dxa" w:w="930"/>
            <w:vAlign w:val="center"/>
          </w:tcPr>
          <w:p>
            <w:pPr>
              <w:spacing w:before="20" w:after="20" w:line="260" w:lineRule="auto"/>
              <w:ind w:firstLine="0"/>
              <w:jc w:val="center"/>
            </w:pPr>
            <w:r>
              <w:rPr>
                <w:sz w:val="20"/>
                <w:szCs w:val="20"/>
              </w:rPr>
              <w:t xml:space="preserve">225,479</w:t>
            </w:r>
          </w:p>
        </w:tc>
        <w:tc>
          <w:tcPr>
            <w:tcW w:type="dxa" w:w="930"/>
            <w:vAlign w:val="center"/>
          </w:tcPr>
          <w:p>
            <w:pPr>
              <w:spacing w:before="20" w:after="20" w:line="260" w:lineRule="auto"/>
              <w:ind w:firstLine="0"/>
              <w:jc w:val="center"/>
            </w:pPr>
            <w:r>
              <w:rPr>
                <w:sz w:val="20"/>
                <w:szCs w:val="20"/>
              </w:rPr>
              <w:t xml:space="preserve">0,6097</w:t>
            </w:r>
          </w:p>
        </w:tc>
        <w:tc>
          <w:tcPr>
            <w:tcW w:type="dxa" w:w="930"/>
            <w:vAlign w:val="center"/>
          </w:tcPr>
          <w:p>
            <w:pPr>
              <w:spacing w:before="20" w:after="20" w:line="260" w:lineRule="auto"/>
              <w:ind w:firstLine="0"/>
              <w:jc w:val="center"/>
            </w:pPr>
            <w:r>
              <w:rPr>
                <w:sz w:val="20"/>
                <w:szCs w:val="20"/>
              </w:rPr>
              <w:t xml:space="preserve">0,6524</w:t>
            </w:r>
          </w:p>
        </w:tc>
        <w:tc>
          <w:tcPr>
            <w:tcW w:type="dxa" w:w="1708"/>
            <w:vAlign w:val="center"/>
          </w:tcPr>
          <w:p>
            <w:pPr>
              <w:spacing w:before="20" w:after="20" w:line="260" w:lineRule="auto"/>
              <w:ind w:firstLine="0"/>
              <w:jc w:val="center"/>
            </w:pPr>
            <w:r>
              <w:rPr>
                <w:sz w:val="20"/>
                <w:szCs w:val="20"/>
              </w:rPr>
              <w:t xml:space="preserve">44,5</w:t>
            </w:r>
          </w:p>
        </w:tc>
        <w:tc>
          <w:tcPr>
            <w:tcW w:type="dxa" w:w="1398"/>
            <w:vAlign w:val="center"/>
          </w:tcPr>
          <w:p>
            <w:pPr>
              <w:spacing w:before="20" w:after="20" w:line="260" w:lineRule="auto"/>
              <w:ind w:firstLine="0"/>
              <w:jc w:val="center"/>
            </w:pPr>
            <w:r>
              <w:rPr>
                <w:sz w:val="20"/>
                <w:szCs w:val="20"/>
              </w:rPr>
              <w:t xml:space="preserve">2.660.988</w:t>
            </w:r>
          </w:p>
        </w:tc>
      </w:tr>
      <w:tr>
        <w:trPr>
          <w:cantSplit/>
        </w:trPr>
        <w:tc>
          <w:tcPr>
            <w:tcW w:type="dxa" w:w="1315"/>
            <w:vAlign w:val="center"/>
          </w:tcPr>
          <w:p>
            <w:pPr>
              <w:spacing w:before="20" w:after="20" w:line="260" w:lineRule="auto"/>
              <w:ind w:firstLine="0"/>
              <w:jc w:val="left"/>
            </w:pPr>
            <w:r>
              <w:rPr>
                <w:sz w:val="20"/>
                <w:szCs w:val="20"/>
              </w:rPr>
              <w:t xml:space="preserve">Random Forest</w:t>
            </w:r>
          </w:p>
        </w:tc>
        <w:tc>
          <w:tcPr>
            <w:tcW w:type="dxa" w:w="930"/>
            <w:vAlign w:val="center"/>
          </w:tcPr>
          <w:p>
            <w:pPr>
              <w:spacing w:before="20" w:after="20" w:line="260" w:lineRule="auto"/>
              <w:ind w:firstLine="0"/>
              <w:jc w:val="center"/>
            </w:pPr>
            <w:r>
              <w:rPr>
                <w:sz w:val="20"/>
                <w:szCs w:val="20"/>
              </w:rPr>
              <w:t xml:space="preserve">16,181</w:t>
            </w:r>
          </w:p>
        </w:tc>
        <w:tc>
          <w:tcPr>
            <w:tcW w:type="dxa" w:w="930"/>
            <w:vAlign w:val="center"/>
          </w:tcPr>
          <w:p>
            <w:pPr>
              <w:spacing w:before="20" w:after="20" w:line="260" w:lineRule="auto"/>
              <w:ind w:firstLine="0"/>
              <w:jc w:val="center"/>
            </w:pPr>
            <w:r>
              <w:rPr>
                <w:sz w:val="20"/>
                <w:szCs w:val="20"/>
              </w:rPr>
              <w:t xml:space="preserve">75,589</w:t>
            </w:r>
          </w:p>
        </w:tc>
        <w:tc>
          <w:tcPr>
            <w:tcW w:type="dxa" w:w="930"/>
            <w:vAlign w:val="center"/>
          </w:tcPr>
          <w:p>
            <w:pPr>
              <w:spacing w:before="20" w:after="20" w:line="260" w:lineRule="auto"/>
              <w:ind w:firstLine="0"/>
              <w:jc w:val="center"/>
            </w:pPr>
            <w:r>
              <w:rPr>
                <w:sz w:val="20"/>
                <w:szCs w:val="20"/>
              </w:rPr>
              <w:t xml:space="preserve">260,521</w:t>
            </w:r>
          </w:p>
        </w:tc>
        <w:tc>
          <w:tcPr>
            <w:tcW w:type="dxa" w:w="930"/>
            <w:vAlign w:val="center"/>
          </w:tcPr>
          <w:p>
            <w:pPr>
              <w:spacing w:before="20" w:after="20" w:line="260" w:lineRule="auto"/>
              <w:ind w:firstLine="0"/>
              <w:jc w:val="center"/>
            </w:pPr>
            <w:r>
              <w:rPr>
                <w:sz w:val="20"/>
                <w:szCs w:val="20"/>
              </w:rPr>
              <w:t xml:space="preserve">0,5528</w:t>
            </w:r>
          </w:p>
        </w:tc>
        <w:tc>
          <w:tcPr>
            <w:tcW w:type="dxa" w:w="930"/>
            <w:vAlign w:val="center"/>
          </w:tcPr>
          <w:p>
            <w:pPr>
              <w:spacing w:before="20" w:after="20" w:line="260" w:lineRule="auto"/>
              <w:ind w:firstLine="0"/>
              <w:jc w:val="center"/>
            </w:pPr>
            <w:r>
              <w:rPr>
                <w:sz w:val="20"/>
                <w:szCs w:val="20"/>
              </w:rPr>
              <w:t xml:space="preserve">0,4640</w:t>
            </w:r>
          </w:p>
        </w:tc>
        <w:tc>
          <w:tcPr>
            <w:tcW w:type="dxa" w:w="1708"/>
            <w:vAlign w:val="center"/>
          </w:tcPr>
          <w:p>
            <w:pPr>
              <w:spacing w:before="20" w:after="20" w:line="260" w:lineRule="auto"/>
              <w:ind w:firstLine="0"/>
              <w:jc w:val="center"/>
            </w:pPr>
            <w:r>
              <w:rPr>
                <w:sz w:val="20"/>
                <w:szCs w:val="20"/>
              </w:rPr>
              <w:t xml:space="preserve">625,8</w:t>
            </w:r>
          </w:p>
        </w:tc>
        <w:tc>
          <w:tcPr>
            <w:tcW w:type="dxa" w:w="1398"/>
            <w:vAlign w:val="center"/>
          </w:tcPr>
          <w:p>
            <w:pPr>
              <w:spacing w:before="20" w:after="20" w:line="260" w:lineRule="auto"/>
              <w:ind w:firstLine="0"/>
              <w:jc w:val="center"/>
            </w:pPr>
            <w:r>
              <w:rPr>
                <w:sz w:val="20"/>
                <w:szCs w:val="20"/>
              </w:rPr>
              <w:t xml:space="preserve">600.000</w:t>
            </w:r>
          </w:p>
        </w:tc>
      </w:tr>
      <w:tr>
        <w:trPr>
          <w:cantSplit/>
        </w:trPr>
        <w:tc>
          <w:tcPr>
            <w:tcW w:type="dxa" w:w="1315"/>
            <w:vAlign w:val="center"/>
          </w:tcPr>
          <w:p>
            <w:pPr>
              <w:spacing w:before="20" w:after="20" w:line="260" w:lineRule="auto"/>
              <w:ind w:firstLine="0"/>
              <w:jc w:val="left"/>
            </w:pPr>
            <w:r>
              <w:rPr>
                <w:sz w:val="20"/>
                <w:szCs w:val="20"/>
              </w:rPr>
              <w:t xml:space="preserve">Seasonal Naive</w:t>
            </w:r>
          </w:p>
        </w:tc>
        <w:tc>
          <w:tcPr>
            <w:tcW w:type="dxa" w:w="930"/>
            <w:vAlign w:val="center"/>
          </w:tcPr>
          <w:p>
            <w:pPr>
              <w:spacing w:before="20" w:after="20" w:line="260" w:lineRule="auto"/>
              <w:ind w:firstLine="0"/>
              <w:jc w:val="center"/>
            </w:pPr>
            <w:r>
              <w:rPr>
                <w:sz w:val="20"/>
                <w:szCs w:val="20"/>
              </w:rPr>
              <w:t xml:space="preserve">20,665</w:t>
            </w:r>
          </w:p>
        </w:tc>
        <w:tc>
          <w:tcPr>
            <w:tcW w:type="dxa" w:w="930"/>
            <w:vAlign w:val="center"/>
          </w:tcPr>
          <w:p>
            <w:pPr>
              <w:spacing w:before="20" w:after="20" w:line="260" w:lineRule="auto"/>
              <w:ind w:firstLine="0"/>
              <w:jc w:val="center"/>
            </w:pPr>
            <w:r>
              <w:rPr>
                <w:sz w:val="20"/>
                <w:szCs w:val="20"/>
              </w:rPr>
              <w:t xml:space="preserve">96,535</w:t>
            </w:r>
          </w:p>
        </w:tc>
        <w:tc>
          <w:tcPr>
            <w:tcW w:type="dxa" w:w="930"/>
            <w:vAlign w:val="center"/>
          </w:tcPr>
          <w:p>
            <w:pPr>
              <w:spacing w:before="20" w:after="20" w:line="260" w:lineRule="auto"/>
              <w:ind w:firstLine="0"/>
              <w:jc w:val="center"/>
            </w:pPr>
            <w:r>
              <w:rPr>
                <w:sz w:val="20"/>
                <w:szCs w:val="20"/>
              </w:rPr>
              <w:t xml:space="preserve">348,382</w:t>
            </w:r>
          </w:p>
        </w:tc>
        <w:tc>
          <w:tcPr>
            <w:tcW w:type="dxa" w:w="930"/>
            <w:vAlign w:val="center"/>
          </w:tcPr>
          <w:p>
            <w:pPr>
              <w:spacing w:before="20" w:after="20" w:line="260" w:lineRule="auto"/>
              <w:ind w:firstLine="0"/>
              <w:jc w:val="center"/>
            </w:pPr>
            <w:r>
              <w:rPr>
                <w:sz w:val="20"/>
                <w:szCs w:val="20"/>
              </w:rPr>
              <w:t xml:space="preserve">0,4334</w:t>
            </w:r>
          </w:p>
        </w:tc>
        <w:tc>
          <w:tcPr>
            <w:tcW w:type="dxa" w:w="930"/>
            <w:vAlign w:val="center"/>
          </w:tcPr>
          <w:p>
            <w:pPr>
              <w:spacing w:before="20" w:after="20" w:line="260" w:lineRule="auto"/>
              <w:ind w:firstLine="0"/>
              <w:jc w:val="center"/>
            </w:pPr>
            <w:r>
              <w:rPr>
                <w:sz w:val="20"/>
                <w:szCs w:val="20"/>
              </w:rPr>
              <w:t xml:space="preserve">0,6170</w:t>
            </w:r>
          </w:p>
        </w:tc>
        <w:tc>
          <w:tcPr>
            <w:tcW w:type="dxa" w:w="1708"/>
            <w:vAlign w:val="center"/>
          </w:tcPr>
          <w:p>
            <w:pPr>
              <w:spacing w:before="20" w:after="20" w:line="260" w:lineRule="auto"/>
              <w:ind w:firstLine="0"/>
              <w:jc w:val="left"/>
            </w:pPr>
            <w:r>
              <w:rPr>
                <w:sz w:val="20"/>
                <w:szCs w:val="20"/>
              </w:rPr>
              <w:t xml:space="preserve">–</w:t>
            </w:r>
          </w:p>
        </w:tc>
        <w:tc>
          <w:tcPr>
            <w:tcW w:type="dxa" w:w="1398"/>
            <w:vAlign w:val="center"/>
          </w:tcPr>
          <w:p>
            <w:pPr>
              <w:spacing w:before="20" w:after="20" w:line="260" w:lineRule="auto"/>
              <w:ind w:firstLine="0"/>
              <w:jc w:val="left"/>
            </w:pPr>
            <w:r>
              <w:rPr>
                <w:sz w:val="20"/>
                <w:szCs w:val="20"/>
              </w:rPr>
              <w:t xml:space="preserve">–</w:t>
            </w:r>
          </w:p>
        </w:tc>
      </w:tr>
      <w:tr>
        <w:trPr>
          <w:cantSplit/>
        </w:trPr>
        <w:tc>
          <w:tcPr>
            <w:tcW w:type="dxa" w:w="1315"/>
            <w:vAlign w:val="center"/>
          </w:tcPr>
          <w:p>
            <w:pPr>
              <w:spacing w:before="20" w:after="20" w:line="260" w:lineRule="auto"/>
              <w:ind w:firstLine="0"/>
              <w:jc w:val="left"/>
            </w:pPr>
            <w:r>
              <w:rPr>
                <w:sz w:val="20"/>
                <w:szCs w:val="20"/>
              </w:rPr>
              <w:t xml:space="preserve">Ridge Regression</w:t>
            </w:r>
          </w:p>
        </w:tc>
        <w:tc>
          <w:tcPr>
            <w:tcW w:type="dxa" w:w="930"/>
            <w:vAlign w:val="center"/>
          </w:tcPr>
          <w:p>
            <w:pPr>
              <w:spacing w:before="20" w:after="20" w:line="260" w:lineRule="auto"/>
              <w:ind w:firstLine="0"/>
              <w:jc w:val="center"/>
            </w:pPr>
            <w:r>
              <w:rPr>
                <w:sz w:val="20"/>
                <w:szCs w:val="20"/>
              </w:rPr>
              <w:t xml:space="preserve">21,160</w:t>
            </w:r>
          </w:p>
        </w:tc>
        <w:tc>
          <w:tcPr>
            <w:tcW w:type="dxa" w:w="930"/>
            <w:vAlign w:val="center"/>
          </w:tcPr>
          <w:p>
            <w:pPr>
              <w:spacing w:before="20" w:after="20" w:line="260" w:lineRule="auto"/>
              <w:ind w:firstLine="0"/>
              <w:jc w:val="center"/>
            </w:pPr>
            <w:r>
              <w:rPr>
                <w:sz w:val="20"/>
                <w:szCs w:val="20"/>
              </w:rPr>
              <w:t xml:space="preserve">98,847</w:t>
            </w:r>
          </w:p>
        </w:tc>
        <w:tc>
          <w:tcPr>
            <w:tcW w:type="dxa" w:w="930"/>
            <w:vAlign w:val="center"/>
          </w:tcPr>
          <w:p>
            <w:pPr>
              <w:spacing w:before="20" w:after="20" w:line="260" w:lineRule="auto"/>
              <w:ind w:firstLine="0"/>
              <w:jc w:val="center"/>
            </w:pPr>
            <w:r>
              <w:rPr>
                <w:sz w:val="20"/>
                <w:szCs w:val="20"/>
              </w:rPr>
              <w:t xml:space="preserve">276,163</w:t>
            </w:r>
          </w:p>
        </w:tc>
        <w:tc>
          <w:tcPr>
            <w:tcW w:type="dxa" w:w="930"/>
            <w:vAlign w:val="center"/>
          </w:tcPr>
          <w:p>
            <w:pPr>
              <w:spacing w:before="20" w:after="20" w:line="260" w:lineRule="auto"/>
              <w:ind w:firstLine="0"/>
              <w:jc w:val="center"/>
            </w:pPr>
            <w:r>
              <w:rPr>
                <w:sz w:val="20"/>
                <w:szCs w:val="20"/>
              </w:rPr>
              <w:t xml:space="preserve">0,8464</w:t>
            </w:r>
          </w:p>
        </w:tc>
        <w:tc>
          <w:tcPr>
            <w:tcW w:type="dxa" w:w="930"/>
            <w:vAlign w:val="center"/>
          </w:tcPr>
          <w:p>
            <w:pPr>
              <w:spacing w:before="20" w:after="20" w:line="260" w:lineRule="auto"/>
              <w:ind w:firstLine="0"/>
              <w:jc w:val="center"/>
            </w:pPr>
            <w:r>
              <w:rPr>
                <w:sz w:val="20"/>
                <w:szCs w:val="20"/>
              </w:rPr>
              <w:t xml:space="preserve">1,5739</w:t>
            </w:r>
          </w:p>
        </w:tc>
        <w:tc>
          <w:tcPr>
            <w:tcW w:type="dxa" w:w="1708"/>
            <w:vAlign w:val="center"/>
          </w:tcPr>
          <w:p>
            <w:pPr>
              <w:spacing w:before="20" w:after="20" w:line="260" w:lineRule="auto"/>
              <w:ind w:firstLine="0"/>
              <w:jc w:val="center"/>
            </w:pPr>
            <w:r>
              <w:rPr>
                <w:sz w:val="20"/>
                <w:szCs w:val="20"/>
              </w:rPr>
              <w:t xml:space="preserve">2,2</w:t>
            </w:r>
          </w:p>
        </w:tc>
        <w:tc>
          <w:tcPr>
            <w:tcW w:type="dxa" w:w="1398"/>
            <w:vAlign w:val="center"/>
          </w:tcPr>
          <w:p>
            <w:pPr>
              <w:spacing w:before="20" w:after="20" w:line="260" w:lineRule="auto"/>
              <w:ind w:firstLine="0"/>
              <w:jc w:val="center"/>
            </w:pPr>
            <w:r>
              <w:rPr>
                <w:sz w:val="20"/>
                <w:szCs w:val="20"/>
              </w:rPr>
              <w:t xml:space="preserve">2.660.988</w:t>
            </w:r>
          </w:p>
        </w:tc>
      </w:tr>
    </w:tbl>
    <w:p>
      <w:pPr>
        <w:spacing w:before="40" w:after="160"/>
        <w:ind w:firstLine="0"/>
      </w:pPr>
      <w:r>
        <w:rPr>
          <w:i/>
          <w:sz w:val="22"/>
          <w:szCs w:val="22"/>
        </w:rPr>
        <w:t xml:space="preserve">Nguồn: REPORT_READY/tables/07_final_holdout_metrics.csv. Thời gian là thời gian khớp mô hình khi huấn luyện lại trên dữ liệu trước tập kiểm tra cuối; Seasonal Naive không huấn luyện.</w:t>
      </w:r>
    </w:p>
    <w:p>
      <w:pPr>
        <w:keepLines w:val="0"/>
        <w:spacing w:after="120"/>
        <w:ind w:firstLine="567"/>
      </w:pPr>
      <w:r>
        <w:t xml:space="preserve">Hình 4.3 biểu diễn WAPE của năm mô hình trên tập kiểm tra cuối. So với Hình 4.1, khoảng trống giữa cụm mô hình cây và hai phương pháp đơn giản rộng hơn, và các cột trong cụm mô hình cây cũng giãn ra: LightGBM cách XGBoost 0,541 điểm phần trăm (so với 0,478 trong kiểm định chéo) và Random Forest cách XGBoost 1,854 điểm phần trăm (so với 0,879). Như vậy, trên giai đoạn chưa tham gia lựa chọn, ưu thế của XGBoost về WAPE được duy trì; đây chỉ là một cửa sổ nên chưa đủ để kết luận về ưu thế bền vững, nhưng không mâu thuẫn với quyết định lựa chọn.</w:t>
      </w:r>
    </w:p>
    <w:p>
      <w:pPr>
        <w:jc w:val="center"/>
      </w:pPr>
      <w:r>
        <w:drawing>
          <wp:inline xmlns:a="http://schemas.openxmlformats.org/drawingml/2006/main" xmlns:pic="http://schemas.openxmlformats.org/drawingml/2006/picture">
            <wp:extent cx="5580000" cy="2992173"/>
            <wp:docPr id="5007" name="Picture 5007"/>
            <wp:cNvGraphicFramePr>
              <a:graphicFrameLocks noChangeAspect="1"/>
            </wp:cNvGraphicFramePr>
            <a:graphic>
              <a:graphicData uri="http://schemas.openxmlformats.org/drawingml/2006/picture">
                <pic:pic>
                  <pic:nvPicPr>
                    <pic:cNvPr id="0" name="F08_final_holdout_802.png"/>
                    <pic:cNvPicPr/>
                  </pic:nvPicPr>
                  <pic:blipFill>
                    <a:blip r:embed="rId106"/>
                    <a:stretch>
                      <a:fillRect/>
                    </a:stretch>
                  </pic:blipFill>
                  <pic:spPr>
                    <a:xfrm>
                      <a:off x="0" y="0"/>
                      <a:ext cx="5580000" cy="2992173"/>
                    </a:xfrm>
                    <a:prstGeom prst="rect"/>
                  </pic:spPr>
                </pic:pic>
              </a:graphicData>
            </a:graphic>
          </wp:inline>
        </w:drawing>
      </w:r>
    </w:p>
    <w:p>
      <w:pPr>
        <w:keepNext w:val="0"/>
        <w:spacing w:after="160"/>
        <w:ind w:firstLine="0"/>
        <w:jc w:val="center"/>
      </w:pPr>
      <w:r>
        <w:t xml:space="preserve">Hình 4.3. WAPE của năm mô hình trên tập kiểm tra cuối 16 ngày</w:t>
      </w:r>
    </w:p>
    <w:p>
      <w:pPr>
        <w:spacing w:before="0" w:after="160"/>
        <w:ind w:firstLine="0"/>
        <w:jc w:val="center"/>
      </w:pPr>
      <w:r>
        <w:rPr>
          <w:i/>
          <w:sz w:val="22"/>
          <w:szCs w:val="22"/>
        </w:rPr>
        <w:t xml:space="preserve">Nguồn: REPORT_READY/figures/F08_final_holdout.png</w:t>
      </w:r>
    </w:p>
    <w:p>
      <w:pPr>
        <w:keepLines w:val="0"/>
        <w:spacing w:after="120"/>
        <w:ind w:firstLine="567"/>
      </w:pPr>
      <w:r>
        <w:t xml:space="preserve">Các thước đo khác lặp lại phần lớn những khác biệt đã thấy trong kiểm định chéo, với một ngoại lệ đáng chú ý. Theo RMSE, LightGBM (225,479) thấp hơn XGBoost (225,602) chỉ 0,123, trong khi ở cả ba lần kiểm định XGBoost đều có RMSE thấp hơn; mức chênh này quá nhỏ để coi là khác biệt có ý nghĩa vận hành, nên có thể xem hai mô hình ngang nhau về sai số lớn trên giai đoạn này. Theo sMAPE, thứ tự là Seasonal Naive (0,4334), XGBoost (0,5423), Random Forest (0,5528), LightGBM (0,6097) và Ridge (0,8464). Theo RMSLE, Random Forest thấp nhất (0,4640), tiếp theo là XGBoost (0,5752) và Seasonal Naive (0,6170), còn Ridge cao nhất (1,5739). Tỷ số RMSE/MAE của XGBoost trên tập kiểm tra cuối vào khoảng 3,37; vì RMSE chỉ bằng MAE khi mọi sai số có cùng độ lớn, tỷ số cách xa 1 cho thấy sai số phân bố không đều, với một phần đáng kể tập trung ở một số ít quan sát có sai số lớn, điều được phân tích chi tiết ở Mục 4.6 và 4.7.</w:t>
      </w:r>
    </w:p>
    <w:p>
      <w:pPr>
        <w:pStyle w:val="Heading3"/>
        <w:keepNext/>
      </w:pPr>
      <w:r>
        <w:t xml:space="preserve">4.4.2. So sánh kiểm định chéo với tập kiểm tra cuối</w:t>
      </w:r>
    </w:p>
    <w:p>
      <w:pPr>
        <w:keepLines w:val="0"/>
        <w:spacing w:after="120"/>
        <w:ind w:firstLine="567"/>
      </w:pPr>
      <w:r>
        <w:t xml:space="preserve">Bảng 4.5 đặt WAPE trên tập kiểm tra cuối cạnh WAPE trung bình kiểm định chéo cho từng mô hình, lấy từ tệp 08_cv_vs_holdout.csv. Kết quả nổi bật là tất cả năm mô hình đều có WAPE trên tập kiểm tra cuối cao hơn trung bình kiểm định chéo, trong khi thứ hạng của chúng không thay đổi. Mức tăng thấp nhất thuộc về XGBoost (+2,237 điểm phần trăm), tiếp theo là LightGBM (+2,300), Random Forest (+3,213), Ridge Regression (+4,018) và Seasonal Naive (+4,947). Ba mô hình cây có mức tăng nhỏ hơn hẳn hai phương pháp đơn giản, và mức tăng của hai mô hình tăng cường gần như bằng nhau.</w:t>
      </w:r>
    </w:p>
    <w:p>
      <w:pPr>
        <w:keepNext/>
        <w:spacing w:before="120" w:after="60"/>
        <w:ind w:firstLine="0"/>
        <w:jc w:val="center"/>
      </w:pPr>
      <w:r>
        <w:t xml:space="preserve">Bảng 4.5. So sánh WAPE giữa kiểm định chéo cuốn chiếu và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188"/>
        <w:gridCol w:w="1514"/>
        <w:gridCol w:w="840"/>
        <w:gridCol w:w="1514"/>
        <w:gridCol w:w="1393"/>
        <w:gridCol w:w="1225"/>
        <w:gridCol w:w="1397"/>
      </w:tblGrid>
      <w:tr>
        <w:trPr>
          <w:tblHeader/>
          <w:cantSplit/>
        </w:trPr>
        <w:tc>
          <w:tcPr>
            <w:tcW w:type="dxa" w:w="1188"/>
            <w:shd w:val="clear" w:color="auto" w:fill="D9E2F3"/>
            <w:vAlign w:val="center"/>
          </w:tcPr>
          <w:p>
            <w:pPr>
              <w:spacing w:before="20" w:after="20" w:line="260" w:lineRule="auto"/>
              <w:ind w:firstLine="0"/>
              <w:jc w:val="center"/>
            </w:pPr>
            <w:r>
              <w:rPr>
                <w:b/>
                <w:sz w:val="20"/>
                <w:szCs w:val="20"/>
              </w:rPr>
              <w:t xml:space="preserve">Mô hình</w:t>
            </w:r>
          </w:p>
        </w:tc>
        <w:tc>
          <w:tcPr>
            <w:tcW w:type="dxa" w:w="1514"/>
            <w:shd w:val="clear" w:color="auto" w:fill="D9E2F3"/>
            <w:vAlign w:val="center"/>
          </w:tcPr>
          <w:p>
            <w:pPr>
              <w:spacing w:before="20" w:after="20" w:line="260" w:lineRule="auto"/>
              <w:ind w:firstLine="0"/>
              <w:jc w:val="center"/>
            </w:pPr>
            <w:r>
              <w:rPr>
                <w:b/>
                <w:sz w:val="20"/>
                <w:szCs w:val="20"/>
              </w:rPr>
              <w:t xml:space="preserve">WAPE TB kiểm định chéo (%)</w:t>
            </w:r>
          </w:p>
        </w:tc>
        <w:tc>
          <w:tcPr>
            <w:tcW w:type="dxa" w:w="840"/>
            <w:shd w:val="clear" w:color="auto" w:fill="D9E2F3"/>
            <w:vAlign w:val="center"/>
          </w:tcPr>
          <w:p>
            <w:pPr>
              <w:spacing w:before="20" w:after="20" w:line="260" w:lineRule="auto"/>
              <w:ind w:firstLine="0"/>
              <w:jc w:val="center"/>
            </w:pPr>
            <w:r>
              <w:rPr>
                <w:b/>
                <w:sz w:val="20"/>
                <w:szCs w:val="20"/>
              </w:rPr>
              <w:t xml:space="preserve">Hạng CV</w:t>
            </w:r>
          </w:p>
        </w:tc>
        <w:tc>
          <w:tcPr>
            <w:tcW w:type="dxa" w:w="1514"/>
            <w:shd w:val="clear" w:color="auto" w:fill="D9E2F3"/>
            <w:vAlign w:val="center"/>
          </w:tcPr>
          <w:p>
            <w:pPr>
              <w:spacing w:before="20" w:after="20" w:line="260" w:lineRule="auto"/>
              <w:ind w:firstLine="0"/>
              <w:jc w:val="center"/>
            </w:pPr>
            <w:r>
              <w:rPr>
                <w:b/>
                <w:sz w:val="20"/>
                <w:szCs w:val="20"/>
              </w:rPr>
              <w:t xml:space="preserve">WAPE tập kiểm tra cuối (%)</w:t>
            </w:r>
          </w:p>
        </w:tc>
        <w:tc>
          <w:tcPr>
            <w:tcW w:type="dxa" w:w="1393"/>
            <w:shd w:val="clear" w:color="auto" w:fill="D9E2F3"/>
            <w:vAlign w:val="center"/>
          </w:tcPr>
          <w:p>
            <w:pPr>
              <w:spacing w:before="20" w:after="20" w:line="260" w:lineRule="auto"/>
              <w:ind w:firstLine="0"/>
              <w:jc w:val="center"/>
            </w:pPr>
            <w:r>
              <w:rPr>
                <w:b/>
                <w:sz w:val="20"/>
                <w:szCs w:val="20"/>
              </w:rPr>
              <w:t xml:space="preserve">Hạng tập kiểm tra cuối</w:t>
            </w:r>
          </w:p>
        </w:tc>
        <w:tc>
          <w:tcPr>
            <w:tcW w:type="dxa" w:w="1225"/>
            <w:shd w:val="clear" w:color="auto" w:fill="D9E2F3"/>
            <w:vAlign w:val="center"/>
          </w:tcPr>
          <w:p>
            <w:pPr>
              <w:spacing w:before="20" w:after="20" w:line="260" w:lineRule="auto"/>
              <w:ind w:firstLine="0"/>
              <w:jc w:val="center"/>
            </w:pPr>
            <w:r>
              <w:rPr>
                <w:b/>
                <w:sz w:val="20"/>
                <w:szCs w:val="20"/>
              </w:rPr>
              <w:t xml:space="preserve">Mức tăng (điểm %)</w:t>
            </w:r>
          </w:p>
        </w:tc>
        <w:tc>
          <w:tcPr>
            <w:tcW w:type="dxa" w:w="1397"/>
            <w:shd w:val="clear" w:color="auto" w:fill="D9E2F3"/>
            <w:vAlign w:val="center"/>
          </w:tcPr>
          <w:p>
            <w:pPr>
              <w:spacing w:before="20" w:after="20" w:line="260" w:lineRule="auto"/>
              <w:ind w:firstLine="0"/>
              <w:jc w:val="center"/>
            </w:pPr>
            <w:r>
              <w:rPr>
                <w:b/>
                <w:sz w:val="20"/>
                <w:szCs w:val="20"/>
              </w:rPr>
              <w:t xml:space="preserve">Mức tăng tương đối (%)</w:t>
            </w:r>
          </w:p>
        </w:tc>
      </w:tr>
      <w:tr>
        <w:trPr>
          <w:cantSplit/>
        </w:trPr>
        <w:tc>
          <w:tcPr>
            <w:tcW w:type="dxa" w:w="1188"/>
            <w:vAlign w:val="center"/>
          </w:tcPr>
          <w:p>
            <w:pPr>
              <w:spacing w:before="20" w:after="20" w:line="260" w:lineRule="auto"/>
              <w:ind w:firstLine="0"/>
              <w:jc w:val="left"/>
            </w:pPr>
            <w:r>
              <w:rPr>
                <w:sz w:val="20"/>
                <w:szCs w:val="20"/>
              </w:rPr>
              <w:t xml:space="preserve">XGBoost</w:t>
            </w:r>
          </w:p>
        </w:tc>
        <w:tc>
          <w:tcPr>
            <w:tcW w:type="dxa" w:w="1514"/>
            <w:vAlign w:val="center"/>
          </w:tcPr>
          <w:p>
            <w:pPr>
              <w:spacing w:before="20" w:after="20" w:line="260" w:lineRule="auto"/>
              <w:ind w:firstLine="0"/>
              <w:jc w:val="center"/>
            </w:pPr>
            <w:r>
              <w:rPr>
                <w:sz w:val="20"/>
                <w:szCs w:val="20"/>
              </w:rPr>
              <w:t xml:space="preserve">12,089</w:t>
            </w:r>
          </w:p>
        </w:tc>
        <w:tc>
          <w:tcPr>
            <w:tcW w:type="dxa" w:w="840"/>
            <w:vAlign w:val="center"/>
          </w:tcPr>
          <w:p>
            <w:pPr>
              <w:spacing w:before="20" w:after="20" w:line="260" w:lineRule="auto"/>
              <w:ind w:firstLine="0"/>
              <w:jc w:val="center"/>
            </w:pPr>
            <w:r>
              <w:rPr>
                <w:sz w:val="20"/>
                <w:szCs w:val="20"/>
              </w:rPr>
              <w:t xml:space="preserve">1</w:t>
            </w:r>
          </w:p>
        </w:tc>
        <w:tc>
          <w:tcPr>
            <w:tcW w:type="dxa" w:w="1514"/>
            <w:vAlign w:val="center"/>
          </w:tcPr>
          <w:p>
            <w:pPr>
              <w:spacing w:before="20" w:after="20" w:line="260" w:lineRule="auto"/>
              <w:ind w:firstLine="0"/>
              <w:jc w:val="center"/>
            </w:pPr>
            <w:r>
              <w:rPr>
                <w:sz w:val="20"/>
                <w:szCs w:val="20"/>
              </w:rPr>
              <w:t xml:space="preserve">14,327</w:t>
            </w:r>
          </w:p>
        </w:tc>
        <w:tc>
          <w:tcPr>
            <w:tcW w:type="dxa" w:w="1393"/>
            <w:vAlign w:val="center"/>
          </w:tcPr>
          <w:p>
            <w:pPr>
              <w:spacing w:before="20" w:after="20" w:line="260" w:lineRule="auto"/>
              <w:ind w:firstLine="0"/>
              <w:jc w:val="center"/>
            </w:pPr>
            <w:r>
              <w:rPr>
                <w:sz w:val="20"/>
                <w:szCs w:val="20"/>
              </w:rPr>
              <w:t xml:space="preserve">1</w:t>
            </w:r>
          </w:p>
        </w:tc>
        <w:tc>
          <w:tcPr>
            <w:tcW w:type="dxa" w:w="1225"/>
            <w:vAlign w:val="center"/>
          </w:tcPr>
          <w:p>
            <w:pPr>
              <w:spacing w:before="20" w:after="20" w:line="260" w:lineRule="auto"/>
              <w:ind w:firstLine="0"/>
              <w:jc w:val="left"/>
            </w:pPr>
            <w:r>
              <w:rPr>
                <w:sz w:val="20"/>
                <w:szCs w:val="20"/>
              </w:rPr>
              <w:t xml:space="preserve">+2,237</w:t>
            </w:r>
          </w:p>
        </w:tc>
        <w:tc>
          <w:tcPr>
            <w:tcW w:type="dxa" w:w="1397"/>
            <w:vAlign w:val="center"/>
          </w:tcPr>
          <w:p>
            <w:pPr>
              <w:spacing w:before="20" w:after="20" w:line="260" w:lineRule="auto"/>
              <w:ind w:firstLine="0"/>
              <w:jc w:val="center"/>
            </w:pPr>
            <w:r>
              <w:rPr>
                <w:sz w:val="20"/>
                <w:szCs w:val="20"/>
              </w:rPr>
              <w:t xml:space="preserve">18,51</w:t>
            </w:r>
          </w:p>
        </w:tc>
      </w:tr>
      <w:tr>
        <w:trPr>
          <w:cantSplit/>
        </w:trPr>
        <w:tc>
          <w:tcPr>
            <w:tcW w:type="dxa" w:w="1188"/>
            <w:vAlign w:val="center"/>
          </w:tcPr>
          <w:p>
            <w:pPr>
              <w:spacing w:before="20" w:after="20" w:line="260" w:lineRule="auto"/>
              <w:ind w:firstLine="0"/>
              <w:jc w:val="left"/>
            </w:pPr>
            <w:r>
              <w:rPr>
                <w:sz w:val="20"/>
                <w:szCs w:val="20"/>
              </w:rPr>
              <w:t xml:space="preserve">LightGBM</w:t>
            </w:r>
          </w:p>
        </w:tc>
        <w:tc>
          <w:tcPr>
            <w:tcW w:type="dxa" w:w="1514"/>
            <w:vAlign w:val="center"/>
          </w:tcPr>
          <w:p>
            <w:pPr>
              <w:spacing w:before="20" w:after="20" w:line="260" w:lineRule="auto"/>
              <w:ind w:firstLine="0"/>
              <w:jc w:val="center"/>
            </w:pPr>
            <w:r>
              <w:rPr>
                <w:sz w:val="20"/>
                <w:szCs w:val="20"/>
              </w:rPr>
              <w:t xml:space="preserve">12,568</w:t>
            </w:r>
          </w:p>
        </w:tc>
        <w:tc>
          <w:tcPr>
            <w:tcW w:type="dxa" w:w="840"/>
            <w:vAlign w:val="center"/>
          </w:tcPr>
          <w:p>
            <w:pPr>
              <w:spacing w:before="20" w:after="20" w:line="260" w:lineRule="auto"/>
              <w:ind w:firstLine="0"/>
              <w:jc w:val="center"/>
            </w:pPr>
            <w:r>
              <w:rPr>
                <w:sz w:val="20"/>
                <w:szCs w:val="20"/>
              </w:rPr>
              <w:t xml:space="preserve">2</w:t>
            </w:r>
          </w:p>
        </w:tc>
        <w:tc>
          <w:tcPr>
            <w:tcW w:type="dxa" w:w="1514"/>
            <w:vAlign w:val="center"/>
          </w:tcPr>
          <w:p>
            <w:pPr>
              <w:spacing w:before="20" w:after="20" w:line="260" w:lineRule="auto"/>
              <w:ind w:firstLine="0"/>
              <w:jc w:val="center"/>
            </w:pPr>
            <w:r>
              <w:rPr>
                <w:sz w:val="20"/>
                <w:szCs w:val="20"/>
              </w:rPr>
              <w:t xml:space="preserve">14,868</w:t>
            </w:r>
          </w:p>
        </w:tc>
        <w:tc>
          <w:tcPr>
            <w:tcW w:type="dxa" w:w="1393"/>
            <w:vAlign w:val="center"/>
          </w:tcPr>
          <w:p>
            <w:pPr>
              <w:spacing w:before="20" w:after="20" w:line="260" w:lineRule="auto"/>
              <w:ind w:firstLine="0"/>
              <w:jc w:val="center"/>
            </w:pPr>
            <w:r>
              <w:rPr>
                <w:sz w:val="20"/>
                <w:szCs w:val="20"/>
              </w:rPr>
              <w:t xml:space="preserve">2</w:t>
            </w:r>
          </w:p>
        </w:tc>
        <w:tc>
          <w:tcPr>
            <w:tcW w:type="dxa" w:w="1225"/>
            <w:vAlign w:val="center"/>
          </w:tcPr>
          <w:p>
            <w:pPr>
              <w:spacing w:before="20" w:after="20" w:line="260" w:lineRule="auto"/>
              <w:ind w:firstLine="0"/>
              <w:jc w:val="left"/>
            </w:pPr>
            <w:r>
              <w:rPr>
                <w:sz w:val="20"/>
                <w:szCs w:val="20"/>
              </w:rPr>
              <w:t xml:space="preserve">+2,300</w:t>
            </w:r>
          </w:p>
        </w:tc>
        <w:tc>
          <w:tcPr>
            <w:tcW w:type="dxa" w:w="1397"/>
            <w:vAlign w:val="center"/>
          </w:tcPr>
          <w:p>
            <w:pPr>
              <w:spacing w:before="20" w:after="20" w:line="260" w:lineRule="auto"/>
              <w:ind w:firstLine="0"/>
              <w:jc w:val="center"/>
            </w:pPr>
            <w:r>
              <w:rPr>
                <w:sz w:val="20"/>
                <w:szCs w:val="20"/>
              </w:rPr>
              <w:t xml:space="preserve">18,30</w:t>
            </w:r>
          </w:p>
        </w:tc>
      </w:tr>
      <w:tr>
        <w:trPr>
          <w:cantSplit/>
        </w:trPr>
        <w:tc>
          <w:tcPr>
            <w:tcW w:type="dxa" w:w="1188"/>
            <w:vAlign w:val="center"/>
          </w:tcPr>
          <w:p>
            <w:pPr>
              <w:spacing w:before="20" w:after="20" w:line="260" w:lineRule="auto"/>
              <w:ind w:firstLine="0"/>
              <w:jc w:val="left"/>
            </w:pPr>
            <w:r>
              <w:rPr>
                <w:sz w:val="20"/>
                <w:szCs w:val="20"/>
              </w:rPr>
              <w:t xml:space="preserve">Random Forest</w:t>
            </w:r>
          </w:p>
        </w:tc>
        <w:tc>
          <w:tcPr>
            <w:tcW w:type="dxa" w:w="1514"/>
            <w:vAlign w:val="center"/>
          </w:tcPr>
          <w:p>
            <w:pPr>
              <w:spacing w:before="20" w:after="20" w:line="260" w:lineRule="auto"/>
              <w:ind w:firstLine="0"/>
              <w:jc w:val="center"/>
            </w:pPr>
            <w:r>
              <w:rPr>
                <w:sz w:val="20"/>
                <w:szCs w:val="20"/>
              </w:rPr>
              <w:t xml:space="preserve">12,969</w:t>
            </w:r>
          </w:p>
        </w:tc>
        <w:tc>
          <w:tcPr>
            <w:tcW w:type="dxa" w:w="840"/>
            <w:vAlign w:val="center"/>
          </w:tcPr>
          <w:p>
            <w:pPr>
              <w:spacing w:before="20" w:after="20" w:line="260" w:lineRule="auto"/>
              <w:ind w:firstLine="0"/>
              <w:jc w:val="center"/>
            </w:pPr>
            <w:r>
              <w:rPr>
                <w:sz w:val="20"/>
                <w:szCs w:val="20"/>
              </w:rPr>
              <w:t xml:space="preserve">3</w:t>
            </w:r>
          </w:p>
        </w:tc>
        <w:tc>
          <w:tcPr>
            <w:tcW w:type="dxa" w:w="1514"/>
            <w:vAlign w:val="center"/>
          </w:tcPr>
          <w:p>
            <w:pPr>
              <w:spacing w:before="20" w:after="20" w:line="260" w:lineRule="auto"/>
              <w:ind w:firstLine="0"/>
              <w:jc w:val="center"/>
            </w:pPr>
            <w:r>
              <w:rPr>
                <w:sz w:val="20"/>
                <w:szCs w:val="20"/>
              </w:rPr>
              <w:t xml:space="preserve">16,181</w:t>
            </w:r>
          </w:p>
        </w:tc>
        <w:tc>
          <w:tcPr>
            <w:tcW w:type="dxa" w:w="1393"/>
            <w:vAlign w:val="center"/>
          </w:tcPr>
          <w:p>
            <w:pPr>
              <w:spacing w:before="20" w:after="20" w:line="260" w:lineRule="auto"/>
              <w:ind w:firstLine="0"/>
              <w:jc w:val="center"/>
            </w:pPr>
            <w:r>
              <w:rPr>
                <w:sz w:val="20"/>
                <w:szCs w:val="20"/>
              </w:rPr>
              <w:t xml:space="preserve">3</w:t>
            </w:r>
          </w:p>
        </w:tc>
        <w:tc>
          <w:tcPr>
            <w:tcW w:type="dxa" w:w="1225"/>
            <w:vAlign w:val="center"/>
          </w:tcPr>
          <w:p>
            <w:pPr>
              <w:spacing w:before="20" w:after="20" w:line="260" w:lineRule="auto"/>
              <w:ind w:firstLine="0"/>
              <w:jc w:val="left"/>
            </w:pPr>
            <w:r>
              <w:rPr>
                <w:sz w:val="20"/>
                <w:szCs w:val="20"/>
              </w:rPr>
              <w:t xml:space="preserve">+3,213</w:t>
            </w:r>
          </w:p>
        </w:tc>
        <w:tc>
          <w:tcPr>
            <w:tcW w:type="dxa" w:w="1397"/>
            <w:vAlign w:val="center"/>
          </w:tcPr>
          <w:p>
            <w:pPr>
              <w:spacing w:before="20" w:after="20" w:line="260" w:lineRule="auto"/>
              <w:ind w:firstLine="0"/>
              <w:jc w:val="center"/>
            </w:pPr>
            <w:r>
              <w:rPr>
                <w:sz w:val="20"/>
                <w:szCs w:val="20"/>
              </w:rPr>
              <w:t xml:space="preserve">24,77</w:t>
            </w:r>
          </w:p>
        </w:tc>
      </w:tr>
      <w:tr>
        <w:trPr>
          <w:cantSplit/>
        </w:trPr>
        <w:tc>
          <w:tcPr>
            <w:tcW w:type="dxa" w:w="1188"/>
            <w:vAlign w:val="center"/>
          </w:tcPr>
          <w:p>
            <w:pPr>
              <w:spacing w:before="20" w:after="20" w:line="260" w:lineRule="auto"/>
              <w:ind w:firstLine="0"/>
              <w:jc w:val="left"/>
            </w:pPr>
            <w:r>
              <w:rPr>
                <w:sz w:val="20"/>
                <w:szCs w:val="20"/>
              </w:rPr>
              <w:t xml:space="preserve">Seasonal Naive</w:t>
            </w:r>
          </w:p>
        </w:tc>
        <w:tc>
          <w:tcPr>
            <w:tcW w:type="dxa" w:w="1514"/>
            <w:vAlign w:val="center"/>
          </w:tcPr>
          <w:p>
            <w:pPr>
              <w:spacing w:before="20" w:after="20" w:line="260" w:lineRule="auto"/>
              <w:ind w:firstLine="0"/>
              <w:jc w:val="center"/>
            </w:pPr>
            <w:r>
              <w:rPr>
                <w:sz w:val="20"/>
                <w:szCs w:val="20"/>
              </w:rPr>
              <w:t xml:space="preserve">15,718</w:t>
            </w:r>
          </w:p>
        </w:tc>
        <w:tc>
          <w:tcPr>
            <w:tcW w:type="dxa" w:w="840"/>
            <w:vAlign w:val="center"/>
          </w:tcPr>
          <w:p>
            <w:pPr>
              <w:spacing w:before="20" w:after="20" w:line="260" w:lineRule="auto"/>
              <w:ind w:firstLine="0"/>
              <w:jc w:val="center"/>
            </w:pPr>
            <w:r>
              <w:rPr>
                <w:sz w:val="20"/>
                <w:szCs w:val="20"/>
              </w:rPr>
              <w:t xml:space="preserve">4</w:t>
            </w:r>
          </w:p>
        </w:tc>
        <w:tc>
          <w:tcPr>
            <w:tcW w:type="dxa" w:w="1514"/>
            <w:vAlign w:val="center"/>
          </w:tcPr>
          <w:p>
            <w:pPr>
              <w:spacing w:before="20" w:after="20" w:line="260" w:lineRule="auto"/>
              <w:ind w:firstLine="0"/>
              <w:jc w:val="center"/>
            </w:pPr>
            <w:r>
              <w:rPr>
                <w:sz w:val="20"/>
                <w:szCs w:val="20"/>
              </w:rPr>
              <w:t xml:space="preserve">20,665</w:t>
            </w:r>
          </w:p>
        </w:tc>
        <w:tc>
          <w:tcPr>
            <w:tcW w:type="dxa" w:w="1393"/>
            <w:vAlign w:val="center"/>
          </w:tcPr>
          <w:p>
            <w:pPr>
              <w:spacing w:before="20" w:after="20" w:line="260" w:lineRule="auto"/>
              <w:ind w:firstLine="0"/>
              <w:jc w:val="center"/>
            </w:pPr>
            <w:r>
              <w:rPr>
                <w:sz w:val="20"/>
                <w:szCs w:val="20"/>
              </w:rPr>
              <w:t xml:space="preserve">4</w:t>
            </w:r>
          </w:p>
        </w:tc>
        <w:tc>
          <w:tcPr>
            <w:tcW w:type="dxa" w:w="1225"/>
            <w:vAlign w:val="center"/>
          </w:tcPr>
          <w:p>
            <w:pPr>
              <w:spacing w:before="20" w:after="20" w:line="260" w:lineRule="auto"/>
              <w:ind w:firstLine="0"/>
              <w:jc w:val="left"/>
            </w:pPr>
            <w:r>
              <w:rPr>
                <w:sz w:val="20"/>
                <w:szCs w:val="20"/>
              </w:rPr>
              <w:t xml:space="preserve">+4,947</w:t>
            </w:r>
          </w:p>
        </w:tc>
        <w:tc>
          <w:tcPr>
            <w:tcW w:type="dxa" w:w="1397"/>
            <w:vAlign w:val="center"/>
          </w:tcPr>
          <w:p>
            <w:pPr>
              <w:spacing w:before="20" w:after="20" w:line="260" w:lineRule="auto"/>
              <w:ind w:firstLine="0"/>
              <w:jc w:val="center"/>
            </w:pPr>
            <w:r>
              <w:rPr>
                <w:sz w:val="20"/>
                <w:szCs w:val="20"/>
              </w:rPr>
              <w:t xml:space="preserve">31,47</w:t>
            </w:r>
          </w:p>
        </w:tc>
      </w:tr>
      <w:tr>
        <w:trPr>
          <w:cantSplit/>
        </w:trPr>
        <w:tc>
          <w:tcPr>
            <w:tcW w:type="dxa" w:w="1188"/>
            <w:vAlign w:val="center"/>
          </w:tcPr>
          <w:p>
            <w:pPr>
              <w:spacing w:before="20" w:after="20" w:line="260" w:lineRule="auto"/>
              <w:ind w:firstLine="0"/>
              <w:jc w:val="left"/>
            </w:pPr>
            <w:r>
              <w:rPr>
                <w:sz w:val="20"/>
                <w:szCs w:val="20"/>
              </w:rPr>
              <w:t xml:space="preserve">Ridge Regression</w:t>
            </w:r>
          </w:p>
        </w:tc>
        <w:tc>
          <w:tcPr>
            <w:tcW w:type="dxa" w:w="1514"/>
            <w:vAlign w:val="center"/>
          </w:tcPr>
          <w:p>
            <w:pPr>
              <w:spacing w:before="20" w:after="20" w:line="260" w:lineRule="auto"/>
              <w:ind w:firstLine="0"/>
              <w:jc w:val="center"/>
            </w:pPr>
            <w:r>
              <w:rPr>
                <w:sz w:val="20"/>
                <w:szCs w:val="20"/>
              </w:rPr>
              <w:t xml:space="preserve">17,142</w:t>
            </w:r>
          </w:p>
        </w:tc>
        <w:tc>
          <w:tcPr>
            <w:tcW w:type="dxa" w:w="840"/>
            <w:vAlign w:val="center"/>
          </w:tcPr>
          <w:p>
            <w:pPr>
              <w:spacing w:before="20" w:after="20" w:line="260" w:lineRule="auto"/>
              <w:ind w:firstLine="0"/>
              <w:jc w:val="center"/>
            </w:pPr>
            <w:r>
              <w:rPr>
                <w:sz w:val="20"/>
                <w:szCs w:val="20"/>
              </w:rPr>
              <w:t xml:space="preserve">5</w:t>
            </w:r>
          </w:p>
        </w:tc>
        <w:tc>
          <w:tcPr>
            <w:tcW w:type="dxa" w:w="1514"/>
            <w:vAlign w:val="center"/>
          </w:tcPr>
          <w:p>
            <w:pPr>
              <w:spacing w:before="20" w:after="20" w:line="260" w:lineRule="auto"/>
              <w:ind w:firstLine="0"/>
              <w:jc w:val="center"/>
            </w:pPr>
            <w:r>
              <w:rPr>
                <w:sz w:val="20"/>
                <w:szCs w:val="20"/>
              </w:rPr>
              <w:t xml:space="preserve">21,160</w:t>
            </w:r>
          </w:p>
        </w:tc>
        <w:tc>
          <w:tcPr>
            <w:tcW w:type="dxa" w:w="1393"/>
            <w:vAlign w:val="center"/>
          </w:tcPr>
          <w:p>
            <w:pPr>
              <w:spacing w:before="20" w:after="20" w:line="260" w:lineRule="auto"/>
              <w:ind w:firstLine="0"/>
              <w:jc w:val="center"/>
            </w:pPr>
            <w:r>
              <w:rPr>
                <w:sz w:val="20"/>
                <w:szCs w:val="20"/>
              </w:rPr>
              <w:t xml:space="preserve">5</w:t>
            </w:r>
          </w:p>
        </w:tc>
        <w:tc>
          <w:tcPr>
            <w:tcW w:type="dxa" w:w="1225"/>
            <w:vAlign w:val="center"/>
          </w:tcPr>
          <w:p>
            <w:pPr>
              <w:spacing w:before="20" w:after="20" w:line="260" w:lineRule="auto"/>
              <w:ind w:firstLine="0"/>
              <w:jc w:val="left"/>
            </w:pPr>
            <w:r>
              <w:rPr>
                <w:sz w:val="20"/>
                <w:szCs w:val="20"/>
              </w:rPr>
              <w:t xml:space="preserve">+4,018</w:t>
            </w:r>
          </w:p>
        </w:tc>
        <w:tc>
          <w:tcPr>
            <w:tcW w:type="dxa" w:w="1397"/>
            <w:vAlign w:val="center"/>
          </w:tcPr>
          <w:p>
            <w:pPr>
              <w:spacing w:before="20" w:after="20" w:line="260" w:lineRule="auto"/>
              <w:ind w:firstLine="0"/>
              <w:jc w:val="center"/>
            </w:pPr>
            <w:r>
              <w:rPr>
                <w:sz w:val="20"/>
                <w:szCs w:val="20"/>
              </w:rPr>
              <w:t xml:space="preserve">23,44</w:t>
            </w:r>
          </w:p>
        </w:tc>
      </w:tr>
    </w:tbl>
    <w:p>
      <w:pPr>
        <w:spacing w:before="40" w:after="160"/>
        <w:ind w:firstLine="0"/>
      </w:pPr>
      <w:r>
        <w:rPr>
          <w:i/>
          <w:sz w:val="22"/>
          <w:szCs w:val="22"/>
        </w:rPr>
        <w:t xml:space="preserve">Nguồn: REPORT_READY/tables/08_cv_vs_holdout.csv và 07_final_holdout_metrics.csv; mức tăng = WAPE tập kiểm tra cuối − WAPE trung bình kiểm định chéo; mức tăng tương đối = mức tăng / WAPE trung bình kiểm định chéo (tính của tác giả).</w:t>
      </w:r>
    </w:p>
    <w:p>
      <w:pPr>
        <w:keepLines w:val="0"/>
        <w:spacing w:after="120"/>
        <w:ind w:firstLine="567"/>
      </w:pPr>
      <w:r>
        <w:t xml:space="preserve">Hình 4.4 thể hiện cùng so sánh dưới dạng cặp cột cho mỗi mô hình. Cột của tập kiểm tra cuối cao hơn cột kiểm định chéo ở cả năm cặp, với chênh lệch nhỏ nhất ở hai mô hình tăng cường và lớn nhất ở Seasonal Naive; thứ tự chiều cao của các cột cùng loại không đổi từ trái sang phải. Theo giá trị tương đối, bức tranh tinh tế hơn: mức tăng của LightGBM (18,30%) thấp hơn XGBoost (18,51%) một chút, vì LightGBM xuất phát từ WAPE kiểm định chéo cao hơn. Vì vậy, nhận định XGBoost chịu mức suy giảm nhỏ nhất chỉ đúng theo giá trị tuyệt đối; theo cả hai cách đo, hai mô hình tăng cường suy giảm tương đương nhau và ít hơn rõ rệt so với Random Forest (24,77%), Ridge (23,44%) và Seasonal Naive (31,47%).</w:t>
      </w:r>
    </w:p>
    <w:p>
      <w:pPr>
        <w:jc w:val="center"/>
      </w:pPr>
      <w:r>
        <w:drawing>
          <wp:inline xmlns:a="http://schemas.openxmlformats.org/drawingml/2006/main" xmlns:pic="http://schemas.openxmlformats.org/drawingml/2006/picture">
            <wp:extent cx="5580000" cy="2790000"/>
            <wp:docPr id="5008" name="Picture 5008"/>
            <wp:cNvGraphicFramePr>
              <a:graphicFrameLocks noChangeAspect="1"/>
            </wp:cNvGraphicFramePr>
            <a:graphic>
              <a:graphicData uri="http://schemas.openxmlformats.org/drawingml/2006/picture">
                <pic:pic>
                  <pic:nvPicPr>
                    <pic:cNvPr id="0" name="F09_cv_vs_holdout_812.png"/>
                    <pic:cNvPicPr/>
                  </pic:nvPicPr>
                  <pic:blipFill>
                    <a:blip r:embed="rId107"/>
                    <a:stretch>
                      <a:fillRect/>
                    </a:stretch>
                  </pic:blipFill>
                  <pic:spPr>
                    <a:xfrm>
                      <a:off x="0" y="0"/>
                      <a:ext cx="5580000" cy="2790000"/>
                    </a:xfrm>
                    <a:prstGeom prst="rect"/>
                  </pic:spPr>
                </pic:pic>
              </a:graphicData>
            </a:graphic>
          </wp:inline>
        </w:drawing>
      </w:r>
    </w:p>
    <w:p>
      <w:pPr>
        <w:keepNext w:val="0"/>
        <w:spacing w:after="160"/>
        <w:ind w:firstLine="0"/>
        <w:jc w:val="center"/>
      </w:pPr>
      <w:r>
        <w:t xml:space="preserve">Hình 4.4. WAPE trung bình kiểm định chéo cuốn chiếu và WAPE trên tập kiểm tra cuối của năm mô hình</w:t>
      </w:r>
    </w:p>
    <w:p>
      <w:pPr>
        <w:spacing w:before="0" w:after="160"/>
        <w:ind w:firstLine="0"/>
        <w:jc w:val="center"/>
      </w:pPr>
      <w:r>
        <w:rPr>
          <w:i/>
          <w:sz w:val="22"/>
          <w:szCs w:val="22"/>
        </w:rPr>
        <w:t xml:space="preserve">Nguồn: REPORT_READY/figures/F09_cv_vs_holdout.png</w:t>
      </w:r>
    </w:p>
    <w:p>
      <w:pPr>
        <w:pStyle w:val="Heading3"/>
        <w:keepNext/>
      </w:pPr>
      <w:r>
        <w:t xml:space="preserve">4.4.3. Diễn giải mức tăng sai số trên tập kiểm tra cuối</w:t>
      </w:r>
    </w:p>
    <w:p>
      <w:pPr>
        <w:keepLines w:val="0"/>
        <w:spacing w:after="120"/>
        <w:ind w:firstLine="567"/>
      </w:pPr>
      <w:r>
        <w:t xml:space="preserve">Việc mọi mô hình cùng tăng sai số, kể cả Seasonal Naive vốn không được huấn luyện, gợi ý rằng giai đoạn 31/07/2017–15/08/2017 có thể khó dự báo hơn ba cửa sổ kiểm định. Nếu mức tăng chỉ đến từ việc mô hình học máy khớp quá mức vào các cửa sổ kiểm định, người ta sẽ không kỳ vọng một đường cơ sở không có tham số ước lượng cũng suy giảm, huống hồ đường cơ sở này lại tăng nhiều nhất; mặt khác, quy tắc lựa chọn chỉ dùng WAPE trung bình để chọn giữa năm mô hình với cấu hình cố định, không điều chỉnh siêu tham số theo kết quả kiểm định, nên phạm vi khớp quá mức theo nghĩa lựa chọn là hạn chế. Tuy nhiên, với chỉ một cửa sổ kiểm tra cuối, các khả năng như biến động theo mùa, thay đổi khuyến mãi hay sự kiện không có trong dữ liệu đều chỉ là giả thuyết.</w:t>
      </w:r>
    </w:p>
    <w:p>
      <w:pPr>
        <w:keepLines w:val="0"/>
        <w:spacing w:after="120"/>
        <w:ind w:firstLine="567"/>
      </w:pPr>
      <w:r>
        <w:t xml:space="preserve">Một số chi tiết của lần chạy giúp khoanh vùng nhưng không giải thích trọn vẹn mức tăng. Tổng doanh số theo ngày trên tập kiểm tra cuối cho thấy XGBoost dự báo cao hơn thực tế ở 12/16 ngày, với sai lệch lớn nhất vào hai ngày cuối tuần 12–13/08/2017 (16,27% và 14,22%); riêng bốn ngày cuối tuần đóng góp phần lớn chênh lệch tổng, và phân tích theo ngày được trình bày ở Mục 4.6. Ngoài ra, WAPE của XGBoost trên tập kiểm tra cuối cao hơn giá trị ở lần kiểm định 3 (12,527%), cửa sổ liền trước, khoảng 1,800 điểm phần trăm, dù mô hình cuối được huấn luyện trên nhiều dữ liệu hơn; với Seasonal Naive, bước nhảy tương ứng lên tới 6,697 điểm phần trăm (từ 13,968% lên 20,665%). Việc đường cơ sở lặp lại tuần gần nhất suy giảm mạnh như vậy phù hợp với giả thuyết mẫu hình của giai đoạn cuối khác với các tuần ngay trước đó, nhưng để kiểm chứng cần thêm nhiều cửa sổ kiểm tra hoặc phân tích có kiểm soát theo từng yếu tố.</w:t>
      </w:r>
    </w:p>
    <w:p>
      <w:pPr>
        <w:keepLines w:val="0"/>
        <w:spacing w:after="120"/>
        <w:ind w:firstLine="567"/>
      </w:pPr>
      <w:r>
        <w:t xml:space="preserve">Về ý nghĩa đối với câu hỏi nghiên cứu, khoảng cách giữa kiểm định chéo và tập kiểm tra cuối nhắc rằng WAPE trung bình 12,089% không nên được coi là mức sai số kỳ vọng khi triển khai. Trên giai đoạn ngoài mẫu hoàn toàn, mức sai số quan sát được là 14,327%, và các giai đoạn khó hơn có thể cho sai số cao hơn nữa. Đây là lý do luận văn bổ sung lớp dự báo xác suất và cơ chế con người rà soát thay vì dừng ở dự báo điểm. Đồng thời, thứ tự của cả năm mô hình không đổi giữa hai giai đoạn và lợi thế của XGBoost so với đường cơ sở còn mở rộng trên tập kiểm tra cuối là dấu hiệu tích cực về độ ổn định của quy tắc lựa chọn, dù đây vẫn chỉ là thêm một cửa sổ và cần được cập nhật định kỳ bằng kiểm thử ngược (backtesting).</w:t>
      </w:r>
    </w:p>
    <w:p>
      <w:pPr>
        <w:pStyle w:val="Heading2"/>
        <w:keepNext/>
      </w:pPr>
      <w:r>
        <w:t xml:space="preserve">4.5. Đặc điểm kết quả theo từng họ mô hình</w:t>
      </w:r>
    </w:p>
    <w:p>
      <w:pPr>
        <w:pStyle w:val="Heading3"/>
        <w:keepNext/>
      </w:pPr>
      <w:r>
        <w:t xml:space="preserve">4.5.1. Seasonal Naive và Ridge</w:t>
      </w:r>
    </w:p>
    <w:p>
      <w:pPr>
        <w:keepLines w:val="0"/>
        <w:spacing w:after="120"/>
        <w:ind w:firstLine="567"/>
      </w:pPr>
      <w:r>
        <w:t xml:space="preserve">Seasonal Naive và Ridge đóng vai trò mốc tham chiếu từ hai phương pháp đơn giản: một phương pháp lặp lại mẫu hình theo tuần và một mô hình tuyến tính có điều chuẩn. Trên tập kiểm tra cuối, Seasonal Naive có WAPE 20,665% và Ridge 21,160%. Khác với thứ hạng dao động mà người đọc có thể kỳ vọng ở cuối bảng, Seasonal Naive có WAPE thấp hơn Ridge ở cả ba lần kiểm định, trong trung bình kiểm định chéo (1,424 điểm phần trăm) và trên tập kiểm tra cuối (0,495 điểm phần trăm). Tuy vậy, theo RMSE thứ tự lại ngược: Ridge thấp hơn Seasonal Naive trong trung bình kiểm định chéo, ở lần 2, lần 3 và trên tập kiểm tra cuối (276,163 so với 348,382). Hai phương pháp vì thế có dạng sai số khác nhau: Seasonal Naive tổng sai số tuyệt đối thấp hơn nhưng có những sai số rất lớn, còn Ridge ít sai số cực lớn hơn nhưng sai đều trên nhiều quan sát.</w:t>
      </w:r>
    </w:p>
    <w:p>
      <w:pPr>
        <w:keepLines w:val="0"/>
        <w:spacing w:after="120"/>
        <w:ind w:firstLine="567"/>
      </w:pPr>
      <w:r>
        <w:t xml:space="preserve">Đặc điểm nổi bật của Seasonal Naive là sai số lớn ở vùng nhu cầu cao: RMSE của nó cao nhất trong năm mô hình cả ở trung bình kiểm định chéo (293,700) lẫn trên tập kiểm tra cuối (348,382), và tính lại theo mức nhu cầu trên tập kiểm tra cuối, MAE ở mức nhu cầu cao nhất lên tới 345,457. Phương pháp lặp lại tuần gần nhất tái tạo nguyên vẹn mọi biến động bất thường của tuần đó sang các tuần dự báo. Ngược lại, Seasonal Naive có sMAPE thấp nhất ở mọi lần kiểm định và trên tập kiểm tra cuối, đồng thời có MAE thấp nhất ở mức nhu cầu thấp nhất (1,323). Như đã phân tích ở Mục 4.2, điều này phản ánh khả năng lặp lại đúng giá trị 0 và đặc tính ưu ái dự báo đúng giá trị nhỏ của sMAPE và RMSLE, trong bối cảnh 14,58% số dòng của tập kiểm tra cuối có doanh số bằng 0, chứ không phản ánh năng lực dự báo tổng thể.</w:t>
      </w:r>
    </w:p>
    <w:p>
      <w:pPr>
        <w:keepLines w:val="0"/>
        <w:spacing w:after="120"/>
        <w:ind w:firstLine="567"/>
      </w:pPr>
      <w:r>
        <w:t xml:space="preserve">Ridge thể hiện một dạng sai số khác. Mô hình cực tiểu hóa tổng bình phương sai số cộng với phạt L2 trên hệ số (Hoerl và Kennard, 1970), nên dự báo là tổ hợp tuyến tính cộng tính của các đặc trưng và không tự học được tương tác hay phản ứng phi tuyến nếu chúng không được thiết kế tường minh, trong khi mô hình cây biểu diễn được chúng qua các phân tách liên tiếp (Hastie và cộng sự, 2009). Trong lần chạy, Ridge được áp dụng với alpha = 1,0 sau bước chuẩn hóa StandardScaler, vì hình phạt L2 phụ thuộc thang đo của đặc trưng và chuẩn hóa giúp mức phạt tác động đồng đều hơn lên các hệ số; tuy nhiên, các biến mã hóa như store_code, family_code, city_code vẫn được đưa vào dưới dạng số nguyên, tức mô hình tuyến tính buộc phải coi chúng như biến có thứ tự. Ridge có WAPE cao hơn XGBoost 6,833 điểm phần trăm trên tập kiểm tra cuối; quan hệ giữa nhu cầu và các đặc trưng rõ ràng không được mô tả đầy đủ bởi cấu trúc tuyến tính trong cấu hình này.</w:t>
      </w:r>
    </w:p>
    <w:p>
      <w:pPr>
        <w:keepLines w:val="0"/>
        <w:spacing w:after="120"/>
        <w:ind w:firstLine="567"/>
      </w:pPr>
      <w:r>
        <w:t xml:space="preserve">Hai thước đo sMAPE và RMSLE của Ridge rất cao so với các mô hình khác: trên tập kiểm tra cuối lần lượt là 0,8464 và 1,5739; RMSLE này gấp khoảng 2,74 lần RMSLE của XGBoost. Tệp dự báo theo dòng của lần chạy cho phép kiểm chứng nguyên nhân: trong số các quan sát có doanh số thực tế bằng 0, Ridge chỉ dự báo đúng bằng 0 ở 14,56%, và MAE của nó ở mức nhu cầu thấp nhất là 25,026, so với 1,715 của XGBoost. Mô hình tuyến tính tạo ra dự báo dương đáng kể cho các chuỗi gần như không phát sinh doanh số, vì chỉ các giá trị âm mới bị chặn về 0; mỗi dự báo dương ở điểm thực tế bằng 0 đóng góp mức sai số tối đa 2 vào sMAPE và một sai số đáng kể vào RMSLE. Đây là điểm yếu cấu trúc ở vùng nhu cầu nhỏ, khác với điểm yếu ở vùng nhu cầu lớn của Seasonal Naive.</w:t>
      </w:r>
    </w:p>
    <w:p>
      <w:pPr>
        <w:keepLines w:val="0"/>
        <w:spacing w:after="120"/>
        <w:ind w:firstLine="567"/>
      </w:pPr>
      <w:r>
        <w:t xml:space="preserve">Về chi phí, Ridge là mô hình học máy nhanh nhất: thời gian huấn luyện trung bình 2,11 giây trong kiểm định chéo và 2,2 giây khi huấn luyện lại, dù được huấn luyện trên toàn bộ 2.660.988 dòng. Kết quả làm rõ sự đánh đổi giữa tính đơn giản và độ chính xác trên bộ dữ liệu này; các cải tiến như mã hóa một-nóng (one-hot encoding) cho biến phân loại, biến đổi log mục tiêu hay bổ sung tương tác là lựa chọn thay thế chưa được thử nghiệm. Trong triển khai, vai trò cơ chế dự phòng phù hợp hơn với Seasonal Naive, vì đường cơ sở này không cần huấn luyện và đã cho WAPE thấp hơn Ridge ở mọi cửa sổ quan sát.</w:t>
      </w:r>
    </w:p>
    <w:p>
      <w:pPr>
        <w:pStyle w:val="Heading3"/>
        <w:keepNext/>
      </w:pPr>
      <w:r>
        <w:t xml:space="preserve">4.5.2. Random Forest</w:t>
      </w:r>
    </w:p>
    <w:p>
      <w:pPr>
        <w:keepLines w:val="0"/>
        <w:spacing w:after="120"/>
        <w:ind w:firstLine="567"/>
      </w:pPr>
      <w:r>
        <w:t xml:space="preserve">Random Forest đứng hạng 3 theo WAPE ở cả ba lần kiểm định và trên tập kiểm tra cuối, với WAPE trung bình kiểm định chéo 12,969% và WAPE trên tập kiểm tra cuối 16,181%. Về cơ chế, Random Forest lấy trung bình nhiều cây sâu huấn luyện độc lập trên các mẫu bootstrap nhằm giảm phương sai (Breiman, 2001); trong cấu hình mặc định của scikit-learn cho hồi quy, mỗi nút xét toàn bộ đặc trưng (max_features = 1,0), nên mô hình trong luận văn thực chất là bagging cây trên mẫu bootstrap. Các mô hình tăng cường thì xây cây tuần tự để sửa phần sai số còn lại (Friedman, 2001). Trong kiểm định chéo, Random Forest cách XGBoost 0,879 điểm phần trăm WAPE; trên tập kiểm tra cuối, khoảng cách tăng lên 1,854 điểm phần trăm và mức tăng WAPE của Random Forest (+3,213) gấp khoảng 1,44 lần XGBoost (+2,237). RMSE trên tập kiểm tra cuối của Random Forest (260,521) cũng cao hơn rõ rệt so với hai mô hình tăng cường.</w:t>
      </w:r>
    </w:p>
    <w:p>
      <w:pPr>
        <w:keepLines w:val="0"/>
        <w:spacing w:after="120"/>
        <w:ind w:firstLine="567"/>
      </w:pPr>
      <w:r>
        <w:t xml:space="preserve">Điểm mạnh riêng của Random Forest thể hiện ở vùng giá trị nhỏ: mô hình có RMSLE thấp nhất ở cả ba lần kiểm định và trên tập kiểm tra cuối (0,4640), dù chỉ đứng thứ ba về sMAPE. Tính lại theo mức nhu cầu trên tập kiểm tra cuối, Random Forest có MAE thấp hơn XGBoost ở ba mức nhu cầu thấp (1,563 so với 1,715 ở mức thấp nhất; 25,723 so với 26,391 ở mức thứ ba) nhưng cao hơn khoảng 37,669 đơn vị ở mức nhu cầu cao nhất. Đáng chú ý, ưu thế này không đến từ khả năng dự báo đúng bằng 0: Random Forest không dự báo đúng bằng 0 ở bất kỳ quan sát nào có doanh số thực tế bằng 0, có thể vì trung bình của nhiều cây trên các mẫu bootstrap hiếm khi bằng đúng 0 (dự báo nhỏ nhất của nó tại các quan sát này vẫn khoảng 0,158). Thay vào đó, dự báo của nó ở vùng nhỏ nhìn chung gần giá trị thực tế, điều mà RMSLE trên thang logarit đánh giá cao. Về mặt quyết định, RMSLE thấp là ưu điểm với các chuỗi bán chậm, nhưng không bù được sai số cao hơn ở các chuỗi lớn vốn chi phối WAPE.</w:t>
      </w:r>
    </w:p>
    <w:p>
      <w:pPr>
        <w:keepLines w:val="0"/>
        <w:spacing w:after="120"/>
        <w:ind w:firstLine="567"/>
      </w:pPr>
      <w:r>
        <w:t xml:space="preserve">Chi phí huấn luyện là điểm yếu rõ nhất của Random Forest. Thời gian huấn luyện trung bình trong kiểm định chéo là 612,65 giây và khi huấn luyện lại là 625,8 giây, gấp khoảng 11,2 lần XGBoost (55,7 giây) và 14,1 lần LightGBM (44,5 giây) ở bước huấn luyện lại. Chênh lệch này càng đáng kể khi Random Forest chỉ học trên mẫu ngẫu nhiên 600.000 dòng, khoảng 22,55% số dòng mà hai mô hình tăng cường sử dụng; giới hạn này được chấp nhận chính vì chi phí tính toán, và có thể là một phần nguyên nhân khiến Random Forest kém hơn ở vùng nhu cầu lớn. Chi phí có thể đến từ 120 cây sâu tối đa 18 tầng, mỗi nút xét toàn bộ 29 đặc trưng, so với cây nông hơn (độ sâu 8) dùng histogram của XGBoost; lần chạy không đo riêng từng yếu tố nên đây chỉ là giải thích khả dĩ, và số giây phụ thuộc thư viện, phần cứng nên không phải chuẩn đối sánh (benchmark) phổ quát. Trong quy trình này, Random Forest tạo ra sự đánh đổi kém thuận lợi nhất giữa độ chính xác và thời gian trong nhóm mô hình cây.</w:t>
      </w:r>
    </w:p>
    <w:p>
      <w:pPr>
        <w:pStyle w:val="Heading3"/>
        <w:keepNext/>
      </w:pPr>
      <w:r>
        <w:t xml:space="preserve">4.5.3. XGBoost và LightGBM</w:t>
      </w:r>
    </w:p>
    <w:p>
      <w:pPr>
        <w:keepLines w:val="0"/>
        <w:spacing w:after="120"/>
        <w:ind w:firstLine="567"/>
      </w:pPr>
      <w:r>
        <w:t xml:space="preserve">XGBoost và LightGBM là hai triển khai của tăng cường độ dốc (gradient boosting) trên cây quyết định (Friedman, 2001), khác nhau ở các kỹ thuật tối ưu: XGBoost dùng hàm mục tiêu có điều chuẩn và xấp xỉ bậc hai (Chen và Guestrin, 2016), còn LightGBM dùng thuật toán dựa trên histogram và tăng trưởng cây theo lá (Ke và cộng sự, 2017). Trong lần chạy, XGBoost dùng 450 cây, độ sâu tối đa 8, tốc độ học 0,05, subsample = 0,8, colsample_bytree = 0,8 và tree_method = hist được đặt tường minh; LightGBM dùng 450 cây, num_leaves = 63, tốc độ học 0,05, subsample = 0,85 với subsample_freq = 1 để việc lấy mẫu dòng có hiệu lực, và colsample_bytree = 0,85. Cả hai được huấn luyện trên toàn bộ dữ liệu huấn luyện, nên so sánh giữa hai mô hình tăng cường diễn ra dưới cùng quy tắc dữ liệu và đều dựa trên cấu hình cố định, không tinh chỉnh siêu tham số.</w:t>
      </w:r>
    </w:p>
    <w:p>
      <w:pPr>
        <w:keepLines w:val="0"/>
        <w:spacing w:after="120"/>
        <w:ind w:firstLine="567"/>
      </w:pPr>
      <w:r>
        <w:t xml:space="preserve">Hai mô hình cho kết quả rất gần nhau nhưng thứ tự nhất quán: XGBoost thắng WAPE ở cả ba lần kiểm định và trên tập kiểm tra cuối, đồng thời có RMSE thấp hơn ở cả ba lần kiểm định; LightGBM chỉ có RMSE thấp hơn trên tập kiểm tra cuối với mức chênh 0,123. XGBoost cũng có sMAPE và RMSLE thấp hơn LightGBM ở mọi lần kiểm định và trên tập kiểm tra cuối (ví dụ RMSLE 0,5752 so với 0,6524), và tính lại theo mức nhu cầu, MAE của XGBoost thấp hơn ở cả bốn mức. WAPE gắn với tổng lượng hàng bị dự báo lệch, còn RMSE nhấn mạnh các sai số lớn ở những chuỗi doanh số cao; trong lần chạy này hai thước đo gần như không mâu thuẫn. Nếu doanh nghiệp đặt nặng chi phí của sai số lớn, LightGBM vẫn là lựa chọn cạnh tranh vì mức chênh RMSE giữa hai mô hình rất nhỏ.</w:t>
      </w:r>
    </w:p>
    <w:p>
      <w:pPr>
        <w:keepLines w:val="0"/>
        <w:spacing w:after="120"/>
        <w:ind w:firstLine="567"/>
      </w:pPr>
      <w:r>
        <w:t xml:space="preserve">Về chi phí, LightGBM nhanh hơn XGBoost: 43,02 giây so với 65,34 giây trung bình trong kiểm định chéo và 44,5 giây so với 55,7 giây khi huấn luyện lại, trên cùng số dòng. Với tần suất huấn luyện lại hằng ngày hoặc hằng tuần, cả hai mức thời gian đều khả thi. Thí nghiệm độ nhạy ở mục 4.15 cho thấy hai lựa chọn thiết kế liên quan đến cặp mô hình này chỉ tác động nhỏ: khi XGBoost được huấn luyện trên mẫu 600.000 dòng thay vì toàn bộ dữ liệu, WAPE trung bình tăng 0,169 điểm phần trăm (12,258% so với 12,089%) nhưng lại thấp hơn một chút ở lần 2; khi LightGBM không đặt subsample_freq, WAPE trung bình chỉ tăng 0,027 điểm phần trăm và thấp hơn cấu hình chính thức ở lần 2 và lần 3. Cả hai mức chênh đều nhỏ hơn khoảng cách 0,478 điểm phần trăm giữa XGBoost và LightGBM. Do số lá, độ sâu cây và cơ chế lấy mẫu khác nhau, luận văn không suy ra rằng thuật toán XGBoost chính xác hơn LightGBM một cách tổng quát; kết quả chỉ có hiệu lực cho hai cấu hình cụ thể đã chạy.</w:t>
      </w:r>
    </w:p>
    <w:p>
      <w:pPr>
        <w:keepLines w:val="0"/>
        <w:spacing w:after="120"/>
        <w:ind w:firstLine="567"/>
      </w:pPr>
      <w:r>
        <w:t xml:space="preserve">Tổng hợp lại, sự lựa chọn XGBoost được hỗ trợ bởi năm quan sát nhất quán: WAPE trung bình thấp nhất, hạng 1 WAPE ở cả ba lần kiểm định, RMSE thấp nhất ở cả ba lần kiểm định, WAPE thấp nhất trên tập kiểm tra cuối và mức tăng tuyệt đối nhỏ nhất khi chuyển sang giai đoạn mới. Ngược lại, chênh lệch với LightGBM nhỏ hơn độ biến động giữa các lần kiểm định, LightGBM có độ lệch chuẩn WAPE thấp hơn, mức suy giảm tương đối nhỏ hơn một chút và RMSE trên tập kiểm tra cuối gần như bằng; vì vậy, hai mô hình nên được coi là hai ứng viên mạnh, trong đó XGBoost được chọn theo quy tắc minh bạch đã xác định trước và LightGBM phù hợp làm mô hình thách thức. Mục 4.8 trình bày mức độ quan trọng của đặc trưng theo gain của chính XGBoost, kèm số lần tách của LightGBM làm đối chứng.</w:t>
      </w:r>
    </w:p>
    <w:p>
      <w:pPr>
        <w:pStyle w:val="Heading2"/>
        <w:keepNext/>
      </w:pPr>
      <w:r>
        <w:t xml:space="preserve">4.6. Diễn biến theo ngày và chẩn đoán phần dư trên tập kiểm tra cuối</w:t>
      </w:r>
    </w:p>
    <w:p>
      <w:pPr>
        <w:pStyle w:val="Heading3"/>
        <w:keepNext/>
      </w:pPr>
      <w:r>
        <w:t xml:space="preserve">4.6.1. Tổng nhu cầu thực tế và dự báo theo ngày</w:t>
      </w:r>
    </w:p>
    <w:p>
      <w:pPr>
        <w:keepLines w:val="0"/>
        <w:spacing w:after="120"/>
        <w:ind w:firstLine="567"/>
      </w:pPr>
      <w:r>
        <w:t xml:space="preserve">Mục 4.4 đã đánh giá mô hình được chọn bằng các thước đo tổng hợp trên toàn bộ tập kiểm tra cuối. Mục này đi xuống trục thời gian để xem sai số đó hình thành như thế nào qua từng ngày của kỳ dự báo 16 ngày, từ 31/07/2017 đến 15/08/2017. Đơn vị phân tích là tổng doanh số của toàn bộ 1.782 chuỗi Store × Family trong một ngày, tức 28.512 quan sát chuỗi – ngày được cộng thành 16 điểm dữ liệu. Bảng 4.6 trình bày giá trị thực tế, dự báo điểm của XGBoost, sai lệch phần trăm, MAE theo ngày cùng tổng P10 và tổng P90 của lớp dự báo xác suất. Cả 16 ngày được dự báo từ cùng một gốc, với mô hình cuối huấn luyện trên toàn bộ dữ liệu trước 31/07/2017 (2.660.988 dòng).</w:t>
      </w:r>
    </w:p>
    <w:p>
      <w:pPr>
        <w:keepNext/>
        <w:spacing w:before="120" w:after="60"/>
        <w:ind w:firstLine="0"/>
        <w:jc w:val="center"/>
      </w:pPr>
      <w:r>
        <w:t xml:space="preserve">Bảng 4.6. Tổng doanh số thực tế, dự báo điểm XGBoost và tổng P10/P90 theo ngày trên tập kiểm tra cuối 16 ngày</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237"/>
        <w:gridCol w:w="1010"/>
        <w:gridCol w:w="1129"/>
        <w:gridCol w:w="1184"/>
        <w:gridCol w:w="1237"/>
        <w:gridCol w:w="1010"/>
        <w:gridCol w:w="1129"/>
        <w:gridCol w:w="1135"/>
      </w:tblGrid>
      <w:tr>
        <w:trPr>
          <w:tblHeader/>
          <w:cantSplit/>
        </w:trPr>
        <w:tc>
          <w:tcPr>
            <w:tcW w:type="dxa" w:w="1237"/>
            <w:shd w:val="clear" w:color="auto" w:fill="D9E2F3"/>
            <w:vAlign w:val="center"/>
          </w:tcPr>
          <w:p>
            <w:pPr>
              <w:spacing w:before="20" w:after="20" w:line="260" w:lineRule="auto"/>
              <w:ind w:firstLine="0"/>
              <w:jc w:val="center"/>
            </w:pPr>
            <w:r>
              <w:rPr>
                <w:b/>
                <w:sz w:val="20"/>
                <w:szCs w:val="20"/>
              </w:rPr>
              <w:t xml:space="preserve">Ngày</w:t>
            </w:r>
          </w:p>
        </w:tc>
        <w:tc>
          <w:tcPr>
            <w:tcW w:type="dxa" w:w="1010"/>
            <w:shd w:val="clear" w:color="auto" w:fill="D9E2F3"/>
            <w:vAlign w:val="center"/>
          </w:tcPr>
          <w:p>
            <w:pPr>
              <w:spacing w:before="20" w:after="20" w:line="260" w:lineRule="auto"/>
              <w:ind w:firstLine="0"/>
              <w:jc w:val="center"/>
            </w:pPr>
            <w:r>
              <w:rPr>
                <w:b/>
                <w:sz w:val="20"/>
                <w:szCs w:val="20"/>
              </w:rPr>
              <w:t xml:space="preserve">Thứ</w:t>
            </w:r>
          </w:p>
        </w:tc>
        <w:tc>
          <w:tcPr>
            <w:tcW w:type="dxa" w:w="1129"/>
            <w:shd w:val="clear" w:color="auto" w:fill="D9E2F3"/>
            <w:vAlign w:val="center"/>
          </w:tcPr>
          <w:p>
            <w:pPr>
              <w:spacing w:before="20" w:after="20" w:line="260" w:lineRule="auto"/>
              <w:ind w:firstLine="0"/>
              <w:jc w:val="center"/>
            </w:pPr>
            <w:r>
              <w:rPr>
                <w:b/>
                <w:sz w:val="20"/>
                <w:szCs w:val="20"/>
              </w:rPr>
              <w:t xml:space="preserve">Thực tế</w:t>
            </w:r>
          </w:p>
        </w:tc>
        <w:tc>
          <w:tcPr>
            <w:tcW w:type="dxa" w:w="1184"/>
            <w:shd w:val="clear" w:color="auto" w:fill="D9E2F3"/>
            <w:vAlign w:val="center"/>
          </w:tcPr>
          <w:p>
            <w:pPr>
              <w:spacing w:before="20" w:after="20" w:line="260" w:lineRule="auto"/>
              <w:ind w:firstLine="0"/>
              <w:jc w:val="center"/>
            </w:pPr>
            <w:r>
              <w:rPr>
                <w:b/>
                <w:sz w:val="20"/>
                <w:szCs w:val="20"/>
              </w:rPr>
              <w:t xml:space="preserve">Dự báo điểm</w:t>
            </w:r>
          </w:p>
        </w:tc>
        <w:tc>
          <w:tcPr>
            <w:tcW w:type="dxa" w:w="1237"/>
            <w:shd w:val="clear" w:color="auto" w:fill="D9E2F3"/>
            <w:vAlign w:val="center"/>
          </w:tcPr>
          <w:p>
            <w:pPr>
              <w:spacing w:before="20" w:after="20" w:line="260" w:lineRule="auto"/>
              <w:ind w:firstLine="0"/>
              <w:jc w:val="center"/>
            </w:pPr>
            <w:r>
              <w:rPr>
                <w:b/>
                <w:sz w:val="20"/>
                <w:szCs w:val="20"/>
              </w:rPr>
              <w:t xml:space="preserve">Sai lệch (%)</w:t>
            </w:r>
          </w:p>
        </w:tc>
        <w:tc>
          <w:tcPr>
            <w:tcW w:type="dxa" w:w="1010"/>
            <w:shd w:val="clear" w:color="auto" w:fill="D9E2F3"/>
            <w:vAlign w:val="center"/>
          </w:tcPr>
          <w:p>
            <w:pPr>
              <w:spacing w:before="20" w:after="20" w:line="260" w:lineRule="auto"/>
              <w:ind w:firstLine="0"/>
              <w:jc w:val="center"/>
            </w:pPr>
            <w:r>
              <w:rPr>
                <w:b/>
                <w:sz w:val="20"/>
                <w:szCs w:val="20"/>
              </w:rPr>
              <w:t xml:space="preserve">MAE</w:t>
            </w:r>
          </w:p>
        </w:tc>
        <w:tc>
          <w:tcPr>
            <w:tcW w:type="dxa" w:w="1129"/>
            <w:shd w:val="clear" w:color="auto" w:fill="D9E2F3"/>
            <w:vAlign w:val="center"/>
          </w:tcPr>
          <w:p>
            <w:pPr>
              <w:spacing w:before="20" w:after="20" w:line="260" w:lineRule="auto"/>
              <w:ind w:firstLine="0"/>
              <w:jc w:val="center"/>
            </w:pPr>
            <w:r>
              <w:rPr>
                <w:b/>
                <w:sz w:val="20"/>
                <w:szCs w:val="20"/>
              </w:rPr>
              <w:t xml:space="preserve">Tổng P10</w:t>
            </w:r>
          </w:p>
        </w:tc>
        <w:tc>
          <w:tcPr>
            <w:tcW w:type="dxa" w:w="1135"/>
            <w:shd w:val="clear" w:color="auto" w:fill="D9E2F3"/>
            <w:vAlign w:val="center"/>
          </w:tcPr>
          <w:p>
            <w:pPr>
              <w:spacing w:before="20" w:after="20" w:line="260" w:lineRule="auto"/>
              <w:ind w:firstLine="0"/>
              <w:jc w:val="center"/>
            </w:pPr>
            <w:r>
              <w:rPr>
                <w:b/>
                <w:sz w:val="20"/>
                <w:szCs w:val="20"/>
              </w:rPr>
              <w:t xml:space="preserve">Tổng P90</w:t>
            </w:r>
          </w:p>
        </w:tc>
      </w:tr>
      <w:tr>
        <w:trPr>
          <w:cantSplit/>
        </w:trPr>
        <w:tc>
          <w:tcPr>
            <w:tcW w:type="dxa" w:w="1237"/>
            <w:vAlign w:val="center"/>
          </w:tcPr>
          <w:p>
            <w:pPr>
              <w:spacing w:before="20" w:after="20" w:line="260" w:lineRule="auto"/>
              <w:ind w:firstLine="0"/>
              <w:jc w:val="center"/>
            </w:pPr>
            <w:r>
              <w:rPr>
                <w:sz w:val="20"/>
                <w:szCs w:val="20"/>
              </w:rPr>
              <w:t xml:space="preserve">31/07/2017</w:t>
            </w:r>
          </w:p>
        </w:tc>
        <w:tc>
          <w:tcPr>
            <w:tcW w:type="dxa" w:w="1010"/>
            <w:vAlign w:val="center"/>
          </w:tcPr>
          <w:p>
            <w:pPr>
              <w:spacing w:before="20" w:after="20" w:line="260" w:lineRule="auto"/>
              <w:ind w:firstLine="0"/>
              <w:jc w:val="left"/>
            </w:pPr>
            <w:r>
              <w:rPr>
                <w:sz w:val="20"/>
                <w:szCs w:val="20"/>
              </w:rPr>
              <w:t xml:space="preserve">T2</w:t>
            </w:r>
          </w:p>
        </w:tc>
        <w:tc>
          <w:tcPr>
            <w:tcW w:type="dxa" w:w="1129"/>
            <w:vAlign w:val="center"/>
          </w:tcPr>
          <w:p>
            <w:pPr>
              <w:spacing w:before="20" w:after="20" w:line="260" w:lineRule="auto"/>
              <w:ind w:firstLine="0"/>
              <w:jc w:val="center"/>
            </w:pPr>
            <w:r>
              <w:rPr>
                <w:sz w:val="20"/>
                <w:szCs w:val="20"/>
              </w:rPr>
              <w:t xml:space="preserve">885.857</w:t>
            </w:r>
          </w:p>
        </w:tc>
        <w:tc>
          <w:tcPr>
            <w:tcW w:type="dxa" w:w="1184"/>
            <w:vAlign w:val="center"/>
          </w:tcPr>
          <w:p>
            <w:pPr>
              <w:spacing w:before="20" w:after="20" w:line="260" w:lineRule="auto"/>
              <w:ind w:firstLine="0"/>
              <w:jc w:val="center"/>
            </w:pPr>
            <w:r>
              <w:rPr>
                <w:sz w:val="20"/>
                <w:szCs w:val="20"/>
              </w:rPr>
              <w:t xml:space="preserve">872.601</w:t>
            </w:r>
          </w:p>
        </w:tc>
        <w:tc>
          <w:tcPr>
            <w:tcW w:type="dxa" w:w="1237"/>
            <w:vAlign w:val="center"/>
          </w:tcPr>
          <w:p>
            <w:pPr>
              <w:spacing w:before="20" w:after="20" w:line="260" w:lineRule="auto"/>
              <w:ind w:firstLine="0"/>
              <w:jc w:val="center"/>
            </w:pPr>
            <w:r>
              <w:rPr>
                <w:sz w:val="20"/>
                <w:szCs w:val="20"/>
              </w:rPr>
              <w:t xml:space="preserve">−1,50</w:t>
            </w:r>
          </w:p>
        </w:tc>
        <w:tc>
          <w:tcPr>
            <w:tcW w:type="dxa" w:w="1010"/>
            <w:vAlign w:val="center"/>
          </w:tcPr>
          <w:p>
            <w:pPr>
              <w:spacing w:before="20" w:after="20" w:line="260" w:lineRule="auto"/>
              <w:ind w:firstLine="0"/>
              <w:jc w:val="center"/>
            </w:pPr>
            <w:r>
              <w:rPr>
                <w:sz w:val="20"/>
                <w:szCs w:val="20"/>
              </w:rPr>
              <w:t xml:space="preserve">61,57</w:t>
            </w:r>
          </w:p>
        </w:tc>
        <w:tc>
          <w:tcPr>
            <w:tcW w:type="dxa" w:w="1129"/>
            <w:vAlign w:val="center"/>
          </w:tcPr>
          <w:p>
            <w:pPr>
              <w:spacing w:before="20" w:after="20" w:line="260" w:lineRule="auto"/>
              <w:ind w:firstLine="0"/>
              <w:jc w:val="center"/>
            </w:pPr>
            <w:r>
              <w:rPr>
                <w:sz w:val="20"/>
                <w:szCs w:val="20"/>
              </w:rPr>
              <w:t xml:space="preserve">748.774</w:t>
            </w:r>
          </w:p>
        </w:tc>
        <w:tc>
          <w:tcPr>
            <w:tcW w:type="dxa" w:w="1135"/>
            <w:vAlign w:val="center"/>
          </w:tcPr>
          <w:p>
            <w:pPr>
              <w:spacing w:before="20" w:after="20" w:line="260" w:lineRule="auto"/>
              <w:ind w:firstLine="0"/>
              <w:jc w:val="center"/>
            </w:pPr>
            <w:r>
              <w:rPr>
                <w:sz w:val="20"/>
                <w:szCs w:val="20"/>
              </w:rPr>
              <w:t xml:space="preserve">1.073.070</w:t>
            </w:r>
          </w:p>
        </w:tc>
      </w:tr>
      <w:tr>
        <w:trPr>
          <w:cantSplit/>
        </w:trPr>
        <w:tc>
          <w:tcPr>
            <w:tcW w:type="dxa" w:w="1237"/>
            <w:vAlign w:val="center"/>
          </w:tcPr>
          <w:p>
            <w:pPr>
              <w:spacing w:before="20" w:after="20" w:line="260" w:lineRule="auto"/>
              <w:ind w:firstLine="0"/>
              <w:jc w:val="center"/>
            </w:pPr>
            <w:r>
              <w:rPr>
                <w:sz w:val="20"/>
                <w:szCs w:val="20"/>
              </w:rPr>
              <w:t xml:space="preserve">01/08/2017</w:t>
            </w:r>
          </w:p>
        </w:tc>
        <w:tc>
          <w:tcPr>
            <w:tcW w:type="dxa" w:w="1010"/>
            <w:vAlign w:val="center"/>
          </w:tcPr>
          <w:p>
            <w:pPr>
              <w:spacing w:before="20" w:after="20" w:line="260" w:lineRule="auto"/>
              <w:ind w:firstLine="0"/>
              <w:jc w:val="left"/>
            </w:pPr>
            <w:r>
              <w:rPr>
                <w:sz w:val="20"/>
                <w:szCs w:val="20"/>
              </w:rPr>
              <w:t xml:space="preserve">T3</w:t>
            </w:r>
          </w:p>
        </w:tc>
        <w:tc>
          <w:tcPr>
            <w:tcW w:type="dxa" w:w="1129"/>
            <w:vAlign w:val="center"/>
          </w:tcPr>
          <w:p>
            <w:pPr>
              <w:spacing w:before="20" w:after="20" w:line="260" w:lineRule="auto"/>
              <w:ind w:firstLine="0"/>
              <w:jc w:val="center"/>
            </w:pPr>
            <w:r>
              <w:rPr>
                <w:sz w:val="20"/>
                <w:szCs w:val="20"/>
              </w:rPr>
              <w:t xml:space="preserve">988.528</w:t>
            </w:r>
          </w:p>
        </w:tc>
        <w:tc>
          <w:tcPr>
            <w:tcW w:type="dxa" w:w="1184"/>
            <w:vAlign w:val="center"/>
          </w:tcPr>
          <w:p>
            <w:pPr>
              <w:spacing w:before="20" w:after="20" w:line="260" w:lineRule="auto"/>
              <w:ind w:firstLine="0"/>
              <w:jc w:val="center"/>
            </w:pPr>
            <w:r>
              <w:rPr>
                <w:sz w:val="20"/>
                <w:szCs w:val="20"/>
              </w:rPr>
              <w:t xml:space="preserve">936.898</w:t>
            </w:r>
          </w:p>
        </w:tc>
        <w:tc>
          <w:tcPr>
            <w:tcW w:type="dxa" w:w="1237"/>
            <w:vAlign w:val="center"/>
          </w:tcPr>
          <w:p>
            <w:pPr>
              <w:spacing w:before="20" w:after="20" w:line="260" w:lineRule="auto"/>
              <w:ind w:firstLine="0"/>
              <w:jc w:val="center"/>
            </w:pPr>
            <w:r>
              <w:rPr>
                <w:sz w:val="20"/>
                <w:szCs w:val="20"/>
              </w:rPr>
              <w:t xml:space="preserve">−5,22</w:t>
            </w:r>
          </w:p>
        </w:tc>
        <w:tc>
          <w:tcPr>
            <w:tcW w:type="dxa" w:w="1010"/>
            <w:vAlign w:val="center"/>
          </w:tcPr>
          <w:p>
            <w:pPr>
              <w:spacing w:before="20" w:after="20" w:line="260" w:lineRule="auto"/>
              <w:ind w:firstLine="0"/>
              <w:jc w:val="center"/>
            </w:pPr>
            <w:r>
              <w:rPr>
                <w:sz w:val="20"/>
                <w:szCs w:val="20"/>
              </w:rPr>
              <w:t xml:space="preserve">70,31</w:t>
            </w:r>
          </w:p>
        </w:tc>
        <w:tc>
          <w:tcPr>
            <w:tcW w:type="dxa" w:w="1129"/>
            <w:vAlign w:val="center"/>
          </w:tcPr>
          <w:p>
            <w:pPr>
              <w:spacing w:before="20" w:after="20" w:line="260" w:lineRule="auto"/>
              <w:ind w:firstLine="0"/>
              <w:jc w:val="center"/>
            </w:pPr>
            <w:r>
              <w:rPr>
                <w:sz w:val="20"/>
                <w:szCs w:val="20"/>
              </w:rPr>
              <w:t xml:space="preserve">806.150</w:t>
            </w:r>
          </w:p>
        </w:tc>
        <w:tc>
          <w:tcPr>
            <w:tcW w:type="dxa" w:w="1135"/>
            <w:vAlign w:val="center"/>
          </w:tcPr>
          <w:p>
            <w:pPr>
              <w:spacing w:before="20" w:after="20" w:line="260" w:lineRule="auto"/>
              <w:ind w:firstLine="0"/>
              <w:jc w:val="center"/>
            </w:pPr>
            <w:r>
              <w:rPr>
                <w:sz w:val="20"/>
                <w:szCs w:val="20"/>
              </w:rPr>
              <w:t xml:space="preserve">1.149.079</w:t>
            </w:r>
          </w:p>
        </w:tc>
      </w:tr>
      <w:tr>
        <w:trPr>
          <w:cantSplit/>
        </w:trPr>
        <w:tc>
          <w:tcPr>
            <w:tcW w:type="dxa" w:w="1237"/>
            <w:vAlign w:val="center"/>
          </w:tcPr>
          <w:p>
            <w:pPr>
              <w:spacing w:before="20" w:after="20" w:line="260" w:lineRule="auto"/>
              <w:ind w:firstLine="0"/>
              <w:jc w:val="center"/>
            </w:pPr>
            <w:r>
              <w:rPr>
                <w:sz w:val="20"/>
                <w:szCs w:val="20"/>
              </w:rPr>
              <w:t xml:space="preserve">02/08/2017</w:t>
            </w:r>
          </w:p>
        </w:tc>
        <w:tc>
          <w:tcPr>
            <w:tcW w:type="dxa" w:w="1010"/>
            <w:vAlign w:val="center"/>
          </w:tcPr>
          <w:p>
            <w:pPr>
              <w:spacing w:before="20" w:after="20" w:line="260" w:lineRule="auto"/>
              <w:ind w:firstLine="0"/>
              <w:jc w:val="left"/>
            </w:pPr>
            <w:r>
              <w:rPr>
                <w:sz w:val="20"/>
                <w:szCs w:val="20"/>
              </w:rPr>
              <w:t xml:space="preserve">T4</w:t>
            </w:r>
          </w:p>
        </w:tc>
        <w:tc>
          <w:tcPr>
            <w:tcW w:type="dxa" w:w="1129"/>
            <w:vAlign w:val="center"/>
          </w:tcPr>
          <w:p>
            <w:pPr>
              <w:spacing w:before="20" w:after="20" w:line="260" w:lineRule="auto"/>
              <w:ind w:firstLine="0"/>
              <w:jc w:val="center"/>
            </w:pPr>
            <w:r>
              <w:rPr>
                <w:sz w:val="20"/>
                <w:szCs w:val="20"/>
              </w:rPr>
              <w:t xml:space="preserve">964.712</w:t>
            </w:r>
          </w:p>
        </w:tc>
        <w:tc>
          <w:tcPr>
            <w:tcW w:type="dxa" w:w="1184"/>
            <w:vAlign w:val="center"/>
          </w:tcPr>
          <w:p>
            <w:pPr>
              <w:spacing w:before="20" w:after="20" w:line="260" w:lineRule="auto"/>
              <w:ind w:firstLine="0"/>
              <w:jc w:val="center"/>
            </w:pPr>
            <w:r>
              <w:rPr>
                <w:sz w:val="20"/>
                <w:szCs w:val="20"/>
              </w:rPr>
              <w:t xml:space="preserve">927.367</w:t>
            </w:r>
          </w:p>
        </w:tc>
        <w:tc>
          <w:tcPr>
            <w:tcW w:type="dxa" w:w="1237"/>
            <w:vAlign w:val="center"/>
          </w:tcPr>
          <w:p>
            <w:pPr>
              <w:spacing w:before="20" w:after="20" w:line="260" w:lineRule="auto"/>
              <w:ind w:firstLine="0"/>
              <w:jc w:val="center"/>
            </w:pPr>
            <w:r>
              <w:rPr>
                <w:sz w:val="20"/>
                <w:szCs w:val="20"/>
              </w:rPr>
              <w:t xml:space="preserve">−3,87</w:t>
            </w:r>
          </w:p>
        </w:tc>
        <w:tc>
          <w:tcPr>
            <w:tcW w:type="dxa" w:w="1010"/>
            <w:vAlign w:val="center"/>
          </w:tcPr>
          <w:p>
            <w:pPr>
              <w:spacing w:before="20" w:after="20" w:line="260" w:lineRule="auto"/>
              <w:ind w:firstLine="0"/>
              <w:jc w:val="center"/>
            </w:pPr>
            <w:r>
              <w:rPr>
                <w:sz w:val="20"/>
                <w:szCs w:val="20"/>
              </w:rPr>
              <w:t xml:space="preserve">63,59</w:t>
            </w:r>
          </w:p>
        </w:tc>
        <w:tc>
          <w:tcPr>
            <w:tcW w:type="dxa" w:w="1129"/>
            <w:vAlign w:val="center"/>
          </w:tcPr>
          <w:p>
            <w:pPr>
              <w:spacing w:before="20" w:after="20" w:line="260" w:lineRule="auto"/>
              <w:ind w:firstLine="0"/>
              <w:jc w:val="center"/>
            </w:pPr>
            <w:r>
              <w:rPr>
                <w:sz w:val="20"/>
                <w:szCs w:val="20"/>
              </w:rPr>
              <w:t xml:space="preserve">802.784</w:t>
            </w:r>
          </w:p>
        </w:tc>
        <w:tc>
          <w:tcPr>
            <w:tcW w:type="dxa" w:w="1135"/>
            <w:vAlign w:val="center"/>
          </w:tcPr>
          <w:p>
            <w:pPr>
              <w:spacing w:before="20" w:after="20" w:line="260" w:lineRule="auto"/>
              <w:ind w:firstLine="0"/>
              <w:jc w:val="center"/>
            </w:pPr>
            <w:r>
              <w:rPr>
                <w:sz w:val="20"/>
                <w:szCs w:val="20"/>
              </w:rPr>
              <w:t xml:space="preserve">1.127.406</w:t>
            </w:r>
          </w:p>
        </w:tc>
      </w:tr>
      <w:tr>
        <w:trPr>
          <w:cantSplit/>
        </w:trPr>
        <w:tc>
          <w:tcPr>
            <w:tcW w:type="dxa" w:w="1237"/>
            <w:vAlign w:val="center"/>
          </w:tcPr>
          <w:p>
            <w:pPr>
              <w:spacing w:before="20" w:after="20" w:line="260" w:lineRule="auto"/>
              <w:ind w:firstLine="0"/>
              <w:jc w:val="center"/>
            </w:pPr>
            <w:r>
              <w:rPr>
                <w:sz w:val="20"/>
                <w:szCs w:val="20"/>
              </w:rPr>
              <w:t xml:space="preserve">03/08/2017</w:t>
            </w:r>
          </w:p>
        </w:tc>
        <w:tc>
          <w:tcPr>
            <w:tcW w:type="dxa" w:w="1010"/>
            <w:vAlign w:val="center"/>
          </w:tcPr>
          <w:p>
            <w:pPr>
              <w:spacing w:before="20" w:after="20" w:line="260" w:lineRule="auto"/>
              <w:ind w:firstLine="0"/>
              <w:jc w:val="left"/>
            </w:pPr>
            <w:r>
              <w:rPr>
                <w:sz w:val="20"/>
                <w:szCs w:val="20"/>
              </w:rPr>
              <w:t xml:space="preserve">T5</w:t>
            </w:r>
          </w:p>
        </w:tc>
        <w:tc>
          <w:tcPr>
            <w:tcW w:type="dxa" w:w="1129"/>
            <w:vAlign w:val="center"/>
          </w:tcPr>
          <w:p>
            <w:pPr>
              <w:spacing w:before="20" w:after="20" w:line="260" w:lineRule="auto"/>
              <w:ind w:firstLine="0"/>
              <w:jc w:val="center"/>
            </w:pPr>
            <w:r>
              <w:rPr>
                <w:sz w:val="20"/>
                <w:szCs w:val="20"/>
              </w:rPr>
              <w:t xml:space="preserve">728.068</w:t>
            </w:r>
          </w:p>
        </w:tc>
        <w:tc>
          <w:tcPr>
            <w:tcW w:type="dxa" w:w="1184"/>
            <w:vAlign w:val="center"/>
          </w:tcPr>
          <w:p>
            <w:pPr>
              <w:spacing w:before="20" w:after="20" w:line="260" w:lineRule="auto"/>
              <w:ind w:firstLine="0"/>
              <w:jc w:val="center"/>
            </w:pPr>
            <w:r>
              <w:rPr>
                <w:sz w:val="20"/>
                <w:szCs w:val="20"/>
              </w:rPr>
              <w:t xml:space="preserve">766.948</w:t>
            </w:r>
          </w:p>
        </w:tc>
        <w:tc>
          <w:tcPr>
            <w:tcW w:type="dxa" w:w="1237"/>
            <w:vAlign w:val="center"/>
          </w:tcPr>
          <w:p>
            <w:pPr>
              <w:spacing w:before="20" w:after="20" w:line="260" w:lineRule="auto"/>
              <w:ind w:firstLine="0"/>
              <w:jc w:val="center"/>
            </w:pPr>
            <w:r>
              <w:rPr>
                <w:sz w:val="20"/>
                <w:szCs w:val="20"/>
              </w:rPr>
              <w:t xml:space="preserve">5,34</w:t>
            </w:r>
          </w:p>
        </w:tc>
        <w:tc>
          <w:tcPr>
            <w:tcW w:type="dxa" w:w="1010"/>
            <w:vAlign w:val="center"/>
          </w:tcPr>
          <w:p>
            <w:pPr>
              <w:spacing w:before="20" w:after="20" w:line="260" w:lineRule="auto"/>
              <w:ind w:firstLine="0"/>
              <w:jc w:val="center"/>
            </w:pPr>
            <w:r>
              <w:rPr>
                <w:sz w:val="20"/>
                <w:szCs w:val="20"/>
              </w:rPr>
              <w:t xml:space="preserve">59,29</w:t>
            </w:r>
          </w:p>
        </w:tc>
        <w:tc>
          <w:tcPr>
            <w:tcW w:type="dxa" w:w="1129"/>
            <w:vAlign w:val="center"/>
          </w:tcPr>
          <w:p>
            <w:pPr>
              <w:spacing w:before="20" w:after="20" w:line="260" w:lineRule="auto"/>
              <w:ind w:firstLine="0"/>
              <w:jc w:val="center"/>
            </w:pPr>
            <w:r>
              <w:rPr>
                <w:sz w:val="20"/>
                <w:szCs w:val="20"/>
              </w:rPr>
              <w:t xml:space="preserve">648.701</w:t>
            </w:r>
          </w:p>
        </w:tc>
        <w:tc>
          <w:tcPr>
            <w:tcW w:type="dxa" w:w="1135"/>
            <w:vAlign w:val="center"/>
          </w:tcPr>
          <w:p>
            <w:pPr>
              <w:spacing w:before="20" w:after="20" w:line="260" w:lineRule="auto"/>
              <w:ind w:firstLine="0"/>
              <w:jc w:val="center"/>
            </w:pPr>
            <w:r>
              <w:rPr>
                <w:sz w:val="20"/>
                <w:szCs w:val="20"/>
              </w:rPr>
              <w:t xml:space="preserve">955.340</w:t>
            </w:r>
          </w:p>
        </w:tc>
      </w:tr>
      <w:tr>
        <w:trPr>
          <w:cantSplit/>
        </w:trPr>
        <w:tc>
          <w:tcPr>
            <w:tcW w:type="dxa" w:w="1237"/>
            <w:vAlign w:val="center"/>
          </w:tcPr>
          <w:p>
            <w:pPr>
              <w:spacing w:before="20" w:after="20" w:line="260" w:lineRule="auto"/>
              <w:ind w:firstLine="0"/>
              <w:jc w:val="center"/>
            </w:pPr>
            <w:r>
              <w:rPr>
                <w:sz w:val="20"/>
                <w:szCs w:val="20"/>
              </w:rPr>
              <w:t xml:space="preserve">04/08/2017</w:t>
            </w:r>
          </w:p>
        </w:tc>
        <w:tc>
          <w:tcPr>
            <w:tcW w:type="dxa" w:w="1010"/>
            <w:vAlign w:val="center"/>
          </w:tcPr>
          <w:p>
            <w:pPr>
              <w:spacing w:before="20" w:after="20" w:line="260" w:lineRule="auto"/>
              <w:ind w:firstLine="0"/>
              <w:jc w:val="left"/>
            </w:pPr>
            <w:r>
              <w:rPr>
                <w:sz w:val="20"/>
                <w:szCs w:val="20"/>
              </w:rPr>
              <w:t xml:space="preserve">T6</w:t>
            </w:r>
          </w:p>
        </w:tc>
        <w:tc>
          <w:tcPr>
            <w:tcW w:type="dxa" w:w="1129"/>
            <w:vAlign w:val="center"/>
          </w:tcPr>
          <w:p>
            <w:pPr>
              <w:spacing w:before="20" w:after="20" w:line="260" w:lineRule="auto"/>
              <w:ind w:firstLine="0"/>
              <w:jc w:val="center"/>
            </w:pPr>
            <w:r>
              <w:rPr>
                <w:sz w:val="20"/>
                <w:szCs w:val="20"/>
              </w:rPr>
              <w:t xml:space="preserve">827.776</w:t>
            </w:r>
          </w:p>
        </w:tc>
        <w:tc>
          <w:tcPr>
            <w:tcW w:type="dxa" w:w="1184"/>
            <w:vAlign w:val="center"/>
          </w:tcPr>
          <w:p>
            <w:pPr>
              <w:spacing w:before="20" w:after="20" w:line="260" w:lineRule="auto"/>
              <w:ind w:firstLine="0"/>
              <w:jc w:val="center"/>
            </w:pPr>
            <w:r>
              <w:rPr>
                <w:sz w:val="20"/>
                <w:szCs w:val="20"/>
              </w:rPr>
              <w:t xml:space="preserve">849.503</w:t>
            </w:r>
          </w:p>
        </w:tc>
        <w:tc>
          <w:tcPr>
            <w:tcW w:type="dxa" w:w="1237"/>
            <w:vAlign w:val="center"/>
          </w:tcPr>
          <w:p>
            <w:pPr>
              <w:spacing w:before="20" w:after="20" w:line="260" w:lineRule="auto"/>
              <w:ind w:firstLine="0"/>
              <w:jc w:val="center"/>
            </w:pPr>
            <w:r>
              <w:rPr>
                <w:sz w:val="20"/>
                <w:szCs w:val="20"/>
              </w:rPr>
              <w:t xml:space="preserve">2,62</w:t>
            </w:r>
          </w:p>
        </w:tc>
        <w:tc>
          <w:tcPr>
            <w:tcW w:type="dxa" w:w="1010"/>
            <w:vAlign w:val="center"/>
          </w:tcPr>
          <w:p>
            <w:pPr>
              <w:spacing w:before="20" w:after="20" w:line="260" w:lineRule="auto"/>
              <w:ind w:firstLine="0"/>
              <w:jc w:val="center"/>
            </w:pPr>
            <w:r>
              <w:rPr>
                <w:sz w:val="20"/>
                <w:szCs w:val="20"/>
              </w:rPr>
              <w:t xml:space="preserve">64,46</w:t>
            </w:r>
          </w:p>
        </w:tc>
        <w:tc>
          <w:tcPr>
            <w:tcW w:type="dxa" w:w="1129"/>
            <w:vAlign w:val="center"/>
          </w:tcPr>
          <w:p>
            <w:pPr>
              <w:spacing w:before="20" w:after="20" w:line="260" w:lineRule="auto"/>
              <w:ind w:firstLine="0"/>
              <w:jc w:val="center"/>
            </w:pPr>
            <w:r>
              <w:rPr>
                <w:sz w:val="20"/>
                <w:szCs w:val="20"/>
              </w:rPr>
              <w:t xml:space="preserve">720.944</w:t>
            </w:r>
          </w:p>
        </w:tc>
        <w:tc>
          <w:tcPr>
            <w:tcW w:type="dxa" w:w="1135"/>
            <w:vAlign w:val="center"/>
          </w:tcPr>
          <w:p>
            <w:pPr>
              <w:spacing w:before="20" w:after="20" w:line="260" w:lineRule="auto"/>
              <w:ind w:firstLine="0"/>
              <w:jc w:val="center"/>
            </w:pPr>
            <w:r>
              <w:rPr>
                <w:sz w:val="20"/>
                <w:szCs w:val="20"/>
              </w:rPr>
              <w:t xml:space="preserve">1.057.483</w:t>
            </w:r>
          </w:p>
        </w:tc>
      </w:tr>
      <w:tr>
        <w:trPr>
          <w:cantSplit/>
        </w:trPr>
        <w:tc>
          <w:tcPr>
            <w:tcW w:type="dxa" w:w="1237"/>
            <w:vAlign w:val="center"/>
          </w:tcPr>
          <w:p>
            <w:pPr>
              <w:spacing w:before="20" w:after="20" w:line="260" w:lineRule="auto"/>
              <w:ind w:firstLine="0"/>
              <w:jc w:val="center"/>
            </w:pPr>
            <w:r>
              <w:rPr>
                <w:sz w:val="20"/>
                <w:szCs w:val="20"/>
              </w:rPr>
              <w:t xml:space="preserve">05/08/2017</w:t>
            </w:r>
          </w:p>
        </w:tc>
        <w:tc>
          <w:tcPr>
            <w:tcW w:type="dxa" w:w="1010"/>
            <w:vAlign w:val="center"/>
          </w:tcPr>
          <w:p>
            <w:pPr>
              <w:spacing w:before="20" w:after="20" w:line="260" w:lineRule="auto"/>
              <w:ind w:firstLine="0"/>
              <w:jc w:val="left"/>
            </w:pPr>
            <w:r>
              <w:rPr>
                <w:sz w:val="20"/>
                <w:szCs w:val="20"/>
              </w:rPr>
              <w:t xml:space="preserve">T7</w:t>
            </w:r>
          </w:p>
        </w:tc>
        <w:tc>
          <w:tcPr>
            <w:tcW w:type="dxa" w:w="1129"/>
            <w:vAlign w:val="center"/>
          </w:tcPr>
          <w:p>
            <w:pPr>
              <w:spacing w:before="20" w:after="20" w:line="260" w:lineRule="auto"/>
              <w:ind w:firstLine="0"/>
              <w:jc w:val="center"/>
            </w:pPr>
            <w:r>
              <w:rPr>
                <w:sz w:val="20"/>
                <w:szCs w:val="20"/>
              </w:rPr>
              <w:t xml:space="preserve">965.694</w:t>
            </w:r>
          </w:p>
        </w:tc>
        <w:tc>
          <w:tcPr>
            <w:tcW w:type="dxa" w:w="1184"/>
            <w:vAlign w:val="center"/>
          </w:tcPr>
          <w:p>
            <w:pPr>
              <w:spacing w:before="20" w:after="20" w:line="260" w:lineRule="auto"/>
              <w:ind w:firstLine="0"/>
              <w:jc w:val="center"/>
            </w:pPr>
            <w:r>
              <w:rPr>
                <w:sz w:val="20"/>
                <w:szCs w:val="20"/>
              </w:rPr>
              <w:t xml:space="preserve">1.023.096</w:t>
            </w:r>
          </w:p>
        </w:tc>
        <w:tc>
          <w:tcPr>
            <w:tcW w:type="dxa" w:w="1237"/>
            <w:vAlign w:val="center"/>
          </w:tcPr>
          <w:p>
            <w:pPr>
              <w:spacing w:before="20" w:after="20" w:line="260" w:lineRule="auto"/>
              <w:ind w:firstLine="0"/>
              <w:jc w:val="center"/>
            </w:pPr>
            <w:r>
              <w:rPr>
                <w:sz w:val="20"/>
                <w:szCs w:val="20"/>
              </w:rPr>
              <w:t xml:space="preserve">5,94</w:t>
            </w:r>
          </w:p>
        </w:tc>
        <w:tc>
          <w:tcPr>
            <w:tcW w:type="dxa" w:w="1010"/>
            <w:vAlign w:val="center"/>
          </w:tcPr>
          <w:p>
            <w:pPr>
              <w:spacing w:before="20" w:after="20" w:line="260" w:lineRule="auto"/>
              <w:ind w:firstLine="0"/>
              <w:jc w:val="center"/>
            </w:pPr>
            <w:r>
              <w:rPr>
                <w:sz w:val="20"/>
                <w:szCs w:val="20"/>
              </w:rPr>
              <w:t xml:space="preserve">64,73</w:t>
            </w:r>
          </w:p>
        </w:tc>
        <w:tc>
          <w:tcPr>
            <w:tcW w:type="dxa" w:w="1129"/>
            <w:vAlign w:val="center"/>
          </w:tcPr>
          <w:p>
            <w:pPr>
              <w:spacing w:before="20" w:after="20" w:line="260" w:lineRule="auto"/>
              <w:ind w:firstLine="0"/>
              <w:jc w:val="center"/>
            </w:pPr>
            <w:r>
              <w:rPr>
                <w:sz w:val="20"/>
                <w:szCs w:val="20"/>
              </w:rPr>
              <w:t xml:space="preserve">887.388</w:t>
            </w:r>
          </w:p>
        </w:tc>
        <w:tc>
          <w:tcPr>
            <w:tcW w:type="dxa" w:w="1135"/>
            <w:vAlign w:val="center"/>
          </w:tcPr>
          <w:p>
            <w:pPr>
              <w:spacing w:before="20" w:after="20" w:line="260" w:lineRule="auto"/>
              <w:ind w:firstLine="0"/>
              <w:jc w:val="center"/>
            </w:pPr>
            <w:r>
              <w:rPr>
                <w:sz w:val="20"/>
                <w:szCs w:val="20"/>
              </w:rPr>
              <w:t xml:space="preserve">1.242.207</w:t>
            </w:r>
          </w:p>
        </w:tc>
      </w:tr>
      <w:tr>
        <w:trPr>
          <w:cantSplit/>
        </w:trPr>
        <w:tc>
          <w:tcPr>
            <w:tcW w:type="dxa" w:w="1237"/>
            <w:vAlign w:val="center"/>
          </w:tcPr>
          <w:p>
            <w:pPr>
              <w:spacing w:before="20" w:after="20" w:line="260" w:lineRule="auto"/>
              <w:ind w:firstLine="0"/>
              <w:jc w:val="center"/>
            </w:pPr>
            <w:r>
              <w:rPr>
                <w:sz w:val="20"/>
                <w:szCs w:val="20"/>
              </w:rPr>
              <w:t xml:space="preserve">06/08/2017</w:t>
            </w:r>
          </w:p>
        </w:tc>
        <w:tc>
          <w:tcPr>
            <w:tcW w:type="dxa" w:w="1010"/>
            <w:vAlign w:val="center"/>
          </w:tcPr>
          <w:p>
            <w:pPr>
              <w:spacing w:before="20" w:after="20" w:line="260" w:lineRule="auto"/>
              <w:ind w:firstLine="0"/>
              <w:jc w:val="left"/>
            </w:pPr>
            <w:r>
              <w:rPr>
                <w:sz w:val="20"/>
                <w:szCs w:val="20"/>
              </w:rPr>
              <w:t xml:space="preserve">CN</w:t>
            </w:r>
          </w:p>
        </w:tc>
        <w:tc>
          <w:tcPr>
            <w:tcW w:type="dxa" w:w="1129"/>
            <w:vAlign w:val="center"/>
          </w:tcPr>
          <w:p>
            <w:pPr>
              <w:spacing w:before="20" w:after="20" w:line="260" w:lineRule="auto"/>
              <w:ind w:firstLine="0"/>
              <w:jc w:val="center"/>
            </w:pPr>
            <w:r>
              <w:rPr>
                <w:sz w:val="20"/>
                <w:szCs w:val="20"/>
              </w:rPr>
              <w:t xml:space="preserve">1.049.559</w:t>
            </w:r>
          </w:p>
        </w:tc>
        <w:tc>
          <w:tcPr>
            <w:tcW w:type="dxa" w:w="1184"/>
            <w:vAlign w:val="center"/>
          </w:tcPr>
          <w:p>
            <w:pPr>
              <w:spacing w:before="20" w:after="20" w:line="260" w:lineRule="auto"/>
              <w:ind w:firstLine="0"/>
              <w:jc w:val="center"/>
            </w:pPr>
            <w:r>
              <w:rPr>
                <w:sz w:val="20"/>
                <w:szCs w:val="20"/>
              </w:rPr>
              <w:t xml:space="preserve">1.122.876</w:t>
            </w:r>
          </w:p>
        </w:tc>
        <w:tc>
          <w:tcPr>
            <w:tcW w:type="dxa" w:w="1237"/>
            <w:vAlign w:val="center"/>
          </w:tcPr>
          <w:p>
            <w:pPr>
              <w:spacing w:before="20" w:after="20" w:line="260" w:lineRule="auto"/>
              <w:ind w:firstLine="0"/>
              <w:jc w:val="center"/>
            </w:pPr>
            <w:r>
              <w:rPr>
                <w:sz w:val="20"/>
                <w:szCs w:val="20"/>
              </w:rPr>
              <w:t xml:space="preserve">6,99</w:t>
            </w:r>
          </w:p>
        </w:tc>
        <w:tc>
          <w:tcPr>
            <w:tcW w:type="dxa" w:w="1010"/>
            <w:vAlign w:val="center"/>
          </w:tcPr>
          <w:p>
            <w:pPr>
              <w:spacing w:before="20" w:after="20" w:line="260" w:lineRule="auto"/>
              <w:ind w:firstLine="0"/>
              <w:jc w:val="center"/>
            </w:pPr>
            <w:r>
              <w:rPr>
                <w:sz w:val="20"/>
                <w:szCs w:val="20"/>
              </w:rPr>
              <w:t xml:space="preserve">72,67</w:t>
            </w:r>
          </w:p>
        </w:tc>
        <w:tc>
          <w:tcPr>
            <w:tcW w:type="dxa" w:w="1129"/>
            <w:vAlign w:val="center"/>
          </w:tcPr>
          <w:p>
            <w:pPr>
              <w:spacing w:before="20" w:after="20" w:line="260" w:lineRule="auto"/>
              <w:ind w:firstLine="0"/>
              <w:jc w:val="center"/>
            </w:pPr>
            <w:r>
              <w:rPr>
                <w:sz w:val="20"/>
                <w:szCs w:val="20"/>
              </w:rPr>
              <w:t xml:space="preserve">979.879</w:t>
            </w:r>
          </w:p>
        </w:tc>
        <w:tc>
          <w:tcPr>
            <w:tcW w:type="dxa" w:w="1135"/>
            <w:vAlign w:val="center"/>
          </w:tcPr>
          <w:p>
            <w:pPr>
              <w:spacing w:before="20" w:after="20" w:line="260" w:lineRule="auto"/>
              <w:ind w:firstLine="0"/>
              <w:jc w:val="center"/>
            </w:pPr>
            <w:r>
              <w:rPr>
                <w:sz w:val="20"/>
                <w:szCs w:val="20"/>
              </w:rPr>
              <w:t xml:space="preserve">1.356.821</w:t>
            </w:r>
          </w:p>
        </w:tc>
      </w:tr>
      <w:tr>
        <w:trPr>
          <w:cantSplit/>
        </w:trPr>
        <w:tc>
          <w:tcPr>
            <w:tcW w:type="dxa" w:w="1237"/>
            <w:vAlign w:val="center"/>
          </w:tcPr>
          <w:p>
            <w:pPr>
              <w:spacing w:before="20" w:after="20" w:line="260" w:lineRule="auto"/>
              <w:ind w:firstLine="0"/>
              <w:jc w:val="center"/>
            </w:pPr>
            <w:r>
              <w:rPr>
                <w:sz w:val="20"/>
                <w:szCs w:val="20"/>
              </w:rPr>
              <w:t xml:space="preserve">07/08/2017</w:t>
            </w:r>
          </w:p>
        </w:tc>
        <w:tc>
          <w:tcPr>
            <w:tcW w:type="dxa" w:w="1010"/>
            <w:vAlign w:val="center"/>
          </w:tcPr>
          <w:p>
            <w:pPr>
              <w:spacing w:before="20" w:after="20" w:line="260" w:lineRule="auto"/>
              <w:ind w:firstLine="0"/>
              <w:jc w:val="left"/>
            </w:pPr>
            <w:r>
              <w:rPr>
                <w:sz w:val="20"/>
                <w:szCs w:val="20"/>
              </w:rPr>
              <w:t xml:space="preserve">T2</w:t>
            </w:r>
          </w:p>
        </w:tc>
        <w:tc>
          <w:tcPr>
            <w:tcW w:type="dxa" w:w="1129"/>
            <w:vAlign w:val="center"/>
          </w:tcPr>
          <w:p>
            <w:pPr>
              <w:spacing w:before="20" w:after="20" w:line="260" w:lineRule="auto"/>
              <w:ind w:firstLine="0"/>
              <w:jc w:val="center"/>
            </w:pPr>
            <w:r>
              <w:rPr>
                <w:sz w:val="20"/>
                <w:szCs w:val="20"/>
              </w:rPr>
              <w:t xml:space="preserve">797.465</w:t>
            </w:r>
          </w:p>
        </w:tc>
        <w:tc>
          <w:tcPr>
            <w:tcW w:type="dxa" w:w="1184"/>
            <w:vAlign w:val="center"/>
          </w:tcPr>
          <w:p>
            <w:pPr>
              <w:spacing w:before="20" w:after="20" w:line="260" w:lineRule="auto"/>
              <w:ind w:firstLine="0"/>
              <w:jc w:val="center"/>
            </w:pPr>
            <w:r>
              <w:rPr>
                <w:sz w:val="20"/>
                <w:szCs w:val="20"/>
              </w:rPr>
              <w:t xml:space="preserve">814.237</w:t>
            </w:r>
          </w:p>
        </w:tc>
        <w:tc>
          <w:tcPr>
            <w:tcW w:type="dxa" w:w="1237"/>
            <w:vAlign w:val="center"/>
          </w:tcPr>
          <w:p>
            <w:pPr>
              <w:spacing w:before="20" w:after="20" w:line="260" w:lineRule="auto"/>
              <w:ind w:firstLine="0"/>
              <w:jc w:val="center"/>
            </w:pPr>
            <w:r>
              <w:rPr>
                <w:sz w:val="20"/>
                <w:szCs w:val="20"/>
              </w:rPr>
              <w:t xml:space="preserve">2,10</w:t>
            </w:r>
          </w:p>
        </w:tc>
        <w:tc>
          <w:tcPr>
            <w:tcW w:type="dxa" w:w="1010"/>
            <w:vAlign w:val="center"/>
          </w:tcPr>
          <w:p>
            <w:pPr>
              <w:spacing w:before="20" w:after="20" w:line="260" w:lineRule="auto"/>
              <w:ind w:firstLine="0"/>
              <w:jc w:val="center"/>
            </w:pPr>
            <w:r>
              <w:rPr>
                <w:sz w:val="20"/>
                <w:szCs w:val="20"/>
              </w:rPr>
              <w:t xml:space="preserve">48,57</w:t>
            </w:r>
          </w:p>
        </w:tc>
        <w:tc>
          <w:tcPr>
            <w:tcW w:type="dxa" w:w="1129"/>
            <w:vAlign w:val="center"/>
          </w:tcPr>
          <w:p>
            <w:pPr>
              <w:spacing w:before="20" w:after="20" w:line="260" w:lineRule="auto"/>
              <w:ind w:firstLine="0"/>
              <w:jc w:val="center"/>
            </w:pPr>
            <w:r>
              <w:rPr>
                <w:sz w:val="20"/>
                <w:szCs w:val="20"/>
              </w:rPr>
              <w:t xml:space="preserve">693.593</w:t>
            </w:r>
          </w:p>
        </w:tc>
        <w:tc>
          <w:tcPr>
            <w:tcW w:type="dxa" w:w="1135"/>
            <w:vAlign w:val="center"/>
          </w:tcPr>
          <w:p>
            <w:pPr>
              <w:spacing w:before="20" w:after="20" w:line="260" w:lineRule="auto"/>
              <w:ind w:firstLine="0"/>
              <w:jc w:val="center"/>
            </w:pPr>
            <w:r>
              <w:rPr>
                <w:sz w:val="20"/>
                <w:szCs w:val="20"/>
              </w:rPr>
              <w:t xml:space="preserve">1.006.638</w:t>
            </w:r>
          </w:p>
        </w:tc>
      </w:tr>
      <w:tr>
        <w:trPr>
          <w:cantSplit/>
        </w:trPr>
        <w:tc>
          <w:tcPr>
            <w:tcW w:type="dxa" w:w="1237"/>
            <w:vAlign w:val="center"/>
          </w:tcPr>
          <w:p>
            <w:pPr>
              <w:spacing w:before="20" w:after="20" w:line="260" w:lineRule="auto"/>
              <w:ind w:firstLine="0"/>
              <w:jc w:val="center"/>
            </w:pPr>
            <w:r>
              <w:rPr>
                <w:sz w:val="20"/>
                <w:szCs w:val="20"/>
              </w:rPr>
              <w:t xml:space="preserve">08/08/2017</w:t>
            </w:r>
          </w:p>
        </w:tc>
        <w:tc>
          <w:tcPr>
            <w:tcW w:type="dxa" w:w="1010"/>
            <w:vAlign w:val="center"/>
          </w:tcPr>
          <w:p>
            <w:pPr>
              <w:spacing w:before="20" w:after="20" w:line="260" w:lineRule="auto"/>
              <w:ind w:firstLine="0"/>
              <w:jc w:val="left"/>
            </w:pPr>
            <w:r>
              <w:rPr>
                <w:sz w:val="20"/>
                <w:szCs w:val="20"/>
              </w:rPr>
              <w:t xml:space="preserve">T3</w:t>
            </w:r>
          </w:p>
        </w:tc>
        <w:tc>
          <w:tcPr>
            <w:tcW w:type="dxa" w:w="1129"/>
            <w:vAlign w:val="center"/>
          </w:tcPr>
          <w:p>
            <w:pPr>
              <w:spacing w:before="20" w:after="20" w:line="260" w:lineRule="auto"/>
              <w:ind w:firstLine="0"/>
              <w:jc w:val="center"/>
            </w:pPr>
            <w:r>
              <w:rPr>
                <w:sz w:val="20"/>
                <w:szCs w:val="20"/>
              </w:rPr>
              <w:t xml:space="preserve">717.766</w:t>
            </w:r>
          </w:p>
        </w:tc>
        <w:tc>
          <w:tcPr>
            <w:tcW w:type="dxa" w:w="1184"/>
            <w:vAlign w:val="center"/>
          </w:tcPr>
          <w:p>
            <w:pPr>
              <w:spacing w:before="20" w:after="20" w:line="260" w:lineRule="auto"/>
              <w:ind w:firstLine="0"/>
              <w:jc w:val="center"/>
            </w:pPr>
            <w:r>
              <w:rPr>
                <w:sz w:val="20"/>
                <w:szCs w:val="20"/>
              </w:rPr>
              <w:t xml:space="preserve">728.401</w:t>
            </w:r>
          </w:p>
        </w:tc>
        <w:tc>
          <w:tcPr>
            <w:tcW w:type="dxa" w:w="1237"/>
            <w:vAlign w:val="center"/>
          </w:tcPr>
          <w:p>
            <w:pPr>
              <w:spacing w:before="20" w:after="20" w:line="260" w:lineRule="auto"/>
              <w:ind w:firstLine="0"/>
              <w:jc w:val="center"/>
            </w:pPr>
            <w:r>
              <w:rPr>
                <w:sz w:val="20"/>
                <w:szCs w:val="20"/>
              </w:rPr>
              <w:t xml:space="preserve">1,48</w:t>
            </w:r>
          </w:p>
        </w:tc>
        <w:tc>
          <w:tcPr>
            <w:tcW w:type="dxa" w:w="1010"/>
            <w:vAlign w:val="center"/>
          </w:tcPr>
          <w:p>
            <w:pPr>
              <w:spacing w:before="20" w:after="20" w:line="260" w:lineRule="auto"/>
              <w:ind w:firstLine="0"/>
              <w:jc w:val="center"/>
            </w:pPr>
            <w:r>
              <w:rPr>
                <w:sz w:val="20"/>
                <w:szCs w:val="20"/>
              </w:rPr>
              <w:t xml:space="preserve">49,52</w:t>
            </w:r>
          </w:p>
        </w:tc>
        <w:tc>
          <w:tcPr>
            <w:tcW w:type="dxa" w:w="1129"/>
            <w:vAlign w:val="center"/>
          </w:tcPr>
          <w:p>
            <w:pPr>
              <w:spacing w:before="20" w:after="20" w:line="260" w:lineRule="auto"/>
              <w:ind w:firstLine="0"/>
              <w:jc w:val="center"/>
            </w:pPr>
            <w:r>
              <w:rPr>
                <w:sz w:val="20"/>
                <w:szCs w:val="20"/>
              </w:rPr>
              <w:t xml:space="preserve">612.546</w:t>
            </w:r>
          </w:p>
        </w:tc>
        <w:tc>
          <w:tcPr>
            <w:tcW w:type="dxa" w:w="1135"/>
            <w:vAlign w:val="center"/>
          </w:tcPr>
          <w:p>
            <w:pPr>
              <w:spacing w:before="20" w:after="20" w:line="260" w:lineRule="auto"/>
              <w:ind w:firstLine="0"/>
              <w:jc w:val="center"/>
            </w:pPr>
            <w:r>
              <w:rPr>
                <w:sz w:val="20"/>
                <w:szCs w:val="20"/>
              </w:rPr>
              <w:t xml:space="preserve">914.318</w:t>
            </w:r>
          </w:p>
        </w:tc>
      </w:tr>
      <w:tr>
        <w:trPr>
          <w:cantSplit/>
        </w:trPr>
        <w:tc>
          <w:tcPr>
            <w:tcW w:type="dxa" w:w="1237"/>
            <w:vAlign w:val="center"/>
          </w:tcPr>
          <w:p>
            <w:pPr>
              <w:spacing w:before="20" w:after="20" w:line="260" w:lineRule="auto"/>
              <w:ind w:firstLine="0"/>
              <w:jc w:val="center"/>
            </w:pPr>
            <w:r>
              <w:rPr>
                <w:sz w:val="20"/>
                <w:szCs w:val="20"/>
              </w:rPr>
              <w:t xml:space="preserve">09/08/2017</w:t>
            </w:r>
          </w:p>
        </w:tc>
        <w:tc>
          <w:tcPr>
            <w:tcW w:type="dxa" w:w="1010"/>
            <w:vAlign w:val="center"/>
          </w:tcPr>
          <w:p>
            <w:pPr>
              <w:spacing w:before="20" w:after="20" w:line="260" w:lineRule="auto"/>
              <w:ind w:firstLine="0"/>
              <w:jc w:val="left"/>
            </w:pPr>
            <w:r>
              <w:rPr>
                <w:sz w:val="20"/>
                <w:szCs w:val="20"/>
              </w:rPr>
              <w:t xml:space="preserve">T4</w:t>
            </w:r>
          </w:p>
        </w:tc>
        <w:tc>
          <w:tcPr>
            <w:tcW w:type="dxa" w:w="1129"/>
            <w:vAlign w:val="center"/>
          </w:tcPr>
          <w:p>
            <w:pPr>
              <w:spacing w:before="20" w:after="20" w:line="260" w:lineRule="auto"/>
              <w:ind w:firstLine="0"/>
              <w:jc w:val="center"/>
            </w:pPr>
            <w:r>
              <w:rPr>
                <w:sz w:val="20"/>
                <w:szCs w:val="20"/>
              </w:rPr>
              <w:t xml:space="preserve">734.140</w:t>
            </w:r>
          </w:p>
        </w:tc>
        <w:tc>
          <w:tcPr>
            <w:tcW w:type="dxa" w:w="1184"/>
            <w:vAlign w:val="center"/>
          </w:tcPr>
          <w:p>
            <w:pPr>
              <w:spacing w:before="20" w:after="20" w:line="260" w:lineRule="auto"/>
              <w:ind w:firstLine="0"/>
              <w:jc w:val="center"/>
            </w:pPr>
            <w:r>
              <w:rPr>
                <w:sz w:val="20"/>
                <w:szCs w:val="20"/>
              </w:rPr>
              <w:t xml:space="preserve">752.724</w:t>
            </w:r>
          </w:p>
        </w:tc>
        <w:tc>
          <w:tcPr>
            <w:tcW w:type="dxa" w:w="1237"/>
            <w:vAlign w:val="center"/>
          </w:tcPr>
          <w:p>
            <w:pPr>
              <w:spacing w:before="20" w:after="20" w:line="260" w:lineRule="auto"/>
              <w:ind w:firstLine="0"/>
              <w:jc w:val="center"/>
            </w:pPr>
            <w:r>
              <w:rPr>
                <w:sz w:val="20"/>
                <w:szCs w:val="20"/>
              </w:rPr>
              <w:t xml:space="preserve">2,53</w:t>
            </w:r>
          </w:p>
        </w:tc>
        <w:tc>
          <w:tcPr>
            <w:tcW w:type="dxa" w:w="1010"/>
            <w:vAlign w:val="center"/>
          </w:tcPr>
          <w:p>
            <w:pPr>
              <w:spacing w:before="20" w:after="20" w:line="260" w:lineRule="auto"/>
              <w:ind w:firstLine="0"/>
              <w:jc w:val="center"/>
            </w:pPr>
            <w:r>
              <w:rPr>
                <w:sz w:val="20"/>
                <w:szCs w:val="20"/>
              </w:rPr>
              <w:t xml:space="preserve">46,89</w:t>
            </w:r>
          </w:p>
        </w:tc>
        <w:tc>
          <w:tcPr>
            <w:tcW w:type="dxa" w:w="1129"/>
            <w:vAlign w:val="center"/>
          </w:tcPr>
          <w:p>
            <w:pPr>
              <w:spacing w:before="20" w:after="20" w:line="260" w:lineRule="auto"/>
              <w:ind w:firstLine="0"/>
              <w:jc w:val="center"/>
            </w:pPr>
            <w:r>
              <w:rPr>
                <w:sz w:val="20"/>
                <w:szCs w:val="20"/>
              </w:rPr>
              <w:t xml:space="preserve">640.773</w:t>
            </w:r>
          </w:p>
        </w:tc>
        <w:tc>
          <w:tcPr>
            <w:tcW w:type="dxa" w:w="1135"/>
            <w:vAlign w:val="center"/>
          </w:tcPr>
          <w:p>
            <w:pPr>
              <w:spacing w:before="20" w:after="20" w:line="260" w:lineRule="auto"/>
              <w:ind w:firstLine="0"/>
              <w:jc w:val="center"/>
            </w:pPr>
            <w:r>
              <w:rPr>
                <w:sz w:val="20"/>
                <w:szCs w:val="20"/>
              </w:rPr>
              <w:t xml:space="preserve">929.377</w:t>
            </w:r>
          </w:p>
        </w:tc>
      </w:tr>
      <w:tr>
        <w:trPr>
          <w:cantSplit/>
        </w:trPr>
        <w:tc>
          <w:tcPr>
            <w:tcW w:type="dxa" w:w="1237"/>
            <w:vAlign w:val="center"/>
          </w:tcPr>
          <w:p>
            <w:pPr>
              <w:spacing w:before="20" w:after="20" w:line="260" w:lineRule="auto"/>
              <w:ind w:firstLine="0"/>
              <w:jc w:val="center"/>
            </w:pPr>
            <w:r>
              <w:rPr>
                <w:sz w:val="20"/>
                <w:szCs w:val="20"/>
              </w:rPr>
              <w:t xml:space="preserve">10/08/2017</w:t>
            </w:r>
          </w:p>
        </w:tc>
        <w:tc>
          <w:tcPr>
            <w:tcW w:type="dxa" w:w="1010"/>
            <w:vAlign w:val="center"/>
          </w:tcPr>
          <w:p>
            <w:pPr>
              <w:spacing w:before="20" w:after="20" w:line="260" w:lineRule="auto"/>
              <w:ind w:firstLine="0"/>
              <w:jc w:val="left"/>
            </w:pPr>
            <w:r>
              <w:rPr>
                <w:sz w:val="20"/>
                <w:szCs w:val="20"/>
              </w:rPr>
              <w:t xml:space="preserve">T5</w:t>
            </w:r>
          </w:p>
        </w:tc>
        <w:tc>
          <w:tcPr>
            <w:tcW w:type="dxa" w:w="1129"/>
            <w:vAlign w:val="center"/>
          </w:tcPr>
          <w:p>
            <w:pPr>
              <w:spacing w:before="20" w:after="20" w:line="260" w:lineRule="auto"/>
              <w:ind w:firstLine="0"/>
              <w:jc w:val="center"/>
            </w:pPr>
            <w:r>
              <w:rPr>
                <w:sz w:val="20"/>
                <w:szCs w:val="20"/>
              </w:rPr>
              <w:t xml:space="preserve">651.387</w:t>
            </w:r>
          </w:p>
        </w:tc>
        <w:tc>
          <w:tcPr>
            <w:tcW w:type="dxa" w:w="1184"/>
            <w:vAlign w:val="center"/>
          </w:tcPr>
          <w:p>
            <w:pPr>
              <w:spacing w:before="20" w:after="20" w:line="260" w:lineRule="auto"/>
              <w:ind w:firstLine="0"/>
              <w:jc w:val="center"/>
            </w:pPr>
            <w:r>
              <w:rPr>
                <w:sz w:val="20"/>
                <w:szCs w:val="20"/>
              </w:rPr>
              <w:t xml:space="preserve">641.972</w:t>
            </w:r>
          </w:p>
        </w:tc>
        <w:tc>
          <w:tcPr>
            <w:tcW w:type="dxa" w:w="1237"/>
            <w:vAlign w:val="center"/>
          </w:tcPr>
          <w:p>
            <w:pPr>
              <w:spacing w:before="20" w:after="20" w:line="260" w:lineRule="auto"/>
              <w:ind w:firstLine="0"/>
              <w:jc w:val="center"/>
            </w:pPr>
            <w:r>
              <w:rPr>
                <w:sz w:val="20"/>
                <w:szCs w:val="20"/>
              </w:rPr>
              <w:t xml:space="preserve">−1,45</w:t>
            </w:r>
          </w:p>
        </w:tc>
        <w:tc>
          <w:tcPr>
            <w:tcW w:type="dxa" w:w="1010"/>
            <w:vAlign w:val="center"/>
          </w:tcPr>
          <w:p>
            <w:pPr>
              <w:spacing w:before="20" w:after="20" w:line="260" w:lineRule="auto"/>
              <w:ind w:firstLine="0"/>
              <w:jc w:val="center"/>
            </w:pPr>
            <w:r>
              <w:rPr>
                <w:sz w:val="20"/>
                <w:szCs w:val="20"/>
              </w:rPr>
              <w:t xml:space="preserve">51,10</w:t>
            </w:r>
          </w:p>
        </w:tc>
        <w:tc>
          <w:tcPr>
            <w:tcW w:type="dxa" w:w="1129"/>
            <w:vAlign w:val="center"/>
          </w:tcPr>
          <w:p>
            <w:pPr>
              <w:spacing w:before="20" w:after="20" w:line="260" w:lineRule="auto"/>
              <w:ind w:firstLine="0"/>
              <w:jc w:val="center"/>
            </w:pPr>
            <w:r>
              <w:rPr>
                <w:sz w:val="20"/>
                <w:szCs w:val="20"/>
              </w:rPr>
              <w:t xml:space="preserve">534.841</w:t>
            </w:r>
          </w:p>
        </w:tc>
        <w:tc>
          <w:tcPr>
            <w:tcW w:type="dxa" w:w="1135"/>
            <w:vAlign w:val="center"/>
          </w:tcPr>
          <w:p>
            <w:pPr>
              <w:spacing w:before="20" w:after="20" w:line="260" w:lineRule="auto"/>
              <w:ind w:firstLine="0"/>
              <w:jc w:val="center"/>
            </w:pPr>
            <w:r>
              <w:rPr>
                <w:sz w:val="20"/>
                <w:szCs w:val="20"/>
              </w:rPr>
              <w:t xml:space="preserve">810.508</w:t>
            </w:r>
          </w:p>
        </w:tc>
      </w:tr>
      <w:tr>
        <w:trPr>
          <w:cantSplit/>
        </w:trPr>
        <w:tc>
          <w:tcPr>
            <w:tcW w:type="dxa" w:w="1237"/>
            <w:vAlign w:val="center"/>
          </w:tcPr>
          <w:p>
            <w:pPr>
              <w:spacing w:before="20" w:after="20" w:line="260" w:lineRule="auto"/>
              <w:ind w:firstLine="0"/>
              <w:jc w:val="center"/>
            </w:pPr>
            <w:r>
              <w:rPr>
                <w:sz w:val="20"/>
                <w:szCs w:val="20"/>
              </w:rPr>
              <w:t xml:space="preserve">11/08/2017</w:t>
            </w:r>
          </w:p>
        </w:tc>
        <w:tc>
          <w:tcPr>
            <w:tcW w:type="dxa" w:w="1010"/>
            <w:vAlign w:val="center"/>
          </w:tcPr>
          <w:p>
            <w:pPr>
              <w:spacing w:before="20" w:after="20" w:line="260" w:lineRule="auto"/>
              <w:ind w:firstLine="0"/>
              <w:jc w:val="left"/>
            </w:pPr>
            <w:r>
              <w:rPr>
                <w:sz w:val="20"/>
                <w:szCs w:val="20"/>
              </w:rPr>
              <w:t xml:space="preserve">T6</w:t>
            </w:r>
          </w:p>
        </w:tc>
        <w:tc>
          <w:tcPr>
            <w:tcW w:type="dxa" w:w="1129"/>
            <w:vAlign w:val="center"/>
          </w:tcPr>
          <w:p>
            <w:pPr>
              <w:spacing w:before="20" w:after="20" w:line="260" w:lineRule="auto"/>
              <w:ind w:firstLine="0"/>
              <w:jc w:val="center"/>
            </w:pPr>
            <w:r>
              <w:rPr>
                <w:sz w:val="20"/>
                <w:szCs w:val="20"/>
              </w:rPr>
              <w:t xml:space="preserve">826.374</w:t>
            </w:r>
          </w:p>
        </w:tc>
        <w:tc>
          <w:tcPr>
            <w:tcW w:type="dxa" w:w="1184"/>
            <w:vAlign w:val="center"/>
          </w:tcPr>
          <w:p>
            <w:pPr>
              <w:spacing w:before="20" w:after="20" w:line="260" w:lineRule="auto"/>
              <w:ind w:firstLine="0"/>
              <w:jc w:val="center"/>
            </w:pPr>
            <w:r>
              <w:rPr>
                <w:sz w:val="20"/>
                <w:szCs w:val="20"/>
              </w:rPr>
              <w:t xml:space="preserve">845.579</w:t>
            </w:r>
          </w:p>
        </w:tc>
        <w:tc>
          <w:tcPr>
            <w:tcW w:type="dxa" w:w="1237"/>
            <w:vAlign w:val="center"/>
          </w:tcPr>
          <w:p>
            <w:pPr>
              <w:spacing w:before="20" w:after="20" w:line="260" w:lineRule="auto"/>
              <w:ind w:firstLine="0"/>
              <w:jc w:val="center"/>
            </w:pPr>
            <w:r>
              <w:rPr>
                <w:sz w:val="20"/>
                <w:szCs w:val="20"/>
              </w:rPr>
              <w:t xml:space="preserve">2,32</w:t>
            </w:r>
          </w:p>
        </w:tc>
        <w:tc>
          <w:tcPr>
            <w:tcW w:type="dxa" w:w="1010"/>
            <w:vAlign w:val="center"/>
          </w:tcPr>
          <w:p>
            <w:pPr>
              <w:spacing w:before="20" w:after="20" w:line="260" w:lineRule="auto"/>
              <w:ind w:firstLine="0"/>
              <w:jc w:val="center"/>
            </w:pPr>
            <w:r>
              <w:rPr>
                <w:sz w:val="20"/>
                <w:szCs w:val="20"/>
              </w:rPr>
              <w:t xml:space="preserve">90,78</w:t>
            </w:r>
          </w:p>
        </w:tc>
        <w:tc>
          <w:tcPr>
            <w:tcW w:type="dxa" w:w="1129"/>
            <w:vAlign w:val="center"/>
          </w:tcPr>
          <w:p>
            <w:pPr>
              <w:spacing w:before="20" w:after="20" w:line="260" w:lineRule="auto"/>
              <w:ind w:firstLine="0"/>
              <w:jc w:val="center"/>
            </w:pPr>
            <w:r>
              <w:rPr>
                <w:sz w:val="20"/>
                <w:szCs w:val="20"/>
              </w:rPr>
              <w:t xml:space="preserve">719.895</w:t>
            </w:r>
          </w:p>
        </w:tc>
        <w:tc>
          <w:tcPr>
            <w:tcW w:type="dxa" w:w="1135"/>
            <w:vAlign w:val="center"/>
          </w:tcPr>
          <w:p>
            <w:pPr>
              <w:spacing w:before="20" w:after="20" w:line="260" w:lineRule="auto"/>
              <w:ind w:firstLine="0"/>
              <w:jc w:val="center"/>
            </w:pPr>
            <w:r>
              <w:rPr>
                <w:sz w:val="20"/>
                <w:szCs w:val="20"/>
              </w:rPr>
              <w:t xml:space="preserve">1.046.494</w:t>
            </w:r>
          </w:p>
        </w:tc>
      </w:tr>
      <w:tr>
        <w:trPr>
          <w:cantSplit/>
        </w:trPr>
        <w:tc>
          <w:tcPr>
            <w:tcW w:type="dxa" w:w="1237"/>
            <w:vAlign w:val="center"/>
          </w:tcPr>
          <w:p>
            <w:pPr>
              <w:spacing w:before="20" w:after="20" w:line="260" w:lineRule="auto"/>
              <w:ind w:firstLine="0"/>
              <w:jc w:val="center"/>
            </w:pPr>
            <w:r>
              <w:rPr>
                <w:sz w:val="20"/>
                <w:szCs w:val="20"/>
              </w:rPr>
              <w:t xml:space="preserve">12/08/2017</w:t>
            </w:r>
          </w:p>
        </w:tc>
        <w:tc>
          <w:tcPr>
            <w:tcW w:type="dxa" w:w="1010"/>
            <w:vAlign w:val="center"/>
          </w:tcPr>
          <w:p>
            <w:pPr>
              <w:spacing w:before="20" w:after="20" w:line="260" w:lineRule="auto"/>
              <w:ind w:firstLine="0"/>
              <w:jc w:val="left"/>
            </w:pPr>
            <w:r>
              <w:rPr>
                <w:sz w:val="20"/>
                <w:szCs w:val="20"/>
              </w:rPr>
              <w:t xml:space="preserve">T7</w:t>
            </w:r>
          </w:p>
        </w:tc>
        <w:tc>
          <w:tcPr>
            <w:tcW w:type="dxa" w:w="1129"/>
            <w:vAlign w:val="center"/>
          </w:tcPr>
          <w:p>
            <w:pPr>
              <w:spacing w:before="20" w:after="20" w:line="260" w:lineRule="auto"/>
              <w:ind w:firstLine="0"/>
              <w:jc w:val="center"/>
            </w:pPr>
            <w:r>
              <w:rPr>
                <w:sz w:val="20"/>
                <w:szCs w:val="20"/>
              </w:rPr>
              <w:t xml:space="preserve">792.631</w:t>
            </w:r>
          </w:p>
        </w:tc>
        <w:tc>
          <w:tcPr>
            <w:tcW w:type="dxa" w:w="1184"/>
            <w:vAlign w:val="center"/>
          </w:tcPr>
          <w:p>
            <w:pPr>
              <w:spacing w:before="20" w:after="20" w:line="260" w:lineRule="auto"/>
              <w:ind w:firstLine="0"/>
              <w:jc w:val="center"/>
            </w:pPr>
            <w:r>
              <w:rPr>
                <w:sz w:val="20"/>
                <w:szCs w:val="20"/>
              </w:rPr>
              <w:t xml:space="preserve">921.576</w:t>
            </w:r>
          </w:p>
        </w:tc>
        <w:tc>
          <w:tcPr>
            <w:tcW w:type="dxa" w:w="1237"/>
            <w:vAlign w:val="center"/>
          </w:tcPr>
          <w:p>
            <w:pPr>
              <w:spacing w:before="20" w:after="20" w:line="260" w:lineRule="auto"/>
              <w:ind w:firstLine="0"/>
              <w:jc w:val="center"/>
            </w:pPr>
            <w:r>
              <w:rPr>
                <w:sz w:val="20"/>
                <w:szCs w:val="20"/>
              </w:rPr>
              <w:t xml:space="preserve">16,27</w:t>
            </w:r>
          </w:p>
        </w:tc>
        <w:tc>
          <w:tcPr>
            <w:tcW w:type="dxa" w:w="1010"/>
            <w:vAlign w:val="center"/>
          </w:tcPr>
          <w:p>
            <w:pPr>
              <w:spacing w:before="20" w:after="20" w:line="260" w:lineRule="auto"/>
              <w:ind w:firstLine="0"/>
              <w:jc w:val="center"/>
            </w:pPr>
            <w:r>
              <w:rPr>
                <w:sz w:val="20"/>
                <w:szCs w:val="20"/>
              </w:rPr>
              <w:t xml:space="preserve">109,05</w:t>
            </w:r>
          </w:p>
        </w:tc>
        <w:tc>
          <w:tcPr>
            <w:tcW w:type="dxa" w:w="1129"/>
            <w:vAlign w:val="center"/>
          </w:tcPr>
          <w:p>
            <w:pPr>
              <w:spacing w:before="20" w:after="20" w:line="260" w:lineRule="auto"/>
              <w:ind w:firstLine="0"/>
              <w:jc w:val="center"/>
            </w:pPr>
            <w:r>
              <w:rPr>
                <w:sz w:val="20"/>
                <w:szCs w:val="20"/>
              </w:rPr>
              <w:t xml:space="preserve">790.677</w:t>
            </w:r>
          </w:p>
        </w:tc>
        <w:tc>
          <w:tcPr>
            <w:tcW w:type="dxa" w:w="1135"/>
            <w:vAlign w:val="center"/>
          </w:tcPr>
          <w:p>
            <w:pPr>
              <w:spacing w:before="20" w:after="20" w:line="260" w:lineRule="auto"/>
              <w:ind w:firstLine="0"/>
              <w:jc w:val="center"/>
            </w:pPr>
            <w:r>
              <w:rPr>
                <w:sz w:val="20"/>
                <w:szCs w:val="20"/>
              </w:rPr>
              <w:t xml:space="preserve">1.131.095</w:t>
            </w:r>
          </w:p>
        </w:tc>
      </w:tr>
      <w:tr>
        <w:trPr>
          <w:cantSplit/>
        </w:trPr>
        <w:tc>
          <w:tcPr>
            <w:tcW w:type="dxa" w:w="1237"/>
            <w:vAlign w:val="center"/>
          </w:tcPr>
          <w:p>
            <w:pPr>
              <w:spacing w:before="20" w:after="20" w:line="260" w:lineRule="auto"/>
              <w:ind w:firstLine="0"/>
              <w:jc w:val="center"/>
            </w:pPr>
            <w:r>
              <w:rPr>
                <w:sz w:val="20"/>
                <w:szCs w:val="20"/>
              </w:rPr>
              <w:t xml:space="preserve">13/08/2017</w:t>
            </w:r>
          </w:p>
        </w:tc>
        <w:tc>
          <w:tcPr>
            <w:tcW w:type="dxa" w:w="1010"/>
            <w:vAlign w:val="center"/>
          </w:tcPr>
          <w:p>
            <w:pPr>
              <w:spacing w:before="20" w:after="20" w:line="260" w:lineRule="auto"/>
              <w:ind w:firstLine="0"/>
              <w:jc w:val="left"/>
            </w:pPr>
            <w:r>
              <w:rPr>
                <w:sz w:val="20"/>
                <w:szCs w:val="20"/>
              </w:rPr>
              <w:t xml:space="preserve">CN</w:t>
            </w:r>
          </w:p>
        </w:tc>
        <w:tc>
          <w:tcPr>
            <w:tcW w:type="dxa" w:w="1129"/>
            <w:vAlign w:val="center"/>
          </w:tcPr>
          <w:p>
            <w:pPr>
              <w:spacing w:before="20" w:after="20" w:line="260" w:lineRule="auto"/>
              <w:ind w:firstLine="0"/>
              <w:jc w:val="center"/>
            </w:pPr>
            <w:r>
              <w:rPr>
                <w:sz w:val="20"/>
                <w:szCs w:val="20"/>
              </w:rPr>
              <w:t xml:space="preserve">865.640</w:t>
            </w:r>
          </w:p>
        </w:tc>
        <w:tc>
          <w:tcPr>
            <w:tcW w:type="dxa" w:w="1184"/>
            <w:vAlign w:val="center"/>
          </w:tcPr>
          <w:p>
            <w:pPr>
              <w:spacing w:before="20" w:after="20" w:line="260" w:lineRule="auto"/>
              <w:ind w:firstLine="0"/>
              <w:jc w:val="center"/>
            </w:pPr>
            <w:r>
              <w:rPr>
                <w:sz w:val="20"/>
                <w:szCs w:val="20"/>
              </w:rPr>
              <w:t xml:space="preserve">988.750</w:t>
            </w:r>
          </w:p>
        </w:tc>
        <w:tc>
          <w:tcPr>
            <w:tcW w:type="dxa" w:w="1237"/>
            <w:vAlign w:val="center"/>
          </w:tcPr>
          <w:p>
            <w:pPr>
              <w:spacing w:before="20" w:after="20" w:line="260" w:lineRule="auto"/>
              <w:ind w:firstLine="0"/>
              <w:jc w:val="center"/>
            </w:pPr>
            <w:r>
              <w:rPr>
                <w:sz w:val="20"/>
                <w:szCs w:val="20"/>
              </w:rPr>
              <w:t xml:space="preserve">14,22</w:t>
            </w:r>
          </w:p>
        </w:tc>
        <w:tc>
          <w:tcPr>
            <w:tcW w:type="dxa" w:w="1010"/>
            <w:vAlign w:val="center"/>
          </w:tcPr>
          <w:p>
            <w:pPr>
              <w:spacing w:before="20" w:after="20" w:line="260" w:lineRule="auto"/>
              <w:ind w:firstLine="0"/>
              <w:jc w:val="center"/>
            </w:pPr>
            <w:r>
              <w:rPr>
                <w:sz w:val="20"/>
                <w:szCs w:val="20"/>
              </w:rPr>
              <w:t xml:space="preserve">94,68</w:t>
            </w:r>
          </w:p>
        </w:tc>
        <w:tc>
          <w:tcPr>
            <w:tcW w:type="dxa" w:w="1129"/>
            <w:vAlign w:val="center"/>
          </w:tcPr>
          <w:p>
            <w:pPr>
              <w:spacing w:before="20" w:after="20" w:line="260" w:lineRule="auto"/>
              <w:ind w:firstLine="0"/>
              <w:jc w:val="center"/>
            </w:pPr>
            <w:r>
              <w:rPr>
                <w:sz w:val="20"/>
                <w:szCs w:val="20"/>
              </w:rPr>
              <w:t xml:space="preserve">855.739</w:t>
            </w:r>
          </w:p>
        </w:tc>
        <w:tc>
          <w:tcPr>
            <w:tcW w:type="dxa" w:w="1135"/>
            <w:vAlign w:val="center"/>
          </w:tcPr>
          <w:p>
            <w:pPr>
              <w:spacing w:before="20" w:after="20" w:line="260" w:lineRule="auto"/>
              <w:ind w:firstLine="0"/>
              <w:jc w:val="center"/>
            </w:pPr>
            <w:r>
              <w:rPr>
                <w:sz w:val="20"/>
                <w:szCs w:val="20"/>
              </w:rPr>
              <w:t xml:space="preserve">1.202.368</w:t>
            </w:r>
          </w:p>
        </w:tc>
      </w:tr>
      <w:tr>
        <w:trPr>
          <w:cantSplit/>
        </w:trPr>
        <w:tc>
          <w:tcPr>
            <w:tcW w:type="dxa" w:w="1237"/>
            <w:vAlign w:val="center"/>
          </w:tcPr>
          <w:p>
            <w:pPr>
              <w:spacing w:before="20" w:after="20" w:line="260" w:lineRule="auto"/>
              <w:ind w:firstLine="0"/>
              <w:jc w:val="center"/>
            </w:pPr>
            <w:r>
              <w:rPr>
                <w:sz w:val="20"/>
                <w:szCs w:val="20"/>
              </w:rPr>
              <w:t xml:space="preserve">14/08/2017</w:t>
            </w:r>
          </w:p>
        </w:tc>
        <w:tc>
          <w:tcPr>
            <w:tcW w:type="dxa" w:w="1010"/>
            <w:vAlign w:val="center"/>
          </w:tcPr>
          <w:p>
            <w:pPr>
              <w:spacing w:before="20" w:after="20" w:line="260" w:lineRule="auto"/>
              <w:ind w:firstLine="0"/>
              <w:jc w:val="left"/>
            </w:pPr>
            <w:r>
              <w:rPr>
                <w:sz w:val="20"/>
                <w:szCs w:val="20"/>
              </w:rPr>
              <w:t xml:space="preserve">T2</w:t>
            </w:r>
          </w:p>
        </w:tc>
        <w:tc>
          <w:tcPr>
            <w:tcW w:type="dxa" w:w="1129"/>
            <w:vAlign w:val="center"/>
          </w:tcPr>
          <w:p>
            <w:pPr>
              <w:spacing w:before="20" w:after="20" w:line="260" w:lineRule="auto"/>
              <w:ind w:firstLine="0"/>
              <w:jc w:val="center"/>
            </w:pPr>
            <w:r>
              <w:rPr>
                <w:sz w:val="20"/>
                <w:szCs w:val="20"/>
              </w:rPr>
              <w:t xml:space="preserve">760.922</w:t>
            </w:r>
          </w:p>
        </w:tc>
        <w:tc>
          <w:tcPr>
            <w:tcW w:type="dxa" w:w="1184"/>
            <w:vAlign w:val="center"/>
          </w:tcPr>
          <w:p>
            <w:pPr>
              <w:spacing w:before="20" w:after="20" w:line="260" w:lineRule="auto"/>
              <w:ind w:firstLine="0"/>
              <w:jc w:val="center"/>
            </w:pPr>
            <w:r>
              <w:rPr>
                <w:sz w:val="20"/>
                <w:szCs w:val="20"/>
              </w:rPr>
              <w:t xml:space="preserve">812.346</w:t>
            </w:r>
          </w:p>
        </w:tc>
        <w:tc>
          <w:tcPr>
            <w:tcW w:type="dxa" w:w="1237"/>
            <w:vAlign w:val="center"/>
          </w:tcPr>
          <w:p>
            <w:pPr>
              <w:spacing w:before="20" w:after="20" w:line="260" w:lineRule="auto"/>
              <w:ind w:firstLine="0"/>
              <w:jc w:val="center"/>
            </w:pPr>
            <w:r>
              <w:rPr>
                <w:sz w:val="20"/>
                <w:szCs w:val="20"/>
              </w:rPr>
              <w:t xml:space="preserve">6,76</w:t>
            </w:r>
          </w:p>
        </w:tc>
        <w:tc>
          <w:tcPr>
            <w:tcW w:type="dxa" w:w="1010"/>
            <w:vAlign w:val="center"/>
          </w:tcPr>
          <w:p>
            <w:pPr>
              <w:spacing w:before="20" w:after="20" w:line="260" w:lineRule="auto"/>
              <w:ind w:firstLine="0"/>
              <w:jc w:val="center"/>
            </w:pPr>
            <w:r>
              <w:rPr>
                <w:sz w:val="20"/>
                <w:szCs w:val="20"/>
              </w:rPr>
              <w:t xml:space="preserve">64,08</w:t>
            </w:r>
          </w:p>
        </w:tc>
        <w:tc>
          <w:tcPr>
            <w:tcW w:type="dxa" w:w="1129"/>
            <w:vAlign w:val="center"/>
          </w:tcPr>
          <w:p>
            <w:pPr>
              <w:spacing w:before="20" w:after="20" w:line="260" w:lineRule="auto"/>
              <w:ind w:firstLine="0"/>
              <w:jc w:val="center"/>
            </w:pPr>
            <w:r>
              <w:rPr>
                <w:sz w:val="20"/>
                <w:szCs w:val="20"/>
              </w:rPr>
              <w:t xml:space="preserve">694.526</w:t>
            </w:r>
          </w:p>
        </w:tc>
        <w:tc>
          <w:tcPr>
            <w:tcW w:type="dxa" w:w="1135"/>
            <w:vAlign w:val="center"/>
          </w:tcPr>
          <w:p>
            <w:pPr>
              <w:spacing w:before="20" w:after="20" w:line="260" w:lineRule="auto"/>
              <w:ind w:firstLine="0"/>
              <w:jc w:val="center"/>
            </w:pPr>
            <w:r>
              <w:rPr>
                <w:sz w:val="20"/>
                <w:szCs w:val="20"/>
              </w:rPr>
              <w:t xml:space="preserve">999.627</w:t>
            </w:r>
          </w:p>
        </w:tc>
      </w:tr>
      <w:tr>
        <w:trPr>
          <w:cantSplit/>
        </w:trPr>
        <w:tc>
          <w:tcPr>
            <w:tcW w:type="dxa" w:w="1237"/>
            <w:vAlign w:val="center"/>
          </w:tcPr>
          <w:p>
            <w:pPr>
              <w:spacing w:before="20" w:after="20" w:line="260" w:lineRule="auto"/>
              <w:ind w:firstLine="0"/>
              <w:jc w:val="center"/>
            </w:pPr>
            <w:r>
              <w:rPr>
                <w:sz w:val="20"/>
                <w:szCs w:val="20"/>
              </w:rPr>
              <w:t xml:space="preserve">15/08/2017</w:t>
            </w:r>
          </w:p>
        </w:tc>
        <w:tc>
          <w:tcPr>
            <w:tcW w:type="dxa" w:w="1010"/>
            <w:vAlign w:val="center"/>
          </w:tcPr>
          <w:p>
            <w:pPr>
              <w:spacing w:before="20" w:after="20" w:line="260" w:lineRule="auto"/>
              <w:ind w:firstLine="0"/>
              <w:jc w:val="left"/>
            </w:pPr>
            <w:r>
              <w:rPr>
                <w:sz w:val="20"/>
                <w:szCs w:val="20"/>
              </w:rPr>
              <w:t xml:space="preserve">T3</w:t>
            </w:r>
          </w:p>
        </w:tc>
        <w:tc>
          <w:tcPr>
            <w:tcW w:type="dxa" w:w="1129"/>
            <w:vAlign w:val="center"/>
          </w:tcPr>
          <w:p>
            <w:pPr>
              <w:spacing w:before="20" w:after="20" w:line="260" w:lineRule="auto"/>
              <w:ind w:firstLine="0"/>
              <w:jc w:val="center"/>
            </w:pPr>
            <w:r>
              <w:rPr>
                <w:sz w:val="20"/>
                <w:szCs w:val="20"/>
              </w:rPr>
              <w:t xml:space="preserve">762.662</w:t>
            </w:r>
          </w:p>
        </w:tc>
        <w:tc>
          <w:tcPr>
            <w:tcW w:type="dxa" w:w="1184"/>
            <w:vAlign w:val="center"/>
          </w:tcPr>
          <w:p>
            <w:pPr>
              <w:spacing w:before="20" w:after="20" w:line="260" w:lineRule="auto"/>
              <w:ind w:firstLine="0"/>
              <w:jc w:val="center"/>
            </w:pPr>
            <w:r>
              <w:rPr>
                <w:sz w:val="20"/>
                <w:szCs w:val="20"/>
              </w:rPr>
              <w:t xml:space="preserve">768.205</w:t>
            </w:r>
          </w:p>
        </w:tc>
        <w:tc>
          <w:tcPr>
            <w:tcW w:type="dxa" w:w="1237"/>
            <w:vAlign w:val="center"/>
          </w:tcPr>
          <w:p>
            <w:pPr>
              <w:spacing w:before="20" w:after="20" w:line="260" w:lineRule="auto"/>
              <w:ind w:firstLine="0"/>
              <w:jc w:val="center"/>
            </w:pPr>
            <w:r>
              <w:rPr>
                <w:sz w:val="20"/>
                <w:szCs w:val="20"/>
              </w:rPr>
              <w:t xml:space="preserve">0,73</w:t>
            </w:r>
          </w:p>
        </w:tc>
        <w:tc>
          <w:tcPr>
            <w:tcW w:type="dxa" w:w="1010"/>
            <w:vAlign w:val="center"/>
          </w:tcPr>
          <w:p>
            <w:pPr>
              <w:spacing w:before="20" w:after="20" w:line="260" w:lineRule="auto"/>
              <w:ind w:firstLine="0"/>
              <w:jc w:val="center"/>
            </w:pPr>
            <w:r>
              <w:rPr>
                <w:sz w:val="20"/>
                <w:szCs w:val="20"/>
              </w:rPr>
              <w:t xml:space="preserve">59,56</w:t>
            </w:r>
          </w:p>
        </w:tc>
        <w:tc>
          <w:tcPr>
            <w:tcW w:type="dxa" w:w="1129"/>
            <w:vAlign w:val="center"/>
          </w:tcPr>
          <w:p>
            <w:pPr>
              <w:spacing w:before="20" w:after="20" w:line="260" w:lineRule="auto"/>
              <w:ind w:firstLine="0"/>
              <w:jc w:val="center"/>
            </w:pPr>
            <w:r>
              <w:rPr>
                <w:sz w:val="20"/>
                <w:szCs w:val="20"/>
              </w:rPr>
              <w:t xml:space="preserve">650.939</w:t>
            </w:r>
          </w:p>
        </w:tc>
        <w:tc>
          <w:tcPr>
            <w:tcW w:type="dxa" w:w="1135"/>
            <w:vAlign w:val="center"/>
          </w:tcPr>
          <w:p>
            <w:pPr>
              <w:spacing w:before="20" w:after="20" w:line="260" w:lineRule="auto"/>
              <w:ind w:firstLine="0"/>
              <w:jc w:val="center"/>
            </w:pPr>
            <w:r>
              <w:rPr>
                <w:sz w:val="20"/>
                <w:szCs w:val="20"/>
              </w:rPr>
              <w:t xml:space="preserve">955.750</w:t>
            </w:r>
          </w:p>
        </w:tc>
      </w:tr>
      <w:tr>
        <w:trPr>
          <w:cantSplit/>
        </w:trPr>
        <w:tc>
          <w:tcPr>
            <w:tcW w:type="dxa" w:w="1237"/>
            <w:vAlign w:val="center"/>
          </w:tcPr>
          <w:p>
            <w:pPr>
              <w:spacing w:before="20" w:after="20" w:line="260" w:lineRule="auto"/>
              <w:ind w:firstLine="0"/>
              <w:jc w:val="left"/>
            </w:pPr>
            <w:r>
              <w:rPr>
                <w:sz w:val="20"/>
                <w:szCs w:val="20"/>
              </w:rPr>
              <w:t xml:space="preserve">Tổng 16 ngày</w:t>
            </w:r>
          </w:p>
        </w:tc>
        <w:tc>
          <w:tcPr>
            <w:tcW w:type="dxa" w:w="1010"/>
            <w:vAlign w:val="center"/>
          </w:tcPr>
          <w:p>
            <w:pPr>
              <w:spacing w:before="20" w:after="20" w:line="260" w:lineRule="auto"/>
              <w:ind w:firstLine="0"/>
              <w:jc w:val="left"/>
            </w:pPr>
            <w:r>
              <w:rPr>
                <w:sz w:val="20"/>
                <w:szCs w:val="20"/>
              </w:rPr>
              <w:t xml:space="preserve"/>
            </w:r>
          </w:p>
        </w:tc>
        <w:tc>
          <w:tcPr>
            <w:tcW w:type="dxa" w:w="1129"/>
            <w:vAlign w:val="center"/>
          </w:tcPr>
          <w:p>
            <w:pPr>
              <w:spacing w:before="20" w:after="20" w:line="260" w:lineRule="auto"/>
              <w:ind w:firstLine="0"/>
              <w:jc w:val="center"/>
            </w:pPr>
            <w:r>
              <w:rPr>
                <w:sz w:val="20"/>
                <w:szCs w:val="20"/>
              </w:rPr>
              <w:t xml:space="preserve">13.319.180</w:t>
            </w:r>
          </w:p>
        </w:tc>
        <w:tc>
          <w:tcPr>
            <w:tcW w:type="dxa" w:w="1184"/>
            <w:vAlign w:val="center"/>
          </w:tcPr>
          <w:p>
            <w:pPr>
              <w:spacing w:before="20" w:after="20" w:line="260" w:lineRule="auto"/>
              <w:ind w:firstLine="0"/>
              <w:jc w:val="center"/>
            </w:pPr>
            <w:r>
              <w:rPr>
                <w:sz w:val="20"/>
                <w:szCs w:val="20"/>
              </w:rPr>
              <w:t xml:space="preserve">13.773.080</w:t>
            </w:r>
          </w:p>
        </w:tc>
        <w:tc>
          <w:tcPr>
            <w:tcW w:type="dxa" w:w="1237"/>
            <w:vAlign w:val="center"/>
          </w:tcPr>
          <w:p>
            <w:pPr>
              <w:spacing w:before="20" w:after="20" w:line="260" w:lineRule="auto"/>
              <w:ind w:firstLine="0"/>
              <w:jc w:val="center"/>
            </w:pPr>
            <w:r>
              <w:rPr>
                <w:sz w:val="20"/>
                <w:szCs w:val="20"/>
              </w:rPr>
              <w:t xml:space="preserve">3,41</w:t>
            </w:r>
          </w:p>
        </w:tc>
        <w:tc>
          <w:tcPr>
            <w:tcW w:type="dxa" w:w="1010"/>
            <w:vAlign w:val="center"/>
          </w:tcPr>
          <w:p>
            <w:pPr>
              <w:spacing w:before="20" w:after="20" w:line="260" w:lineRule="auto"/>
              <w:ind w:firstLine="0"/>
              <w:jc w:val="center"/>
            </w:pPr>
            <w:r>
              <w:rPr>
                <w:sz w:val="20"/>
                <w:szCs w:val="20"/>
              </w:rPr>
              <w:t xml:space="preserve">66,927</w:t>
            </w:r>
          </w:p>
        </w:tc>
        <w:tc>
          <w:tcPr>
            <w:tcW w:type="dxa" w:w="1129"/>
            <w:vAlign w:val="center"/>
          </w:tcPr>
          <w:p>
            <w:pPr>
              <w:spacing w:before="20" w:after="20" w:line="260" w:lineRule="auto"/>
              <w:ind w:firstLine="0"/>
              <w:jc w:val="center"/>
            </w:pPr>
            <w:r>
              <w:rPr>
                <w:sz w:val="20"/>
                <w:szCs w:val="20"/>
              </w:rPr>
              <w:t xml:space="preserve">11.788.149</w:t>
            </w:r>
          </w:p>
        </w:tc>
        <w:tc>
          <w:tcPr>
            <w:tcW w:type="dxa" w:w="1135"/>
            <w:vAlign w:val="center"/>
          </w:tcPr>
          <w:p>
            <w:pPr>
              <w:spacing w:before="20" w:after="20" w:line="260" w:lineRule="auto"/>
              <w:ind w:firstLine="0"/>
              <w:jc w:val="center"/>
            </w:pPr>
            <w:r>
              <w:rPr>
                <w:sz w:val="20"/>
                <w:szCs w:val="20"/>
              </w:rPr>
              <w:t xml:space="preserve">16.957.581</w:t>
            </w:r>
          </w:p>
        </w:tc>
      </w:tr>
    </w:tbl>
    <w:p>
      <w:pPr>
        <w:spacing w:before="40" w:after="160"/>
        <w:ind w:firstLine="0"/>
      </w:pPr>
      <w:r>
        <w:rPr>
          <w:i/>
          <w:sz w:val="22"/>
          <w:szCs w:val="22"/>
        </w:rPr>
        <w:t xml:space="preserve">Nguồn: REPORT_READY/tables/10_actual_predicted_by_day.csv (outputs/11_forecast_diagnostics/actual_vs_predicted_by_day.csv). Sai lệch = (dự báo − thực tế)/thực tế; giá trị dương nghĩa là dự báo cao hơn thực tế. MAE của dòng tổng là MAE toàn tập kiểm tra cuối; tổng P10/P90 của dòng tổng là tổng của 28.512 phân vị theo dòng.</w:t>
      </w:r>
    </w:p>
    <w:p>
      <w:pPr>
        <w:keepLines w:val="0"/>
        <w:spacing w:after="120"/>
        <w:ind w:firstLine="567"/>
      </w:pPr>
      <w:r>
        <w:t xml:space="preserve">Trên toàn kỳ, tổng dự báo điểm đạt 13.773.080 so với tổng thực tế 13.319.180, tức cao hơn 453.900 đơn vị, tương đương 3,41%. Dự báo vượt thực tế ở 12/16 ngày; trị tuyệt đối của sai lệch theo ngày dao động từ 0,73% (15/08) đến 16,27% (12/08), trung bình 4,96%. Độ chệch tổng 3,41% và WAPE 14,327% ở cấp chuỗi – ngày đo hai thuộc tính khác nhau: WAPE cộng trị tuyệt đối của sai số nên sai số trái dấu không triệt tiêu, còn sai lệch tổng là kết quả sau khi sai số dương và âm của 1.782 chuỗi đã bù trừ. Sai lệch tổng vì thế là chỉ báo của thiên lệch hệ thống (systematic bias) chứ không phải của độ chính xác từng chuỗi. Thiên lệch dương lặp lại ở cấp tổng chuyển thành lượng hàng đặt dư tích lũy qua các kỳ, nên hai thông tin cần được theo dõi tách biệt, đúng với khuyến nghị đánh giá cả độ chệch lẫn độ lớn sai số (Hyndman và Athanasopoulos, 2021). Hình 4.5 biểu diễn diễn biến của thực tế, dự báo và dải tổng P10–P90 qua 16 ngày.</w:t>
      </w:r>
    </w:p>
    <w:p>
      <w:pPr>
        <w:jc w:val="center"/>
      </w:pPr>
      <w:r>
        <w:drawing>
          <wp:inline xmlns:a="http://schemas.openxmlformats.org/drawingml/2006/main" xmlns:pic="http://schemas.openxmlformats.org/drawingml/2006/picture">
            <wp:extent cx="5580000" cy="2337283"/>
            <wp:docPr id="5009" name="Picture 5009"/>
            <wp:cNvGraphicFramePr>
              <a:graphicFrameLocks noChangeAspect="1"/>
            </wp:cNvGraphicFramePr>
            <a:graphic>
              <a:graphicData uri="http://schemas.openxmlformats.org/drawingml/2006/picture">
                <pic:pic>
                  <pic:nvPicPr>
                    <pic:cNvPr id="0" name="F11_actual_vs_forecast_daily_842.png"/>
                    <pic:cNvPicPr/>
                  </pic:nvPicPr>
                  <pic:blipFill>
                    <a:blip r:embed="rId108"/>
                    <a:stretch>
                      <a:fillRect/>
                    </a:stretch>
                  </pic:blipFill>
                  <pic:spPr>
                    <a:xfrm>
                      <a:off x="0" y="0"/>
                      <a:ext cx="5580000" cy="2337283"/>
                    </a:xfrm>
                    <a:prstGeom prst="rect"/>
                  </pic:spPr>
                </pic:pic>
              </a:graphicData>
            </a:graphic>
          </wp:inline>
        </w:drawing>
      </w:r>
    </w:p>
    <w:p>
      <w:pPr>
        <w:keepNext w:val="0"/>
        <w:spacing w:after="160"/>
        <w:ind w:firstLine="0"/>
        <w:jc w:val="center"/>
      </w:pPr>
      <w:r>
        <w:t xml:space="preserve">Hình 4.5. Tổng doanh số thực tế, dự báo P50 và dải tổng P10–P90 theo ngày trên tập kiểm tra cuối (31/07/2017–15/08/2017)</w:t>
      </w:r>
    </w:p>
    <w:p>
      <w:pPr>
        <w:spacing w:before="0" w:after="160"/>
        <w:ind w:firstLine="0"/>
        <w:jc w:val="center"/>
      </w:pPr>
      <w:r>
        <w:rPr>
          <w:i/>
          <w:sz w:val="22"/>
          <w:szCs w:val="22"/>
        </w:rPr>
        <w:t xml:space="preserve">Nguồn: REPORT_READY/figures/F11_actual_vs_forecast_daily.png</w:t>
      </w:r>
    </w:p>
    <w:p>
      <w:pPr>
        <w:keepLines w:val="0"/>
        <w:spacing w:after="120"/>
        <w:ind w:firstLine="567"/>
      </w:pPr>
      <w:r>
        <w:t xml:space="preserve">Hình cho thấy dự báo tái hiện khá tốt hình dạng của chuỗi thực tế: đỉnh vào 05–06/08, điểm thấp vào 10/08 và sự phục hồi sau đó đều được dự báo với cùng chiều biến động, tức mô hình đã nắm được nhịp mùa vụ tuần đã nhận diện ở Chương 3. Đường được vẽ là tổng P50; vì P50 chỉ khác dự báo điểm một phân vị trung vị nhỏ của phần dư trong từng nhóm (tổng P50 13.758.714 so với 13.773.080), hai đường gần như trùng nhau ở tỷ lệ của hình. Tuy nhiên, đường dự báo và đường thực tế không song song đều đặn. Ở ba ngày đầu kỳ (31/07–02/08), dự báo thấp hơn thực tế lần lượt 1,50%, 5,22% và 3,87%, cộng lại thấp hơn 102.230 đơn vị; từ 03/08 trở đi, đường dự báo nằm trên đường thực tế ở mọi ngày trừ 10/08, với khoảng cách mở rộng rõ rệt vào hai cặp cuối tuần. Con số 3,41% của cả kỳ vì vậy là kết quả ròng của hai giai đoạn ngược chiều, và hai loại rủi ro, thiếu hàng ở đầu kỳ và dư hàng ở cuối tuần, cùng tồn tại trong một kỳ dự báo.</w:t>
      </w:r>
    </w:p>
    <w:p>
      <w:pPr>
        <w:pStyle w:val="Heading3"/>
        <w:keepNext/>
      </w:pPr>
      <w:r>
        <w:t xml:space="preserve">4.6.2. Sai lệch tập trung vào cuối tuần và cấu trúc thiên lệch theo lịch</w:t>
      </w:r>
    </w:p>
    <w:p>
      <w:pPr>
        <w:keepLines w:val="0"/>
        <w:spacing w:after="120"/>
        <w:ind w:firstLine="567"/>
      </w:pPr>
      <w:r>
        <w:t xml:space="preserve">Điểm nổi bật nhất của Bảng 4.6 là bốn ngày cuối tuần. Ngày 05/08 (thứ Bảy) và 06/08 (Chủ nhật) có sai lệch 5,94% và 6,99%; ngày 12/08 và 13/08 có sai lệch 16,27% và 14,22%, cao nhất kỳ. MAE theo ngày biến động cùng chiều ở tuần thứ hai: bốn ngày từ 07/08 đến 10/08 chỉ có MAE từ 46,89 đến 51,10, nhưng giá trị này tăng lên 90,78 vào thứ Sáu 11/08, 109,05 vào 12/08 và 94,68 vào 13/08. Tính gộp, bốn ngày cuối tuần có tổng dự báo cao hơn thực tế 382.776 đơn vị (10,42%), trong khi mười hai ngày còn lại chỉ cao hơn 71.124 đơn vị (0,74%); khoảng 84,33% mức dự báo cao ròng của cả kỳ đến từ bốn ngày cuối tuần. Thiên lệch vì vậy không phân bố đều mà gắn với một chiều cụ thể của lịch, nên có thể được theo dõi và hiệu chỉnh theo chiều đó. Mức chênh của cặp cuối tuần thứ hai (252.056) gần gấp đôi cặp thứ nhất (130.720), gợi ý rằng sai lệch còn tăng theo khoảng cách tới gốc dự báo.</w:t>
      </w:r>
    </w:p>
    <w:p>
      <w:pPr>
        <w:keepLines w:val="0"/>
        <w:spacing w:after="120"/>
        <w:ind w:firstLine="567"/>
      </w:pPr>
      <w:r>
        <w:t xml:space="preserve">Ngày 11/08 bổ sung một sắc thái khác: sai lệch tổng chỉ 2,32% nhưng MAE lên tới 90,78, cao thứ ba trong 16 ngày, nghĩa là sai số của các chuỗi lớn nhưng trái dấu và triệt tiêu phần lớn khi cộng lên cấp tổng. Về nguyên nhân của thiên lệch cuối tuần, kết quả của lần chạy không đủ để xác định. Mô hình tiếp nhận thông tin lịch qua dow, is_weekend và các độ trễ là bội số của 7; nếu mức tăng cuối tuần trong giai đoạn kiểm tra nhỏ hơn mức tăng điển hình học từ dữ liệu huấn luyện, dự báo cuối tuần sẽ bị đẩy lên cao. Đây chỉ là giải thích khả dĩ; kiểm chứng đòi hỏi so sánh mức chênh cuối tuần qua nhiều cửa sổ, như gợi ý về đánh giá theo thời gian của Hewamalage và cộng sự (2023).</w:t>
      </w:r>
    </w:p>
    <w:p>
      <w:pPr>
        <w:keepLines w:val="0"/>
        <w:spacing w:after="120"/>
        <w:ind w:firstLine="567"/>
      </w:pPr>
      <w:r>
        <w:t xml:space="preserve">Thiên lệch cuối tuần cũng để lại dấu vết trên lớp dự báo xác suất. Tính lại từ tệp probabilistic_predictions.parquet, độ bao phủ của khoảng P10–P90 theo ngày thấp nhất vào 12/08 (65,04%), 11/08 (67,68%) và 13/08 (68,18%), cao nhất vào 08/08 (81,48%); bốn ngày cuối tuần có độ bao phủ 70,68%, các ngày còn lại 76,97%. Phần hụt ở cuối tuần nằm ở đuôi dưới: 24,40% giá trị thực tế nằm dưới P10 ở cuối tuần so với 15,01% ở ngày thường, trong khi tỷ lệ vượt P90 lại thấp hơn (4,92% so với 8,02%). Lớp xác suất phân nhóm phần dư theo quy mô dự báo điểm, không theo ngày trong tuần, nên khoảng không tự dịch xuống ở những ngày mà dự báo điểm bị đẩy lên. Hệ thống giám sát vì vậy nên theo dõi độ chệch và độ bao phủ theo ngày trong tuần; hiệu chỉnh hậu kỳ theo ngày trong tuần, hoặc thêm ngày trong tuần làm một chiều phân nhóm, là hướng mở rộng chưa được triển khai.</w:t>
      </w:r>
    </w:p>
    <w:p>
      <w:pPr>
        <w:pStyle w:val="Heading3"/>
        <w:keepNext/>
      </w:pPr>
      <w:r>
        <w:t xml:space="preserve">4.6.3. Quan hệ giữa thực tế và dự báo ở cấp quan sát</w:t>
      </w:r>
    </w:p>
    <w:p>
      <w:pPr>
        <w:keepLines w:val="0"/>
        <w:spacing w:after="120"/>
        <w:ind w:firstLine="567"/>
      </w:pPr>
      <w:r>
        <w:t xml:space="preserve">Nếu tổng theo ngày cho biết mô hình bám nhu cầu toàn hệ thống ra sao, thì biểu đồ phân tán giữa giá trị thực tế và dự báo ở cấp chuỗi – ngày cho biết chất lượng đó phân bố thế nào giữa các quan sát. Hình 4.6 biểu diễn 28.512 quan sát chuỗi – ngày của tập kiểm tra cuối trên hai trục logarit, với trục hoành là doanh số thực tế cộng 1, trục tung là P50 cộng 1 và đường nét đứt là đường 45 độ, nơi dự báo trùng khớp thực tế. Điểm nằm trên đường là quan sát bị dự báo cao hơn thực tế; điểm nằm dưới là quan sát bị dự báo thấp hơn.</w:t>
      </w:r>
    </w:p>
    <w:p>
      <w:pPr>
        <w:jc w:val="center"/>
      </w:pPr>
      <w:r>
        <w:drawing>
          <wp:inline xmlns:a="http://schemas.openxmlformats.org/drawingml/2006/main" xmlns:pic="http://schemas.openxmlformats.org/drawingml/2006/picture">
            <wp:extent cx="5580000" cy="5361176"/>
            <wp:docPr id="5010" name="Picture 5010"/>
            <wp:cNvGraphicFramePr>
              <a:graphicFrameLocks noChangeAspect="1"/>
            </wp:cNvGraphicFramePr>
            <a:graphic>
              <a:graphicData uri="http://schemas.openxmlformats.org/drawingml/2006/picture">
                <pic:pic>
                  <pic:nvPicPr>
                    <pic:cNvPr id="0" name="F12_actual_predicted_scatter_852.png"/>
                    <pic:cNvPicPr/>
                  </pic:nvPicPr>
                  <pic:blipFill>
                    <a:blip r:embed="rId109"/>
                    <a:stretch>
                      <a:fillRect/>
                    </a:stretch>
                  </pic:blipFill>
                  <pic:spPr>
                    <a:xfrm>
                      <a:off x="0" y="0"/>
                      <a:ext cx="5580000" cy="5361176"/>
                    </a:xfrm>
                    <a:prstGeom prst="rect"/>
                  </pic:spPr>
                </pic:pic>
              </a:graphicData>
            </a:graphic>
          </wp:inline>
        </w:drawing>
      </w:r>
    </w:p>
    <w:p>
      <w:pPr>
        <w:keepNext w:val="0"/>
        <w:spacing w:after="160"/>
        <w:ind w:firstLine="0"/>
        <w:jc w:val="center"/>
      </w:pPr>
      <w:r>
        <w:t xml:space="preserve">Hình 4.6. Doanh số thực tế và P50 của XGBoost ở cấp chuỗi – ngày trên tập kiểm tra cuối (thang logarit, đường nét đứt: đường 45 độ)</w:t>
      </w:r>
    </w:p>
    <w:p>
      <w:pPr>
        <w:spacing w:before="0" w:after="160"/>
        <w:ind w:firstLine="0"/>
        <w:jc w:val="center"/>
      </w:pPr>
      <w:r>
        <w:rPr>
          <w:i/>
          <w:sz w:val="22"/>
          <w:szCs w:val="22"/>
        </w:rPr>
        <w:t xml:space="preserve">Nguồn: REPORT_READY/figures/F12_actual_predicted_scatter.png</w:t>
      </w:r>
    </w:p>
    <w:p>
      <w:pPr>
        <w:keepLines w:val="0"/>
        <w:spacing w:after="120"/>
        <w:ind w:firstLine="567"/>
      </w:pPr>
      <w:r>
        <w:t xml:space="preserve">Ba đặc điểm có thể nhận ra từ hình. Thứ nhất, đám điểm tập trung chặt dọc đường 45 độ ở vùng doanh số từ vài trăm đơn vị trở lên, nghĩa là mô hình phân biệt tốt quy mô giữa các tổ hợp Store × Family và sai số tương đối ở vùng này nhỏ; đây là thành phần lớn nhất của độ chính xác. Thứ hai, ở vùng doanh số nhỏ, các điểm tạo thành những cột dọc rời rạc tại các giá trị thực tế nguyên và trải rộng theo chiều dọc; cột tại gốc tương ứng với 14,58% dòng có doanh số bằng 0, trong đó nhiều quan sát nhận dự báo dương. Thứ ba, ở vùng vài chục đến vài trăm đơn vị có một số điểm nằm xa phía dưới đường 45 độ, tức những ngày bán vượt xa mức mô hình dự kiến. Trên thang tuyến tính, cùng dữ liệu này có dạng hình quạt: sai số tuyệt đối tăng theo quy mô, hay phương sai sai số không đồng nhất (heteroscedasticity), như Hình 4.9 ở mục 4.7 thể hiện trực tiếp.</w:t>
      </w:r>
    </w:p>
    <w:p>
      <w:pPr>
        <w:keepLines w:val="0"/>
        <w:spacing w:after="120"/>
        <w:ind w:firstLine="567"/>
      </w:pPr>
      <w:r>
        <w:t xml:space="preserve">Phương sai không đồng nhất có hệ quả trực tiếp cho hai phần sau của chương. Với dự báo điểm, nó giải thích vì sao RMSE (225,602) lớn hơn MAE (66,927) khoảng 3,37 lần: các sai số lớn tập trung ở số ít quan sát quy mô lớn, và RMSE, do bình phương sai số, khuếch đại đóng góp của chúng (Hyndman và Athanasopoulos, 2021). Với dự báo xác suất, nó đòi hỏi độ rộng khoảng phải co giãn theo quy mô, vì một khoảng có độ rộng chung sẽ quá hẹp ở chuỗi lớn và quá rộng ở chuỗi nhỏ; đây là lý do lớp xác suất của nghiên cứu được thiết kế để tính phân vị phần dư riêng theo từng nhóm mức dự báo điểm, và kết quả của thiết kế này được đánh giá ở mục 4.9. Về vận hành, ngưỡng cảnh báo sai số không thể là một mức tuyệt đối chung cho mọi chuỗi mà nên được chuẩn hóa theo quy mô, chẳng hạn bằng sai số chuẩn hóa theo thang của từng chuỗi như gợi ý của Hyndman và Koehler (2006).</w:t>
      </w:r>
    </w:p>
    <w:p>
      <w:pPr>
        <w:pStyle w:val="Heading3"/>
        <w:keepNext/>
      </w:pPr>
      <w:r>
        <w:t xml:space="preserve">4.6.4. Phân phối phần dư và độ chệch của dự báo</w:t>
      </w:r>
    </w:p>
    <w:p>
      <w:pPr>
        <w:keepLines w:val="0"/>
        <w:spacing w:after="120"/>
        <w:ind w:firstLine="567"/>
      </w:pPr>
      <w:r>
        <w:t xml:space="preserve">Phần dư được định nghĩa là e = y − ŷ, trong đó y là doanh số thực tế và ŷ là dự báo; phần dư âm tương ứng với dự báo cao hơn thực tế. Hình 4.7 biểu diễn tần suất phần dư tính theo P50 của 28.512 quan sát, với các giá trị ngoài phân vị 1% và 99% được dồn vào hai cột ở mép trục, như tiêu đề hình ghi rõ. Tính lại từ tệp dự báo xác suất, phần dư theo P50 có trung bình −15,42, đúng bằng chênh lệch giữa tổng thực tế và tổng P50 chia cho số quan sát, còn trung vị chỉ −0,98. Có 57,07% phần dư âm, 38,34% dương và 4,59% bằng đúng 0; 53,99% quan sát có sai số tuyệt đối không quá 10 đơn vị. Phân vị 1% và 99% lần lượt là −709,01 và 562,86, trùng vị trí hai cột nhỏ ở hai mép hình, nên phần đuôi thực tế dài hơn những gì hình thể hiện. Theo dự báo điểm, các thống kê gần như không khác (trung bình −15,92, trung vị −0,79).</w:t>
      </w:r>
    </w:p>
    <w:p>
      <w:pPr>
        <w:jc w:val="center"/>
      </w:pPr>
      <w:r>
        <w:drawing>
          <wp:inline xmlns:a="http://schemas.openxmlformats.org/drawingml/2006/main" xmlns:pic="http://schemas.openxmlformats.org/drawingml/2006/picture">
            <wp:extent cx="5580000" cy="2838662"/>
            <wp:docPr id="5011" name="Picture 5011"/>
            <wp:cNvGraphicFramePr>
              <a:graphicFrameLocks noChangeAspect="1"/>
            </wp:cNvGraphicFramePr>
            <a:graphic>
              <a:graphicData uri="http://schemas.openxmlformats.org/drawingml/2006/picture">
                <pic:pic>
                  <pic:nvPicPr>
                    <pic:cNvPr id="0" name="F13_residual_distribution_859.png"/>
                    <pic:cNvPicPr/>
                  </pic:nvPicPr>
                  <pic:blipFill>
                    <a:blip r:embed="rId110"/>
                    <a:stretch>
                      <a:fillRect/>
                    </a:stretch>
                  </pic:blipFill>
                  <pic:spPr>
                    <a:xfrm>
                      <a:off x="0" y="0"/>
                      <a:ext cx="5580000" cy="2838662"/>
                    </a:xfrm>
                    <a:prstGeom prst="rect"/>
                  </pic:spPr>
                </pic:pic>
              </a:graphicData>
            </a:graphic>
          </wp:inline>
        </w:drawing>
      </w:r>
    </w:p>
    <w:p>
      <w:pPr>
        <w:keepNext w:val="0"/>
        <w:spacing w:after="160"/>
        <w:ind w:firstLine="0"/>
        <w:jc w:val="center"/>
      </w:pPr>
      <w:r>
        <w:t xml:space="preserve">Hình 4.7. Phân phối phần dư (thực tế − P50) của XGBoost trên tập kiểm tra cuối, cắt ở phân vị 1% và 99%</w:t>
      </w:r>
    </w:p>
    <w:p>
      <w:pPr>
        <w:spacing w:before="0" w:after="160"/>
        <w:ind w:firstLine="0"/>
        <w:jc w:val="center"/>
      </w:pPr>
      <w:r>
        <w:rPr>
          <w:i/>
          <w:sz w:val="22"/>
          <w:szCs w:val="22"/>
        </w:rPr>
        <w:t xml:space="preserve">Nguồn: REPORT_READY/figures/F13_residual_distribution.png</w:t>
      </w:r>
    </w:p>
    <w:p>
      <w:pPr>
        <w:keepLines w:val="0"/>
        <w:spacing w:after="120"/>
        <w:ind w:firstLine="567"/>
      </w:pPr>
      <w:r>
        <w:t xml:space="preserve">Hình dạng phân phối có ba đặc điểm. Đỉnh rất nhọn tại 0 và hai đuôi dài cho thấy phân phối có độ nhọn cao (leptokurtic): phần lớn quan sát có sai số rất nhỏ, chủ yếu vì thuộc các chuỗi quy mô nhỏ, còn một số ít có sai số hàng trăm đơn vị. Tiếp theo, khối lượng xác suất nghiêng về phía âm: các cột bên trái 0 dày và kéo dài hơn bên phải, và trung bình âm lớn hơn nhiều so với trung vị. Độ chệch vì vậy không đến từ việc mọi chuỗi đều bị dự báo cao một chút, mà từ các sai số âm có độ lớn đáng kể ở một bộ phận quan sát, phần lớn thuộc nhóm quy mô lớn như mục 4.7 sẽ chỉ ra. Cuối cùng, phân phối không đối xứng và không có dạng chuẩn, nên khoảng dự báo dựa trên giả định chuẩn sẽ không phù hợp. Cách lấy phân vị thực nghiệm của phần dư riêng trong từng nhóm quy mô dự báo, như quy trình sử dụng, tránh được giả định này và phản ánh được độ phân tán khác nhau giữa chuỗi nhỏ và chuỗi lớn.</w:t>
      </w:r>
    </w:p>
    <w:p>
      <w:pPr>
        <w:pStyle w:val="Heading2"/>
        <w:keepNext/>
      </w:pPr>
      <w:r>
        <w:t xml:space="preserve">4.7. Phân rã sai số theo mức nhu cầu, cửa hàng và nhóm sản phẩm</w:t>
      </w:r>
    </w:p>
    <w:p>
      <w:pPr>
        <w:pStyle w:val="Heading3"/>
        <w:keepNext/>
      </w:pPr>
      <w:r>
        <w:t xml:space="preserve">4.7.1. Sai số theo bốn mức nhu cầu</w:t>
      </w:r>
    </w:p>
    <w:p>
      <w:pPr>
        <w:keepLines w:val="0"/>
        <w:spacing w:after="120"/>
        <w:ind w:firstLine="567"/>
      </w:pPr>
      <w:r>
        <w:t xml:space="preserve">Mục 4.6 cho thấy sai số tuyệt đối tăng theo quy mô quan sát. Để lượng hóa quan hệ này, quy trình chẩn đoán chia 28.512 quan sát thành bốn nhóm bằng nhau theo tứ phân vị của doanh số thực tế, mỗi nhóm 7.128 quan sát, từ Q1 (thấp nhất) đến Q4 (cao nhất), rồi tính các thước đo sai số của dự báo điểm cùng độ bao phủ và độ rộng khoảng cho từng nhóm. Độ chệch là trung bình của thực tế trừ dự báo, nên giá trị âm nghĩa là dự báo cao hơn. Bảng 4.7 tổng hợp kết quả, kèm tỷ trọng doanh số thực tế do tác giả tính lại. Vì nhóm được xác định theo giá trị thực tế đã xảy ra, cách phân nhóm này chỉ phù hợp để chẩn đoán; đây là điểm khác với phân nhóm của lớp xác suất ở mục 4.9, vốn dựa trên dự báo điểm nên dùng được tại thời điểm ra quyết định.</w:t>
      </w:r>
    </w:p>
    <w:p>
      <w:pPr>
        <w:keepNext/>
        <w:spacing w:before="120" w:after="60"/>
        <w:ind w:firstLine="0"/>
        <w:jc w:val="center"/>
      </w:pPr>
      <w:r>
        <w:t xml:space="preserve">Bảng 4.7. Sai số dự báo điểm và chỉ số khoảng dự báo theo bốn mức nhu cầu (tứ phân vị doanh số thực tế)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819"/>
        <w:gridCol w:w="819"/>
        <w:gridCol w:w="855"/>
        <w:gridCol w:w="819"/>
        <w:gridCol w:w="1104"/>
        <w:gridCol w:w="698"/>
        <w:gridCol w:w="698"/>
        <w:gridCol w:w="698"/>
        <w:gridCol w:w="698"/>
        <w:gridCol w:w="1076"/>
        <w:gridCol w:w="787"/>
      </w:tblGrid>
      <w:tr>
        <w:trPr>
          <w:tblHeader/>
          <w:cantSplit/>
        </w:trPr>
        <w:tc>
          <w:tcPr>
            <w:tcW w:type="dxa" w:w="819"/>
            <w:shd w:val="clear" w:color="auto" w:fill="D9E2F3"/>
            <w:vAlign w:val="center"/>
          </w:tcPr>
          <w:p>
            <w:pPr>
              <w:spacing w:before="20" w:after="20" w:line="260" w:lineRule="auto"/>
              <w:ind w:firstLine="0"/>
              <w:jc w:val="center"/>
            </w:pPr>
            <w:r>
              <w:rPr>
                <w:b/>
                <w:sz w:val="20"/>
                <w:szCs w:val="20"/>
              </w:rPr>
              <w:t xml:space="preserve">Mức nhu cầu</w:t>
            </w:r>
          </w:p>
        </w:tc>
        <w:tc>
          <w:tcPr>
            <w:tcW w:type="dxa" w:w="819"/>
            <w:shd w:val="clear" w:color="auto" w:fill="D9E2F3"/>
            <w:vAlign w:val="center"/>
          </w:tcPr>
          <w:p>
            <w:pPr>
              <w:spacing w:before="20" w:after="20" w:line="260" w:lineRule="auto"/>
              <w:ind w:firstLine="0"/>
              <w:jc w:val="center"/>
            </w:pPr>
            <w:r>
              <w:rPr>
                <w:b/>
                <w:sz w:val="20"/>
                <w:szCs w:val="20"/>
              </w:rPr>
              <w:t xml:space="preserve">Số quan sát</w:t>
            </w:r>
          </w:p>
        </w:tc>
        <w:tc>
          <w:tcPr>
            <w:tcW w:type="dxa" w:w="855"/>
            <w:shd w:val="clear" w:color="auto" w:fill="D9E2F3"/>
            <w:vAlign w:val="center"/>
          </w:tcPr>
          <w:p>
            <w:pPr>
              <w:spacing w:before="20" w:after="20" w:line="260" w:lineRule="auto"/>
              <w:ind w:firstLine="0"/>
              <w:jc w:val="center"/>
            </w:pPr>
            <w:r>
              <w:rPr>
                <w:b/>
                <w:sz w:val="20"/>
                <w:szCs w:val="20"/>
              </w:rPr>
              <w:t xml:space="preserve">Tổng thực tế</w:t>
            </w:r>
          </w:p>
        </w:tc>
        <w:tc>
          <w:tcPr>
            <w:tcW w:type="dxa" w:w="819"/>
            <w:shd w:val="clear" w:color="auto" w:fill="D9E2F3"/>
            <w:vAlign w:val="center"/>
          </w:tcPr>
          <w:p>
            <w:pPr>
              <w:spacing w:before="20" w:after="20" w:line="260" w:lineRule="auto"/>
              <w:ind w:firstLine="0"/>
              <w:jc w:val="center"/>
            </w:pPr>
            <w:r>
              <w:rPr>
                <w:b/>
                <w:sz w:val="20"/>
                <w:szCs w:val="20"/>
              </w:rPr>
              <w:t xml:space="preserve">Tổng dự báo</w:t>
            </w:r>
          </w:p>
        </w:tc>
        <w:tc>
          <w:tcPr>
            <w:tcW w:type="dxa" w:w="1104"/>
            <w:shd w:val="clear" w:color="auto" w:fill="D9E2F3"/>
            <w:vAlign w:val="center"/>
          </w:tcPr>
          <w:p>
            <w:pPr>
              <w:spacing w:before="20" w:after="20" w:line="260" w:lineRule="auto"/>
              <w:ind w:firstLine="0"/>
              <w:jc w:val="center"/>
            </w:pPr>
            <w:r>
              <w:rPr>
                <w:b/>
                <w:sz w:val="20"/>
                <w:szCs w:val="20"/>
              </w:rPr>
              <w:t xml:space="preserve">Tỷ trọng thực tế (%)</w:t>
            </w:r>
          </w:p>
        </w:tc>
        <w:tc>
          <w:tcPr>
            <w:tcW w:type="dxa" w:w="698"/>
            <w:shd w:val="clear" w:color="auto" w:fill="D9E2F3"/>
            <w:vAlign w:val="center"/>
          </w:tcPr>
          <w:p>
            <w:pPr>
              <w:spacing w:before="20" w:after="20" w:line="260" w:lineRule="auto"/>
              <w:ind w:firstLine="0"/>
              <w:jc w:val="center"/>
            </w:pPr>
            <w:r>
              <w:rPr>
                <w:b/>
                <w:sz w:val="20"/>
                <w:szCs w:val="20"/>
              </w:rPr>
              <w:t xml:space="preserve">MAE</w:t>
            </w:r>
          </w:p>
        </w:tc>
        <w:tc>
          <w:tcPr>
            <w:tcW w:type="dxa" w:w="698"/>
            <w:shd w:val="clear" w:color="auto" w:fill="D9E2F3"/>
            <w:vAlign w:val="center"/>
          </w:tcPr>
          <w:p>
            <w:pPr>
              <w:spacing w:before="20" w:after="20" w:line="260" w:lineRule="auto"/>
              <w:ind w:firstLine="0"/>
              <w:jc w:val="center"/>
            </w:pPr>
            <w:r>
              <w:rPr>
                <w:b/>
                <w:sz w:val="20"/>
                <w:szCs w:val="20"/>
              </w:rPr>
              <w:t xml:space="preserve">RMSE</w:t>
            </w:r>
          </w:p>
        </w:tc>
        <w:tc>
          <w:tcPr>
            <w:tcW w:type="dxa" w:w="698"/>
            <w:shd w:val="clear" w:color="auto" w:fill="D9E2F3"/>
            <w:vAlign w:val="center"/>
          </w:tcPr>
          <w:p>
            <w:pPr>
              <w:spacing w:before="20" w:after="20" w:line="260" w:lineRule="auto"/>
              <w:ind w:firstLine="0"/>
              <w:jc w:val="center"/>
            </w:pPr>
            <w:r>
              <w:rPr>
                <w:b/>
                <w:sz w:val="20"/>
                <w:szCs w:val="20"/>
              </w:rPr>
              <w:t xml:space="preserve">WAPE (%)</w:t>
            </w:r>
          </w:p>
        </w:tc>
        <w:tc>
          <w:tcPr>
            <w:tcW w:type="dxa" w:w="698"/>
            <w:shd w:val="clear" w:color="auto" w:fill="D9E2F3"/>
            <w:vAlign w:val="center"/>
          </w:tcPr>
          <w:p>
            <w:pPr>
              <w:spacing w:before="20" w:after="20" w:line="260" w:lineRule="auto"/>
              <w:ind w:firstLine="0"/>
              <w:jc w:val="center"/>
            </w:pPr>
            <w:r>
              <w:rPr>
                <w:b/>
                <w:sz w:val="20"/>
                <w:szCs w:val="20"/>
              </w:rPr>
              <w:t xml:space="preserve">Bias</w:t>
            </w:r>
          </w:p>
        </w:tc>
        <w:tc>
          <w:tcPr>
            <w:tcW w:type="dxa" w:w="1076"/>
            <w:shd w:val="clear" w:color="auto" w:fill="D9E2F3"/>
            <w:vAlign w:val="center"/>
          </w:tcPr>
          <w:p>
            <w:pPr>
              <w:spacing w:before="20" w:after="20" w:line="260" w:lineRule="auto"/>
              <w:ind w:firstLine="0"/>
              <w:jc w:val="center"/>
            </w:pPr>
            <w:r>
              <w:rPr>
                <w:b/>
                <w:sz w:val="20"/>
                <w:szCs w:val="20"/>
              </w:rPr>
              <w:t xml:space="preserve">Bao phủ P10–P90 (%)</w:t>
            </w:r>
          </w:p>
        </w:tc>
        <w:tc>
          <w:tcPr>
            <w:tcW w:type="dxa" w:w="787"/>
            <w:shd w:val="clear" w:color="auto" w:fill="D9E2F3"/>
            <w:vAlign w:val="center"/>
          </w:tcPr>
          <w:p>
            <w:pPr>
              <w:spacing w:before="20" w:after="20" w:line="260" w:lineRule="auto"/>
              <w:ind w:firstLine="0"/>
              <w:jc w:val="center"/>
            </w:pPr>
            <w:r>
              <w:rPr>
                <w:b/>
                <w:sz w:val="20"/>
                <w:szCs w:val="20"/>
              </w:rPr>
              <w:t xml:space="preserve">Độ rộng TB</w:t>
            </w:r>
          </w:p>
        </w:tc>
      </w:tr>
      <w:tr>
        <w:trPr>
          <w:cantSplit/>
        </w:trPr>
        <w:tc>
          <w:tcPr>
            <w:tcW w:type="dxa" w:w="819"/>
            <w:vAlign w:val="center"/>
          </w:tcPr>
          <w:p>
            <w:pPr>
              <w:spacing w:before="20" w:after="20" w:line="260" w:lineRule="auto"/>
              <w:ind w:firstLine="0"/>
              <w:jc w:val="left"/>
            </w:pPr>
            <w:r>
              <w:rPr>
                <w:sz w:val="20"/>
                <w:szCs w:val="20"/>
              </w:rPr>
              <w:t xml:space="preserve">Q1 thấp</w:t>
            </w:r>
          </w:p>
        </w:tc>
        <w:tc>
          <w:tcPr>
            <w:tcW w:type="dxa" w:w="819"/>
            <w:vAlign w:val="center"/>
          </w:tcPr>
          <w:p>
            <w:pPr>
              <w:spacing w:before="20" w:after="20" w:line="260" w:lineRule="auto"/>
              <w:ind w:firstLine="0"/>
              <w:jc w:val="center"/>
            </w:pPr>
            <w:r>
              <w:rPr>
                <w:sz w:val="20"/>
                <w:szCs w:val="20"/>
              </w:rPr>
              <w:t xml:space="preserve">7.128</w:t>
            </w:r>
          </w:p>
        </w:tc>
        <w:tc>
          <w:tcPr>
            <w:tcW w:type="dxa" w:w="855"/>
            <w:vAlign w:val="center"/>
          </w:tcPr>
          <w:p>
            <w:pPr>
              <w:spacing w:before="20" w:after="20" w:line="260" w:lineRule="auto"/>
              <w:ind w:firstLine="0"/>
              <w:jc w:val="center"/>
            </w:pPr>
            <w:r>
              <w:rPr>
                <w:sz w:val="20"/>
                <w:szCs w:val="20"/>
              </w:rPr>
              <w:t xml:space="preserve">5.818</w:t>
            </w:r>
          </w:p>
        </w:tc>
        <w:tc>
          <w:tcPr>
            <w:tcW w:type="dxa" w:w="819"/>
            <w:vAlign w:val="center"/>
          </w:tcPr>
          <w:p>
            <w:pPr>
              <w:spacing w:before="20" w:after="20" w:line="260" w:lineRule="auto"/>
              <w:ind w:firstLine="0"/>
              <w:jc w:val="center"/>
            </w:pPr>
            <w:r>
              <w:rPr>
                <w:sz w:val="20"/>
                <w:szCs w:val="20"/>
              </w:rPr>
              <w:t xml:space="preserve">14.596</w:t>
            </w:r>
          </w:p>
        </w:tc>
        <w:tc>
          <w:tcPr>
            <w:tcW w:type="dxa" w:w="1104"/>
            <w:vAlign w:val="center"/>
          </w:tcPr>
          <w:p>
            <w:pPr>
              <w:spacing w:before="20" w:after="20" w:line="260" w:lineRule="auto"/>
              <w:ind w:firstLine="0"/>
              <w:jc w:val="center"/>
            </w:pPr>
            <w:r>
              <w:rPr>
                <w:sz w:val="20"/>
                <w:szCs w:val="20"/>
              </w:rPr>
              <w:t xml:space="preserve">0,044</w:t>
            </w:r>
          </w:p>
        </w:tc>
        <w:tc>
          <w:tcPr>
            <w:tcW w:type="dxa" w:w="698"/>
            <w:vAlign w:val="center"/>
          </w:tcPr>
          <w:p>
            <w:pPr>
              <w:spacing w:before="20" w:after="20" w:line="260" w:lineRule="auto"/>
              <w:ind w:firstLine="0"/>
              <w:jc w:val="center"/>
            </w:pPr>
            <w:r>
              <w:rPr>
                <w:sz w:val="20"/>
                <w:szCs w:val="20"/>
              </w:rPr>
              <w:t xml:space="preserve">1,715</w:t>
            </w:r>
          </w:p>
        </w:tc>
        <w:tc>
          <w:tcPr>
            <w:tcW w:type="dxa" w:w="698"/>
            <w:vAlign w:val="center"/>
          </w:tcPr>
          <w:p>
            <w:pPr>
              <w:spacing w:before="20" w:after="20" w:line="260" w:lineRule="auto"/>
              <w:ind w:firstLine="0"/>
              <w:jc w:val="center"/>
            </w:pPr>
            <w:r>
              <w:rPr>
                <w:sz w:val="20"/>
                <w:szCs w:val="20"/>
              </w:rPr>
              <w:t xml:space="preserve">5,035</w:t>
            </w:r>
          </w:p>
        </w:tc>
        <w:tc>
          <w:tcPr>
            <w:tcW w:type="dxa" w:w="698"/>
            <w:vAlign w:val="center"/>
          </w:tcPr>
          <w:p>
            <w:pPr>
              <w:spacing w:before="20" w:after="20" w:line="260" w:lineRule="auto"/>
              <w:ind w:firstLine="0"/>
              <w:jc w:val="center"/>
            </w:pPr>
            <w:r>
              <w:rPr>
                <w:sz w:val="20"/>
                <w:szCs w:val="20"/>
              </w:rPr>
              <w:t xml:space="preserve">210,17</w:t>
            </w:r>
          </w:p>
        </w:tc>
        <w:tc>
          <w:tcPr>
            <w:tcW w:type="dxa" w:w="698"/>
            <w:vAlign w:val="center"/>
          </w:tcPr>
          <w:p>
            <w:pPr>
              <w:spacing w:before="20" w:after="20" w:line="260" w:lineRule="auto"/>
              <w:ind w:firstLine="0"/>
              <w:jc w:val="center"/>
            </w:pPr>
            <w:r>
              <w:rPr>
                <w:sz w:val="20"/>
                <w:szCs w:val="20"/>
              </w:rPr>
              <w:t xml:space="preserve">−1,231</w:t>
            </w:r>
          </w:p>
        </w:tc>
        <w:tc>
          <w:tcPr>
            <w:tcW w:type="dxa" w:w="1076"/>
            <w:vAlign w:val="center"/>
          </w:tcPr>
          <w:p>
            <w:pPr>
              <w:spacing w:before="20" w:after="20" w:line="260" w:lineRule="auto"/>
              <w:ind w:firstLine="0"/>
              <w:jc w:val="center"/>
            </w:pPr>
            <w:r>
              <w:rPr>
                <w:sz w:val="20"/>
                <w:szCs w:val="20"/>
              </w:rPr>
              <w:t xml:space="preserve">70,86</w:t>
            </w:r>
          </w:p>
        </w:tc>
        <w:tc>
          <w:tcPr>
            <w:tcW w:type="dxa" w:w="787"/>
            <w:vAlign w:val="center"/>
          </w:tcPr>
          <w:p>
            <w:pPr>
              <w:spacing w:before="20" w:after="20" w:line="260" w:lineRule="auto"/>
              <w:ind w:firstLine="0"/>
              <w:jc w:val="center"/>
            </w:pPr>
            <w:r>
              <w:rPr>
                <w:sz w:val="20"/>
                <w:szCs w:val="20"/>
              </w:rPr>
              <w:t xml:space="preserve">7,597</w:t>
            </w:r>
          </w:p>
        </w:tc>
      </w:tr>
      <w:tr>
        <w:trPr>
          <w:cantSplit/>
        </w:trPr>
        <w:tc>
          <w:tcPr>
            <w:tcW w:type="dxa" w:w="819"/>
            <w:vAlign w:val="center"/>
          </w:tcPr>
          <w:p>
            <w:pPr>
              <w:spacing w:before="20" w:after="20" w:line="260" w:lineRule="auto"/>
              <w:ind w:firstLine="0"/>
              <w:jc w:val="left"/>
            </w:pPr>
            <w:r>
              <w:rPr>
                <w:sz w:val="20"/>
                <w:szCs w:val="20"/>
              </w:rPr>
              <w:t xml:space="preserve">Q2</w:t>
            </w:r>
          </w:p>
        </w:tc>
        <w:tc>
          <w:tcPr>
            <w:tcW w:type="dxa" w:w="819"/>
            <w:vAlign w:val="center"/>
          </w:tcPr>
          <w:p>
            <w:pPr>
              <w:spacing w:before="20" w:after="20" w:line="260" w:lineRule="auto"/>
              <w:ind w:firstLine="0"/>
              <w:jc w:val="center"/>
            </w:pPr>
            <w:r>
              <w:rPr>
                <w:sz w:val="20"/>
                <w:szCs w:val="20"/>
              </w:rPr>
              <w:t xml:space="preserve">7.128</w:t>
            </w:r>
          </w:p>
        </w:tc>
        <w:tc>
          <w:tcPr>
            <w:tcW w:type="dxa" w:w="855"/>
            <w:vAlign w:val="center"/>
          </w:tcPr>
          <w:p>
            <w:pPr>
              <w:spacing w:before="20" w:after="20" w:line="260" w:lineRule="auto"/>
              <w:ind w:firstLine="0"/>
              <w:jc w:val="center"/>
            </w:pPr>
            <w:r>
              <w:rPr>
                <w:sz w:val="20"/>
                <w:szCs w:val="20"/>
              </w:rPr>
              <w:t xml:space="preserve">91.761</w:t>
            </w:r>
          </w:p>
        </w:tc>
        <w:tc>
          <w:tcPr>
            <w:tcW w:type="dxa" w:w="819"/>
            <w:vAlign w:val="center"/>
          </w:tcPr>
          <w:p>
            <w:pPr>
              <w:spacing w:before="20" w:after="20" w:line="260" w:lineRule="auto"/>
              <w:ind w:firstLine="0"/>
              <w:jc w:val="center"/>
            </w:pPr>
            <w:r>
              <w:rPr>
                <w:sz w:val="20"/>
                <w:szCs w:val="20"/>
              </w:rPr>
              <w:t xml:space="preserve">106.028</w:t>
            </w:r>
          </w:p>
        </w:tc>
        <w:tc>
          <w:tcPr>
            <w:tcW w:type="dxa" w:w="1104"/>
            <w:vAlign w:val="center"/>
          </w:tcPr>
          <w:p>
            <w:pPr>
              <w:spacing w:before="20" w:after="20" w:line="260" w:lineRule="auto"/>
              <w:ind w:firstLine="0"/>
              <w:jc w:val="center"/>
            </w:pPr>
            <w:r>
              <w:rPr>
                <w:sz w:val="20"/>
                <w:szCs w:val="20"/>
              </w:rPr>
              <w:t xml:space="preserve">0,689</w:t>
            </w:r>
          </w:p>
        </w:tc>
        <w:tc>
          <w:tcPr>
            <w:tcW w:type="dxa" w:w="698"/>
            <w:vAlign w:val="center"/>
          </w:tcPr>
          <w:p>
            <w:pPr>
              <w:spacing w:before="20" w:after="20" w:line="260" w:lineRule="auto"/>
              <w:ind w:firstLine="0"/>
              <w:jc w:val="center"/>
            </w:pPr>
            <w:r>
              <w:rPr>
                <w:sz w:val="20"/>
                <w:szCs w:val="20"/>
              </w:rPr>
              <w:t xml:space="preserve">7,660</w:t>
            </w:r>
          </w:p>
        </w:tc>
        <w:tc>
          <w:tcPr>
            <w:tcW w:type="dxa" w:w="698"/>
            <w:vAlign w:val="center"/>
          </w:tcPr>
          <w:p>
            <w:pPr>
              <w:spacing w:before="20" w:after="20" w:line="260" w:lineRule="auto"/>
              <w:ind w:firstLine="0"/>
              <w:jc w:val="center"/>
            </w:pPr>
            <w:r>
              <w:rPr>
                <w:sz w:val="20"/>
                <w:szCs w:val="20"/>
              </w:rPr>
              <w:t xml:space="preserve">12,759</w:t>
            </w:r>
          </w:p>
        </w:tc>
        <w:tc>
          <w:tcPr>
            <w:tcW w:type="dxa" w:w="698"/>
            <w:vAlign w:val="center"/>
          </w:tcPr>
          <w:p>
            <w:pPr>
              <w:spacing w:before="20" w:after="20" w:line="260" w:lineRule="auto"/>
              <w:ind w:firstLine="0"/>
              <w:jc w:val="center"/>
            </w:pPr>
            <w:r>
              <w:rPr>
                <w:sz w:val="20"/>
                <w:szCs w:val="20"/>
              </w:rPr>
              <w:t xml:space="preserve">59,50</w:t>
            </w:r>
          </w:p>
        </w:tc>
        <w:tc>
          <w:tcPr>
            <w:tcW w:type="dxa" w:w="698"/>
            <w:vAlign w:val="center"/>
          </w:tcPr>
          <w:p>
            <w:pPr>
              <w:spacing w:before="20" w:after="20" w:line="260" w:lineRule="auto"/>
              <w:ind w:firstLine="0"/>
              <w:jc w:val="center"/>
            </w:pPr>
            <w:r>
              <w:rPr>
                <w:sz w:val="20"/>
                <w:szCs w:val="20"/>
              </w:rPr>
              <w:t xml:space="preserve">−2,002</w:t>
            </w:r>
          </w:p>
        </w:tc>
        <w:tc>
          <w:tcPr>
            <w:tcW w:type="dxa" w:w="1076"/>
            <w:vAlign w:val="center"/>
          </w:tcPr>
          <w:p>
            <w:pPr>
              <w:spacing w:before="20" w:after="20" w:line="260" w:lineRule="auto"/>
              <w:ind w:firstLine="0"/>
              <w:jc w:val="center"/>
            </w:pPr>
            <w:r>
              <w:rPr>
                <w:sz w:val="20"/>
                <w:szCs w:val="20"/>
              </w:rPr>
              <w:t xml:space="preserve">81,90</w:t>
            </w:r>
          </w:p>
        </w:tc>
        <w:tc>
          <w:tcPr>
            <w:tcW w:type="dxa" w:w="787"/>
            <w:vAlign w:val="center"/>
          </w:tcPr>
          <w:p>
            <w:pPr>
              <w:spacing w:before="20" w:after="20" w:line="260" w:lineRule="auto"/>
              <w:ind w:firstLine="0"/>
              <w:jc w:val="center"/>
            </w:pPr>
            <w:r>
              <w:rPr>
                <w:sz w:val="20"/>
                <w:szCs w:val="20"/>
              </w:rPr>
              <w:t xml:space="preserve">21,637</w:t>
            </w:r>
          </w:p>
        </w:tc>
      </w:tr>
      <w:tr>
        <w:trPr>
          <w:cantSplit/>
        </w:trPr>
        <w:tc>
          <w:tcPr>
            <w:tcW w:type="dxa" w:w="819"/>
            <w:vAlign w:val="center"/>
          </w:tcPr>
          <w:p>
            <w:pPr>
              <w:spacing w:before="20" w:after="20" w:line="260" w:lineRule="auto"/>
              <w:ind w:firstLine="0"/>
              <w:jc w:val="left"/>
            </w:pPr>
            <w:r>
              <w:rPr>
                <w:sz w:val="20"/>
                <w:szCs w:val="20"/>
              </w:rPr>
              <w:t xml:space="preserve">Q3</w:t>
            </w:r>
          </w:p>
        </w:tc>
        <w:tc>
          <w:tcPr>
            <w:tcW w:type="dxa" w:w="819"/>
            <w:vAlign w:val="center"/>
          </w:tcPr>
          <w:p>
            <w:pPr>
              <w:spacing w:before="20" w:after="20" w:line="260" w:lineRule="auto"/>
              <w:ind w:firstLine="0"/>
              <w:jc w:val="center"/>
            </w:pPr>
            <w:r>
              <w:rPr>
                <w:sz w:val="20"/>
                <w:szCs w:val="20"/>
              </w:rPr>
              <w:t xml:space="preserve">7.128</w:t>
            </w:r>
          </w:p>
        </w:tc>
        <w:tc>
          <w:tcPr>
            <w:tcW w:type="dxa" w:w="855"/>
            <w:vAlign w:val="center"/>
          </w:tcPr>
          <w:p>
            <w:pPr>
              <w:spacing w:before="20" w:after="20" w:line="260" w:lineRule="auto"/>
              <w:ind w:firstLine="0"/>
              <w:jc w:val="center"/>
            </w:pPr>
            <w:r>
              <w:rPr>
                <w:sz w:val="20"/>
                <w:szCs w:val="20"/>
              </w:rPr>
              <w:t xml:space="preserve">875.101</w:t>
            </w:r>
          </w:p>
        </w:tc>
        <w:tc>
          <w:tcPr>
            <w:tcW w:type="dxa" w:w="819"/>
            <w:vAlign w:val="center"/>
          </w:tcPr>
          <w:p>
            <w:pPr>
              <w:spacing w:before="20" w:after="20" w:line="260" w:lineRule="auto"/>
              <w:ind w:firstLine="0"/>
              <w:jc w:val="center"/>
            </w:pPr>
            <w:r>
              <w:rPr>
                <w:sz w:val="20"/>
                <w:szCs w:val="20"/>
              </w:rPr>
              <w:t xml:space="preserve">926.611</w:t>
            </w:r>
          </w:p>
        </w:tc>
        <w:tc>
          <w:tcPr>
            <w:tcW w:type="dxa" w:w="1104"/>
            <w:vAlign w:val="center"/>
          </w:tcPr>
          <w:p>
            <w:pPr>
              <w:spacing w:before="20" w:after="20" w:line="260" w:lineRule="auto"/>
              <w:ind w:firstLine="0"/>
              <w:jc w:val="center"/>
            </w:pPr>
            <w:r>
              <w:rPr>
                <w:sz w:val="20"/>
                <w:szCs w:val="20"/>
              </w:rPr>
              <w:t xml:space="preserve">6,570</w:t>
            </w:r>
          </w:p>
        </w:tc>
        <w:tc>
          <w:tcPr>
            <w:tcW w:type="dxa" w:w="698"/>
            <w:vAlign w:val="center"/>
          </w:tcPr>
          <w:p>
            <w:pPr>
              <w:spacing w:before="20" w:after="20" w:line="260" w:lineRule="auto"/>
              <w:ind w:firstLine="0"/>
              <w:jc w:val="center"/>
            </w:pPr>
            <w:r>
              <w:rPr>
                <w:sz w:val="20"/>
                <w:szCs w:val="20"/>
              </w:rPr>
              <w:t xml:space="preserve">26,391</w:t>
            </w:r>
          </w:p>
        </w:tc>
        <w:tc>
          <w:tcPr>
            <w:tcW w:type="dxa" w:w="698"/>
            <w:vAlign w:val="center"/>
          </w:tcPr>
          <w:p>
            <w:pPr>
              <w:spacing w:before="20" w:after="20" w:line="260" w:lineRule="auto"/>
              <w:ind w:firstLine="0"/>
              <w:jc w:val="center"/>
            </w:pPr>
            <w:r>
              <w:rPr>
                <w:sz w:val="20"/>
                <w:szCs w:val="20"/>
              </w:rPr>
              <w:t xml:space="preserve">39,848</w:t>
            </w:r>
          </w:p>
        </w:tc>
        <w:tc>
          <w:tcPr>
            <w:tcW w:type="dxa" w:w="698"/>
            <w:vAlign w:val="center"/>
          </w:tcPr>
          <w:p>
            <w:pPr>
              <w:spacing w:before="20" w:after="20" w:line="260" w:lineRule="auto"/>
              <w:ind w:firstLine="0"/>
              <w:jc w:val="center"/>
            </w:pPr>
            <w:r>
              <w:rPr>
                <w:sz w:val="20"/>
                <w:szCs w:val="20"/>
              </w:rPr>
              <w:t xml:space="preserve">21,50</w:t>
            </w:r>
          </w:p>
        </w:tc>
        <w:tc>
          <w:tcPr>
            <w:tcW w:type="dxa" w:w="698"/>
            <w:vAlign w:val="center"/>
          </w:tcPr>
          <w:p>
            <w:pPr>
              <w:spacing w:before="20" w:after="20" w:line="260" w:lineRule="auto"/>
              <w:ind w:firstLine="0"/>
              <w:jc w:val="center"/>
            </w:pPr>
            <w:r>
              <w:rPr>
                <w:sz w:val="20"/>
                <w:szCs w:val="20"/>
              </w:rPr>
              <w:t xml:space="preserve">−7,226</w:t>
            </w:r>
          </w:p>
        </w:tc>
        <w:tc>
          <w:tcPr>
            <w:tcW w:type="dxa" w:w="1076"/>
            <w:vAlign w:val="center"/>
          </w:tcPr>
          <w:p>
            <w:pPr>
              <w:spacing w:before="20" w:after="20" w:line="260" w:lineRule="auto"/>
              <w:ind w:firstLine="0"/>
              <w:jc w:val="center"/>
            </w:pPr>
            <w:r>
              <w:rPr>
                <w:sz w:val="20"/>
                <w:szCs w:val="20"/>
              </w:rPr>
              <w:t xml:space="preserve">76,05</w:t>
            </w:r>
          </w:p>
        </w:tc>
        <w:tc>
          <w:tcPr>
            <w:tcW w:type="dxa" w:w="787"/>
            <w:vAlign w:val="center"/>
          </w:tcPr>
          <w:p>
            <w:pPr>
              <w:spacing w:before="20" w:after="20" w:line="260" w:lineRule="auto"/>
              <w:ind w:firstLine="0"/>
              <w:jc w:val="center"/>
            </w:pPr>
            <w:r>
              <w:rPr>
                <w:sz w:val="20"/>
                <w:szCs w:val="20"/>
              </w:rPr>
              <w:t xml:space="preserve">77,153</w:t>
            </w:r>
          </w:p>
        </w:tc>
      </w:tr>
      <w:tr>
        <w:trPr>
          <w:cantSplit/>
        </w:trPr>
        <w:tc>
          <w:tcPr>
            <w:tcW w:type="dxa" w:w="819"/>
            <w:vAlign w:val="center"/>
          </w:tcPr>
          <w:p>
            <w:pPr>
              <w:spacing w:before="20" w:after="20" w:line="260" w:lineRule="auto"/>
              <w:ind w:firstLine="0"/>
              <w:jc w:val="left"/>
            </w:pPr>
            <w:r>
              <w:rPr>
                <w:sz w:val="20"/>
                <w:szCs w:val="20"/>
              </w:rPr>
              <w:t xml:space="preserve">Q4 cao</w:t>
            </w:r>
          </w:p>
        </w:tc>
        <w:tc>
          <w:tcPr>
            <w:tcW w:type="dxa" w:w="819"/>
            <w:vAlign w:val="center"/>
          </w:tcPr>
          <w:p>
            <w:pPr>
              <w:spacing w:before="20" w:after="20" w:line="260" w:lineRule="auto"/>
              <w:ind w:firstLine="0"/>
              <w:jc w:val="center"/>
            </w:pPr>
            <w:r>
              <w:rPr>
                <w:sz w:val="20"/>
                <w:szCs w:val="20"/>
              </w:rPr>
              <w:t xml:space="preserve">7.128</w:t>
            </w:r>
          </w:p>
        </w:tc>
        <w:tc>
          <w:tcPr>
            <w:tcW w:type="dxa" w:w="855"/>
            <w:vAlign w:val="center"/>
          </w:tcPr>
          <w:p>
            <w:pPr>
              <w:spacing w:before="20" w:after="20" w:line="260" w:lineRule="auto"/>
              <w:ind w:firstLine="0"/>
              <w:jc w:val="center"/>
            </w:pPr>
            <w:r>
              <w:rPr>
                <w:sz w:val="20"/>
                <w:szCs w:val="20"/>
              </w:rPr>
              <w:t xml:space="preserve">12.346.500</w:t>
            </w:r>
          </w:p>
        </w:tc>
        <w:tc>
          <w:tcPr>
            <w:tcW w:type="dxa" w:w="819"/>
            <w:vAlign w:val="center"/>
          </w:tcPr>
          <w:p>
            <w:pPr>
              <w:spacing w:before="20" w:after="20" w:line="260" w:lineRule="auto"/>
              <w:ind w:firstLine="0"/>
              <w:jc w:val="center"/>
            </w:pPr>
            <w:r>
              <w:rPr>
                <w:sz w:val="20"/>
                <w:szCs w:val="20"/>
              </w:rPr>
              <w:t xml:space="preserve">12.725.845</w:t>
            </w:r>
          </w:p>
        </w:tc>
        <w:tc>
          <w:tcPr>
            <w:tcW w:type="dxa" w:w="1104"/>
            <w:vAlign w:val="center"/>
          </w:tcPr>
          <w:p>
            <w:pPr>
              <w:spacing w:before="20" w:after="20" w:line="260" w:lineRule="auto"/>
              <w:ind w:firstLine="0"/>
              <w:jc w:val="center"/>
            </w:pPr>
            <w:r>
              <w:rPr>
                <w:sz w:val="20"/>
                <w:szCs w:val="20"/>
              </w:rPr>
              <w:t xml:space="preserve">92,697</w:t>
            </w:r>
          </w:p>
        </w:tc>
        <w:tc>
          <w:tcPr>
            <w:tcW w:type="dxa" w:w="698"/>
            <w:vAlign w:val="center"/>
          </w:tcPr>
          <w:p>
            <w:pPr>
              <w:spacing w:before="20" w:after="20" w:line="260" w:lineRule="auto"/>
              <w:ind w:firstLine="0"/>
              <w:jc w:val="center"/>
            </w:pPr>
            <w:r>
              <w:rPr>
                <w:sz w:val="20"/>
                <w:szCs w:val="20"/>
              </w:rPr>
              <w:t xml:space="preserve">231,940</w:t>
            </w:r>
          </w:p>
        </w:tc>
        <w:tc>
          <w:tcPr>
            <w:tcW w:type="dxa" w:w="698"/>
            <w:vAlign w:val="center"/>
          </w:tcPr>
          <w:p>
            <w:pPr>
              <w:spacing w:before="20" w:after="20" w:line="260" w:lineRule="auto"/>
              <w:ind w:firstLine="0"/>
              <w:jc w:val="center"/>
            </w:pPr>
            <w:r>
              <w:rPr>
                <w:sz w:val="20"/>
                <w:szCs w:val="20"/>
              </w:rPr>
              <w:t xml:space="preserve">449,231</w:t>
            </w:r>
          </w:p>
        </w:tc>
        <w:tc>
          <w:tcPr>
            <w:tcW w:type="dxa" w:w="698"/>
            <w:vAlign w:val="center"/>
          </w:tcPr>
          <w:p>
            <w:pPr>
              <w:spacing w:before="20" w:after="20" w:line="260" w:lineRule="auto"/>
              <w:ind w:firstLine="0"/>
              <w:jc w:val="center"/>
            </w:pPr>
            <w:r>
              <w:rPr>
                <w:sz w:val="20"/>
                <w:szCs w:val="20"/>
              </w:rPr>
              <w:t xml:space="preserve">13,39</w:t>
            </w:r>
          </w:p>
        </w:tc>
        <w:tc>
          <w:tcPr>
            <w:tcW w:type="dxa" w:w="698"/>
            <w:vAlign w:val="center"/>
          </w:tcPr>
          <w:p>
            <w:pPr>
              <w:spacing w:before="20" w:after="20" w:line="260" w:lineRule="auto"/>
              <w:ind w:firstLine="0"/>
              <w:jc w:val="center"/>
            </w:pPr>
            <w:r>
              <w:rPr>
                <w:sz w:val="20"/>
                <w:szCs w:val="20"/>
              </w:rPr>
              <w:t xml:space="preserve">−53,219</w:t>
            </w:r>
          </w:p>
        </w:tc>
        <w:tc>
          <w:tcPr>
            <w:tcW w:type="dxa" w:w="1076"/>
            <w:vAlign w:val="center"/>
          </w:tcPr>
          <w:p>
            <w:pPr>
              <w:spacing w:before="20" w:after="20" w:line="260" w:lineRule="auto"/>
              <w:ind w:firstLine="0"/>
              <w:jc w:val="center"/>
            </w:pPr>
            <w:r>
              <w:rPr>
                <w:sz w:val="20"/>
                <w:szCs w:val="20"/>
              </w:rPr>
              <w:t xml:space="preserve">72,77</w:t>
            </w:r>
          </w:p>
        </w:tc>
        <w:tc>
          <w:tcPr>
            <w:tcW w:type="dxa" w:w="787"/>
            <w:vAlign w:val="center"/>
          </w:tcPr>
          <w:p>
            <w:pPr>
              <w:spacing w:before="20" w:after="20" w:line="260" w:lineRule="auto"/>
              <w:ind w:firstLine="0"/>
              <w:jc w:val="center"/>
            </w:pPr>
            <w:r>
              <w:rPr>
                <w:sz w:val="20"/>
                <w:szCs w:val="20"/>
              </w:rPr>
              <w:t xml:space="preserve">618,842</w:t>
            </w:r>
          </w:p>
        </w:tc>
      </w:tr>
    </w:tbl>
    <w:p>
      <w:pPr>
        <w:spacing w:before="40" w:after="160"/>
        <w:ind w:firstLine="0"/>
      </w:pPr>
      <w:r>
        <w:rPr>
          <w:i/>
          <w:sz w:val="22"/>
          <w:szCs w:val="22"/>
        </w:rPr>
        <w:t xml:space="preserve">Nguồn: REPORT_READY/tables/11_error_by_demand_level.csv; cột tỷ trọng thực tế do tác giả tính lại. Bias = trung bình (thực tế − dự báo); âm nghĩa là dự báo cao hơn thực tế.</w:t>
      </w:r>
    </w:p>
    <w:p>
      <w:pPr>
        <w:keepLines w:val="0"/>
        <w:spacing w:after="120"/>
        <w:ind w:firstLine="567"/>
      </w:pPr>
      <w:r>
        <w:t xml:space="preserve">WAPE giảm mạnh và đơn điệu theo quy mô: 210,17% ở Q1, 59,50% ở Q2, 21,50% ở Q3 và 13,39% ở Q4, như các cột của Hình 4.8 minh họa trên thang logarit. Ngược lại, MAE tăng từ 1,715 ở Q1 lên 231,940 ở Q4, tức hơn một trăm lần. Hai chiều biến động không mâu thuẫn: ở nhóm nhỏ, sai số tuyệt đối nhỏ nhưng mẫu số của WAPE còn nhỏ hơn nhiều; ở nhóm lớn, sai số tuyệt đối lớn nhưng được chia cho một tổng nhu cầu rất lớn. Đường màu đỏ trong cùng hình là độ bao phủ P10–P90 so với mức danh nghĩa 80%, được phân tích ở mục 4.9. Hình 4.9 bổ sung góc nhìn ở cấp từng quan sát trên thang logarit: đám điểm dịch dần lên trên theo một dải chéo khá đều khi doanh số tăng, tức mức sai số điển hình tăng gần tỷ lệ với quy mô, trong khi bề dày của dải cho thấy sai số ở cùng một mức doanh số vẫn dao động lớn.</w:t>
      </w:r>
    </w:p>
    <w:p>
      <w:pPr>
        <w:jc w:val="center"/>
      </w:pPr>
      <w:r>
        <w:drawing>
          <wp:inline xmlns:a="http://schemas.openxmlformats.org/drawingml/2006/main" xmlns:pic="http://schemas.openxmlformats.org/drawingml/2006/picture">
            <wp:extent cx="5580000" cy="3051562"/>
            <wp:docPr id="5012" name="Picture 5012"/>
            <wp:cNvGraphicFramePr>
              <a:graphicFrameLocks noChangeAspect="1"/>
            </wp:cNvGraphicFramePr>
            <a:graphic>
              <a:graphicData uri="http://schemas.openxmlformats.org/drawingml/2006/picture">
                <pic:pic>
                  <pic:nvPicPr>
                    <pic:cNvPr id="0" name="F17_error_by_demand_level_870.png"/>
                    <pic:cNvPicPr/>
                  </pic:nvPicPr>
                  <pic:blipFill>
                    <a:blip r:embed="rId111"/>
                    <a:stretch>
                      <a:fillRect/>
                    </a:stretch>
                  </pic:blipFill>
                  <pic:spPr>
                    <a:xfrm>
                      <a:off x="0" y="0"/>
                      <a:ext cx="5580000" cy="3051562"/>
                    </a:xfrm>
                    <a:prstGeom prst="rect"/>
                  </pic:spPr>
                </pic:pic>
              </a:graphicData>
            </a:graphic>
          </wp:inline>
        </w:drawing>
      </w:r>
    </w:p>
    <w:p>
      <w:pPr>
        <w:keepNext w:val="0"/>
        <w:spacing w:after="160"/>
        <w:ind w:firstLine="0"/>
        <w:jc w:val="center"/>
      </w:pPr>
      <w:r>
        <w:t xml:space="preserve">Hình 4.8. WAPE (cột, thang logarit) và độ bao phủ P10–P90 (đường) của XGBoost theo bốn mức nhu cầu trên tập kiểm tra cuối</w:t>
      </w:r>
    </w:p>
    <w:p>
      <w:pPr>
        <w:spacing w:before="0" w:after="160"/>
        <w:ind w:firstLine="0"/>
        <w:jc w:val="center"/>
      </w:pPr>
      <w:r>
        <w:rPr>
          <w:i/>
          <w:sz w:val="22"/>
          <w:szCs w:val="22"/>
        </w:rPr>
        <w:t xml:space="preserve">Nguồn: REPORT_READY/figures/F17_error_by_demand_level.png</w:t>
      </w:r>
    </w:p>
    <w:p>
      <w:pPr>
        <w:jc w:val="center"/>
      </w:pPr>
      <w:r>
        <w:drawing>
          <wp:inline xmlns:a="http://schemas.openxmlformats.org/drawingml/2006/main" xmlns:pic="http://schemas.openxmlformats.org/drawingml/2006/picture">
            <wp:extent cx="5580000" cy="3688474"/>
            <wp:docPr id="5013" name="Picture 5013"/>
            <wp:cNvGraphicFramePr>
              <a:graphicFrameLocks noChangeAspect="1"/>
            </wp:cNvGraphicFramePr>
            <a:graphic>
              <a:graphicData uri="http://schemas.openxmlformats.org/drawingml/2006/picture">
                <pic:pic>
                  <pic:nvPicPr>
                    <pic:cNvPr id="0" name="F14_error_vs_demand_873.png"/>
                    <pic:cNvPicPr/>
                  </pic:nvPicPr>
                  <pic:blipFill>
                    <a:blip r:embed="rId112"/>
                    <a:stretch>
                      <a:fillRect/>
                    </a:stretch>
                  </pic:blipFill>
                  <pic:spPr>
                    <a:xfrm>
                      <a:off x="0" y="0"/>
                      <a:ext cx="5580000" cy="3688474"/>
                    </a:xfrm>
                    <a:prstGeom prst="rect"/>
                  </pic:spPr>
                </pic:pic>
              </a:graphicData>
            </a:graphic>
          </wp:inline>
        </w:drawing>
      </w:r>
    </w:p>
    <w:p>
      <w:pPr>
        <w:keepNext w:val="0"/>
        <w:spacing w:after="160"/>
        <w:ind w:firstLine="0"/>
        <w:jc w:val="center"/>
      </w:pPr>
      <w:r>
        <w:t xml:space="preserve">Hình 4.9. Sai số tuyệt đối theo doanh số thực tế ở cấp chuỗi – ngày trên tập kiểm tra cuối (thang logarit)</w:t>
      </w:r>
    </w:p>
    <w:p>
      <w:pPr>
        <w:spacing w:before="0" w:after="160"/>
        <w:ind w:firstLine="0"/>
        <w:jc w:val="center"/>
      </w:pPr>
      <w:r>
        <w:rPr>
          <w:i/>
          <w:sz w:val="22"/>
          <w:szCs w:val="22"/>
        </w:rPr>
        <w:t xml:space="preserve">Nguồn: REPORT_READY/figures/F14_error_vs_demand.png</w:t>
      </w:r>
    </w:p>
    <w:p>
      <w:pPr>
        <w:keepLines w:val="0"/>
        <w:spacing w:after="120"/>
        <w:ind w:firstLine="567"/>
      </w:pPr>
      <w:r>
        <w:t xml:space="preserve">Vì WAPE là tỷ số của tổng sai số tuyệt đối trên tổng thực tế, WAPE toàn tập có thể viết thành trung bình có trọng số của WAPE từng nhóm, với trọng số là tỷ trọng doanh số thực tế của nhóm, theo công thức (4.4). Áp dụng cho bốn mức nhu cầu, Q4 chiếm 92,697% doanh số nên đóng góp 12,41 điểm phần trăm; Q3 đóng góp 1,41; Q2 đóng góp 0,41; còn Q1, dù có WAPE 210,17%, chỉ đóng góp 0,09 điểm phần trăm vì chiếm 0,044% doanh số. Tổng bốn phần bằng 14,33%, khớp WAPE 14,327% của XGBoost. Tính theo sai số tuyệt đối, Q4 chiếm 86,64% tổng sai số tuyệt đối của toàn tập, Q3 chiếm 9,86%, Q2 chiếm 2,86% và Q1 chỉ 0,64%. Kết luận vận hành là rõ ràng: WAPE tổng hầu như được quyết định bởi nhóm nhu cầu cao, nên mọi cải tiến nhằm giảm WAPE phải nhắm vào các quan sát quy mô lớn; ngược lại, WAPE rất cao ở nhóm nhỏ gần như không ảnh hưởng đến thước đo tổng và cũng không tương ứng với khối lượng hàng đáng kể.</w:t>
      </w:r>
    </w:p>
    <w:p>
      <w:pPr>
        <w:tabs>
          <w:tab w:val="center" w:pos="4535"/>
          <w:tab w:val="right" w:pos="9071"/>
        </w:tabs>
        <w:spacing w:before="60" w:after="60"/>
        <w:ind w:firstLine="0"/>
      </w:pPr>
      <w:r>
        <w:tab/>
      </w:r>
      <m:oMath xmlns:a="http://schemas.openxmlformats.org/drawingml/2006/main" xmlns:pic="http://schemas.openxmlformats.org/drawingml/2006/picture">
        <m:r>
          <m:rPr>
            <m:sty m:val="p"/>
          </m:rPr>
          <m:t>W</m:t>
        </m:r>
        <m:r>
          <m:rPr>
            <m:sty m:val="p"/>
          </m:rPr>
          <m:t>A</m:t>
        </m:r>
        <m:r>
          <m:rPr>
            <m:sty m:val="p"/>
          </m:rPr>
          <m:t>P</m:t>
        </m:r>
        <m:r>
          <m:rPr>
            <m:sty m:val="p"/>
          </m:rPr>
          <m:t>E</m:t>
        </m:r>
        <m:r>
          <m:rPr>
            <m:sty m:val="p"/>
          </m:rPr>
          <m:t>=</m:t>
        </m:r>
        <m:f>
          <m:fPr>
            <m:type m:val="bar"/>
          </m:fPr>
          <m:num>
            <m:nary>
              <m:naryPr>
                <m:chr m:val="∑"/>
                <m:limLoc m:val="undOvr"/>
                <m:subHide m:val="off"/>
                <m:supHide m:val="on"/>
              </m:naryPr>
              <m:sub>
                <m:r>
                  <m:t>g</m:t>
                </m:r>
              </m:sub>
              <m:sup>
                <m:r>
                  <m:t>​</m:t>
                </m:r>
              </m:sup>
              <m:e>
                <m:nary>
                  <m:naryPr>
                    <m:chr m:val="∑"/>
                    <m:limLoc m:val="undOvr"/>
                    <m:subHide m:val="off"/>
                    <m:supHide m:val="on"/>
                  </m:naryPr>
                  <m:sub>
                    <m:r>
                      <m:t>j</m:t>
                    </m:r>
                    <m:r>
                      <m:rPr>
                        <m:sty m:val="p"/>
                      </m:rPr>
                      <m:t>∈</m:t>
                    </m:r>
                    <m:r>
                      <m:t>g</m:t>
                    </m:r>
                  </m:sub>
                  <m:sup>
                    <m:r>
                      <m:t>​</m:t>
                    </m:r>
                  </m:sup>
                  <m:e>
                    <m:d>
                      <m:dPr>
                        <m:begChr m:val="|"/>
                        <m:sepChr m:val=""/>
                        <m:endChr m:val="|"/>
                        <m:grow/>
                      </m:dPr>
                      <m:e>
                        <m:sSub>
                          <m:e>
                            <m:r>
                              <m:t>y</m:t>
                            </m:r>
                          </m:e>
                          <m:sub>
                            <m:r>
                              <m:t>j</m:t>
                            </m:r>
                          </m:sub>
                        </m:sSub>
                        <m:r>
                          <m:rPr>
                            <m:sty m:val="p"/>
                          </m:rPr>
                          <m:t>−</m:t>
                        </m:r>
                        <m:sSub>
                          <m:e>
                            <m:acc>
                              <m:accPr>
                                <m:chr m:val="̂"/>
                              </m:accPr>
                              <m:e>
                                <m:r>
                                  <m:t>y</m:t>
                                </m:r>
                              </m:e>
                            </m:acc>
                          </m:e>
                          <m:sub>
                            <m:r>
                              <m:t>j</m:t>
                            </m:r>
                          </m:sub>
                        </m:sSub>
                      </m:e>
                    </m:d>
                  </m:e>
                </m:nary>
              </m:e>
            </m:nary>
          </m:num>
          <m:den>
            <m:nary>
              <m:naryPr>
                <m:chr m:val="∑"/>
                <m:limLoc m:val="undOvr"/>
                <m:subHide m:val="off"/>
                <m:supHide m:val="on"/>
              </m:naryPr>
              <m:sub>
                <m:r>
                  <m:t>g</m:t>
                </m:r>
              </m:sub>
              <m:sup>
                <m:r>
                  <m:t>​</m:t>
                </m:r>
              </m:sup>
              <m:e>
                <m:nary>
                  <m:naryPr>
                    <m:chr m:val="∑"/>
                    <m:limLoc m:val="undOvr"/>
                    <m:subHide m:val="off"/>
                    <m:supHide m:val="on"/>
                  </m:naryPr>
                  <m:sub>
                    <m:r>
                      <m:t>j</m:t>
                    </m:r>
                    <m:r>
                      <m:rPr>
                        <m:sty m:val="p"/>
                      </m:rPr>
                      <m:t>∈</m:t>
                    </m:r>
                    <m:r>
                      <m:t>g</m:t>
                    </m:r>
                  </m:sub>
                  <m:sup>
                    <m:r>
                      <m:t>​</m:t>
                    </m:r>
                  </m:sup>
                  <m:e>
                    <m:sSub>
                      <m:e>
                        <m:r>
                          <m:t>y</m:t>
                        </m:r>
                      </m:e>
                      <m:sub>
                        <m:r>
                          <m:t>j</m:t>
                        </m:r>
                      </m:sub>
                    </m:sSub>
                  </m:e>
                </m:nary>
              </m:e>
            </m:nary>
          </m:den>
        </m:f>
        <m:r>
          <m:rPr>
            <m:sty m:val="p"/>
          </m:rPr>
          <m:t>=</m:t>
        </m:r>
        <m:nary>
          <m:naryPr>
            <m:chr m:val="∑"/>
            <m:limLoc m:val="undOvr"/>
            <m:subHide m:val="off"/>
            <m:supHide m:val="on"/>
          </m:naryPr>
          <m:sub>
            <m:r>
              <m:t>g</m:t>
            </m:r>
          </m:sub>
          <m:sup>
            <m:r>
              <m:t>​</m:t>
            </m:r>
          </m:sup>
          <m:e>
            <m:sSub>
              <m:e>
                <m:r>
                  <m:t>s</m:t>
                </m:r>
              </m:e>
              <m:sub>
                <m:r>
                  <m:t>g</m:t>
                </m:r>
              </m:sub>
            </m:sSub>
          </m:e>
        </m:nary>
        <m:r>
          <m:t> </m:t>
        </m:r>
        <m:sSub>
          <m:e>
            <m:r>
              <m:rPr>
                <m:sty m:val="p"/>
              </m:rPr>
              <m:t>W</m:t>
            </m:r>
            <m:r>
              <m:rPr>
                <m:sty m:val="p"/>
              </m:rPr>
              <m:t>A</m:t>
            </m:r>
            <m:r>
              <m:rPr>
                <m:sty m:val="p"/>
              </m:rPr>
              <m:t>P</m:t>
            </m:r>
            <m:r>
              <m:rPr>
                <m:sty m:val="p"/>
              </m:rPr>
              <m:t>E</m:t>
            </m:r>
          </m:e>
          <m:sub>
            <m:r>
              <m:t>g</m:t>
            </m:r>
          </m:sub>
        </m:sSub>
        <m:r>
          <m:rPr>
            <m:sty m:val="p"/>
          </m:rPr>
          <m:t>,</m:t>
        </m:r>
        <m:r>
          <m:t>  </m:t>
        </m:r>
        <m:sSub>
          <m:e>
            <m:r>
              <m:t>s</m:t>
            </m:r>
          </m:e>
          <m:sub>
            <m:r>
              <m:t>g</m:t>
            </m:r>
          </m:sub>
        </m:sSub>
        <m:r>
          <m:rPr>
            <m:sty m:val="p"/>
          </m:rPr>
          <m:t>=</m:t>
        </m:r>
        <m:f>
          <m:fPr>
            <m:type m:val="bar"/>
          </m:fPr>
          <m:num>
            <m:nary>
              <m:naryPr>
                <m:chr m:val="∑"/>
                <m:limLoc m:val="undOvr"/>
                <m:subHide m:val="off"/>
                <m:supHide m:val="on"/>
              </m:naryPr>
              <m:sub>
                <m:r>
                  <m:t>j</m:t>
                </m:r>
                <m:r>
                  <m:rPr>
                    <m:sty m:val="p"/>
                  </m:rPr>
                  <m:t>∈</m:t>
                </m:r>
                <m:r>
                  <m:t>g</m:t>
                </m:r>
              </m:sub>
              <m:sup>
                <m:r>
                  <m:t>​</m:t>
                </m:r>
              </m:sup>
              <m:e>
                <m:sSub>
                  <m:e>
                    <m:r>
                      <m:t>y</m:t>
                    </m:r>
                  </m:e>
                  <m:sub>
                    <m:r>
                      <m:t>j</m:t>
                    </m:r>
                  </m:sub>
                </m:sSub>
              </m:e>
            </m:nary>
          </m:num>
          <m:den>
            <m:nary>
              <m:naryPr>
                <m:chr m:val="∑"/>
                <m:limLoc m:val="undOvr"/>
                <m:subHide m:val="off"/>
                <m:supHide m:val="on"/>
              </m:naryPr>
              <m:sub>
                <m:r>
                  <m:t>j</m:t>
                </m:r>
              </m:sub>
              <m:sup>
                <m:r>
                  <m:t>​</m:t>
                </m:r>
              </m:sup>
              <m:e>
                <m:sSub>
                  <m:e>
                    <m:r>
                      <m:t>y</m:t>
                    </m:r>
                  </m:e>
                  <m:sub>
                    <m:r>
                      <m:t>j</m:t>
                    </m:r>
                  </m:sub>
                </m:sSub>
              </m:e>
            </m:nary>
          </m:den>
        </m:f>
      </m:oMath>
      <w:r>
        <w:tab/>
        <w:t>(4.4)</w:t>
      </w:r>
    </w:p>
    <w:p>
      <w:pPr>
        <w:keepLines w:val="0"/>
        <w:spacing w:after="120"/>
        <w:ind w:firstLine="567"/>
      </w:pPr>
      <w:r>
        <w:t xml:space="preserve">Trong công thức trên, g là nhóm (mức nhu cầu, cửa hàng hoặc nhóm sản phẩm), s(g) là tỷ trọng doanh số thực tế và WAPE(g) là WAPE tính riêng trong nhóm. Độ chệch âm xuất hiện ở cả bốn mức nhu cầu: −1,231 ở Q1, −2,002 ở Q2, −7,226 ở Q3 và −53,219 ở Q4. Ở Q1, tổng dự báo 14.596 gấp khoảng 2,51 lần tổng thực tế 5.818; phần lớn độ chệch này mang tính cấu trúc, vì Q1 chứa toàn bộ các dòng có doanh số bằng 0, nơi mọi dự báo không âm chỉ có thể bằng hoặc cao hơn thực tế. Ở Q4, tổng dự báo vượt thực tế 379.345 đơn vị, chiếm phần lớn mức dự báo cao ròng 453.900 của cả tập. Vì Q4 tập hợp những quan sát có doanh số thực tế cao nhất, gồm cả những ngày bán vượt trội, hiện tượng hồi quy về trung bình lẽ ra khiến dự báo của nhóm này có xu hướng thấp hơn thực tế; việc Q4 vẫn có độ chệch âm vì vậy là bằng chứng khá mạnh cho xu hướng dự báo cao có hệ thống trên tập kiểm tra cuối.</w:t>
      </w:r>
    </w:p>
    <w:p>
      <w:pPr>
        <w:keepLines w:val="0"/>
        <w:spacing w:after="120"/>
        <w:ind w:firstLine="567"/>
      </w:pPr>
      <w:r>
        <w:t xml:space="preserve">Tỷ số RMSE/MAE theo nhóm cung cấp thêm thông tin về hình dạng sai số. Tỷ số này bằng 2,94 ở Q1, 1,67 ở Q2, 1,51 ở Q3 và 1,94 ở Q4. Ở Q1, tỷ số cao cho thấy sai số tuy nhỏ về trung bình nhưng có những đột biến riêng lẻ, phù hợp với đặc điểm của cầu gián đoạn (intermittent demand), nơi phần lớn ngày không bán được và một số ngày phát sinh đơn lẻ (Croston, 1972). Cột bao phủ của Bảng 4.7 không biến động đơn điệu theo quy mô: độ bao phủ dao động trong khoảng 70,86%–81,90%, trong khi độ rộng trung bình tăng từ 7,597 ở Q1 lên 618,842 ở Q4, tức độ rộng khoảng đã co giãn theo quy mô nhu cầu. Nhóm có độ bao phủ thấp nhất lại là Q1, nơi nhiều quan sát có doanh số bằng 0 nhưng nhận P10 dương; cơ chế này được phân tích ở mục 4.9.2.</w:t>
      </w:r>
    </w:p>
    <w:p>
      <w:pPr>
        <w:pStyle w:val="Heading3"/>
        <w:keepNext/>
      </w:pPr>
      <w:r>
        <w:t xml:space="preserve">4.7.2. Sai số theo cửa hàng</w:t>
      </w:r>
    </w:p>
    <w:p>
      <w:pPr>
        <w:keepLines w:val="0"/>
        <w:spacing w:after="120"/>
        <w:ind w:firstLine="567"/>
      </w:pPr>
      <w:r>
        <w:t xml:space="preserve">Ở cấp cửa hàng, WAPE của 54 cửa hàng dao động từ 8,81% (CH 52) đến 29,18% (CH 30), trung vị 15,21%; cửa hàng khó dự báo nhất có WAPE gấp khoảng 3,31 lần cửa hàng dễ nhất. Có 34/54 cửa hàng có độ chệch âm, tức bị dự báo cao hơn thực tế, phù hợp với xu hướng chung. Bảng 4.8 liệt kê năm cửa hàng có WAPE thấp nhất và năm cửa hàng có WAPE cao nhất, còn Hình 4.10 biểu diễn 20 cửa hàng có WAPE cao nhất. Biên độ giữa các cửa hàng hẹp hơn rất nhiều so với biên độ giữa bốn mức nhu cầu, vì mỗi cửa hàng đều kinh doanh cả 33 nhóm sản phẩm và WAPE của cửa hàng, theo công thức (4.4), là trung bình có trọng số của các nhóm bên trong, bị chi phối bởi các nhóm lớn vốn có sai số tương đối thấp.</w:t>
      </w:r>
    </w:p>
    <w:p>
      <w:pPr>
        <w:keepNext/>
        <w:spacing w:before="120" w:after="60"/>
        <w:ind w:firstLine="0"/>
        <w:jc w:val="center"/>
      </w:pPr>
      <w:r>
        <w:t xml:space="preserve">Bảng 4.8. Năm cửa hàng có WAPE thấp nhất và năm cửa hàng có WAPE cao nhất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452"/>
        <w:gridCol w:w="1098"/>
        <w:gridCol w:w="1344"/>
        <w:gridCol w:w="1287"/>
        <w:gridCol w:w="1098"/>
        <w:gridCol w:w="1098"/>
        <w:gridCol w:w="1694"/>
      </w:tblGrid>
      <w:tr>
        <w:trPr>
          <w:tblHeader/>
          <w:cantSplit/>
        </w:trPr>
        <w:tc>
          <w:tcPr>
            <w:tcW w:type="dxa" w:w="1452"/>
            <w:shd w:val="clear" w:color="auto" w:fill="D9E2F3"/>
            <w:vAlign w:val="center"/>
          </w:tcPr>
          <w:p>
            <w:pPr>
              <w:spacing w:before="20" w:after="20" w:line="260" w:lineRule="auto"/>
              <w:ind w:firstLine="0"/>
              <w:jc w:val="center"/>
            </w:pPr>
            <w:r>
              <w:rPr>
                <w:b/>
                <w:sz w:val="20"/>
                <w:szCs w:val="20"/>
              </w:rPr>
              <w:t xml:space="preserve">Nhóm</w:t>
            </w:r>
          </w:p>
        </w:tc>
        <w:tc>
          <w:tcPr>
            <w:tcW w:type="dxa" w:w="1098"/>
            <w:shd w:val="clear" w:color="auto" w:fill="D9E2F3"/>
            <w:vAlign w:val="center"/>
          </w:tcPr>
          <w:p>
            <w:pPr>
              <w:spacing w:before="20" w:after="20" w:line="260" w:lineRule="auto"/>
              <w:ind w:firstLine="0"/>
              <w:jc w:val="center"/>
            </w:pPr>
            <w:r>
              <w:rPr>
                <w:b/>
                <w:sz w:val="20"/>
                <w:szCs w:val="20"/>
              </w:rPr>
              <w:t xml:space="preserve">Cửa hàng</w:t>
            </w:r>
          </w:p>
        </w:tc>
        <w:tc>
          <w:tcPr>
            <w:tcW w:type="dxa" w:w="1344"/>
            <w:shd w:val="clear" w:color="auto" w:fill="D9E2F3"/>
            <w:vAlign w:val="center"/>
          </w:tcPr>
          <w:p>
            <w:pPr>
              <w:spacing w:before="20" w:after="20" w:line="260" w:lineRule="auto"/>
              <w:ind w:firstLine="0"/>
              <w:jc w:val="center"/>
            </w:pPr>
            <w:r>
              <w:rPr>
                <w:b/>
                <w:sz w:val="20"/>
                <w:szCs w:val="20"/>
              </w:rPr>
              <w:t xml:space="preserve">Tổng thực tế</w:t>
            </w:r>
          </w:p>
        </w:tc>
        <w:tc>
          <w:tcPr>
            <w:tcW w:type="dxa" w:w="1287"/>
            <w:shd w:val="clear" w:color="auto" w:fill="D9E2F3"/>
            <w:vAlign w:val="center"/>
          </w:tcPr>
          <w:p>
            <w:pPr>
              <w:spacing w:before="20" w:after="20" w:line="260" w:lineRule="auto"/>
              <w:ind w:firstLine="0"/>
              <w:jc w:val="center"/>
            </w:pPr>
            <w:r>
              <w:rPr>
                <w:b/>
                <w:sz w:val="20"/>
                <w:szCs w:val="20"/>
              </w:rPr>
              <w:t xml:space="preserve">Tổng dự báo</w:t>
            </w:r>
          </w:p>
        </w:tc>
        <w:tc>
          <w:tcPr>
            <w:tcW w:type="dxa" w:w="1098"/>
            <w:shd w:val="clear" w:color="auto" w:fill="D9E2F3"/>
            <w:vAlign w:val="center"/>
          </w:tcPr>
          <w:p>
            <w:pPr>
              <w:spacing w:before="20" w:after="20" w:line="260" w:lineRule="auto"/>
              <w:ind w:firstLine="0"/>
              <w:jc w:val="center"/>
            </w:pPr>
            <w:r>
              <w:rPr>
                <w:b/>
                <w:sz w:val="20"/>
                <w:szCs w:val="20"/>
              </w:rPr>
              <w:t xml:space="preserve">WAPE (%)</w:t>
            </w:r>
          </w:p>
        </w:tc>
        <w:tc>
          <w:tcPr>
            <w:tcW w:type="dxa" w:w="1098"/>
            <w:shd w:val="clear" w:color="auto" w:fill="D9E2F3"/>
            <w:vAlign w:val="center"/>
          </w:tcPr>
          <w:p>
            <w:pPr>
              <w:spacing w:before="20" w:after="20" w:line="260" w:lineRule="auto"/>
              <w:ind w:firstLine="0"/>
              <w:jc w:val="center"/>
            </w:pPr>
            <w:r>
              <w:rPr>
                <w:b/>
                <w:sz w:val="20"/>
                <w:szCs w:val="20"/>
              </w:rPr>
              <w:t xml:space="preserve">Bias</w:t>
            </w:r>
          </w:p>
        </w:tc>
        <w:tc>
          <w:tcPr>
            <w:tcW w:type="dxa" w:w="1694"/>
            <w:shd w:val="clear" w:color="auto" w:fill="D9E2F3"/>
            <w:vAlign w:val="center"/>
          </w:tcPr>
          <w:p>
            <w:pPr>
              <w:spacing w:before="20" w:after="20" w:line="260" w:lineRule="auto"/>
              <w:ind w:firstLine="0"/>
              <w:jc w:val="center"/>
            </w:pPr>
            <w:r>
              <w:rPr>
                <w:b/>
                <w:sz w:val="20"/>
                <w:szCs w:val="20"/>
              </w:rPr>
              <w:t xml:space="preserve">Bao phủ P10–P90 (%)</w:t>
            </w:r>
          </w:p>
        </w:tc>
      </w:tr>
      <w:tr>
        <w:trPr>
          <w:cantSplit/>
        </w:trPr>
        <w:tc>
          <w:tcPr>
            <w:tcW w:type="dxa" w:w="1452"/>
            <w:vAlign w:val="center"/>
          </w:tcPr>
          <w:p>
            <w:pPr>
              <w:spacing w:before="20" w:after="20" w:line="260" w:lineRule="auto"/>
              <w:ind w:firstLine="0"/>
              <w:jc w:val="left"/>
            </w:pPr>
            <w:r>
              <w:rPr>
                <w:sz w:val="20"/>
                <w:szCs w:val="20"/>
              </w:rPr>
              <w:t xml:space="preserve">WAPE thấp nhất</w:t>
            </w:r>
          </w:p>
        </w:tc>
        <w:tc>
          <w:tcPr>
            <w:tcW w:type="dxa" w:w="1098"/>
            <w:vAlign w:val="center"/>
          </w:tcPr>
          <w:p>
            <w:pPr>
              <w:spacing w:before="20" w:after="20" w:line="260" w:lineRule="auto"/>
              <w:ind w:firstLine="0"/>
              <w:jc w:val="left"/>
            </w:pPr>
            <w:r>
              <w:rPr>
                <w:sz w:val="20"/>
                <w:szCs w:val="20"/>
              </w:rPr>
              <w:t xml:space="preserve">CH 52</w:t>
            </w:r>
          </w:p>
        </w:tc>
        <w:tc>
          <w:tcPr>
            <w:tcW w:type="dxa" w:w="1344"/>
            <w:vAlign w:val="center"/>
          </w:tcPr>
          <w:p>
            <w:pPr>
              <w:spacing w:before="20" w:after="20" w:line="260" w:lineRule="auto"/>
              <w:ind w:firstLine="0"/>
              <w:jc w:val="center"/>
            </w:pPr>
            <w:r>
              <w:rPr>
                <w:sz w:val="20"/>
                <w:szCs w:val="20"/>
              </w:rPr>
              <w:t xml:space="preserve">365.488</w:t>
            </w:r>
          </w:p>
        </w:tc>
        <w:tc>
          <w:tcPr>
            <w:tcW w:type="dxa" w:w="1287"/>
            <w:vAlign w:val="center"/>
          </w:tcPr>
          <w:p>
            <w:pPr>
              <w:spacing w:before="20" w:after="20" w:line="260" w:lineRule="auto"/>
              <w:ind w:firstLine="0"/>
              <w:jc w:val="center"/>
            </w:pPr>
            <w:r>
              <w:rPr>
                <w:sz w:val="20"/>
                <w:szCs w:val="20"/>
              </w:rPr>
              <w:t xml:space="preserve">357.418</w:t>
            </w:r>
          </w:p>
        </w:tc>
        <w:tc>
          <w:tcPr>
            <w:tcW w:type="dxa" w:w="1098"/>
            <w:vAlign w:val="center"/>
          </w:tcPr>
          <w:p>
            <w:pPr>
              <w:spacing w:before="20" w:after="20" w:line="260" w:lineRule="auto"/>
              <w:ind w:firstLine="0"/>
              <w:jc w:val="center"/>
            </w:pPr>
            <w:r>
              <w:rPr>
                <w:sz w:val="20"/>
                <w:szCs w:val="20"/>
              </w:rPr>
              <w:t xml:space="preserve">8,81</w:t>
            </w:r>
          </w:p>
        </w:tc>
        <w:tc>
          <w:tcPr>
            <w:tcW w:type="dxa" w:w="1098"/>
            <w:vAlign w:val="center"/>
          </w:tcPr>
          <w:p>
            <w:pPr>
              <w:spacing w:before="20" w:after="20" w:line="260" w:lineRule="auto"/>
              <w:ind w:firstLine="0"/>
              <w:jc w:val="center"/>
            </w:pPr>
            <w:r>
              <w:rPr>
                <w:sz w:val="20"/>
                <w:szCs w:val="20"/>
              </w:rPr>
              <w:t xml:space="preserve">15,28</w:t>
            </w:r>
          </w:p>
        </w:tc>
        <w:tc>
          <w:tcPr>
            <w:tcW w:type="dxa" w:w="1694"/>
            <w:vAlign w:val="center"/>
          </w:tcPr>
          <w:p>
            <w:pPr>
              <w:spacing w:before="20" w:after="20" w:line="260" w:lineRule="auto"/>
              <w:ind w:firstLine="0"/>
              <w:jc w:val="center"/>
            </w:pPr>
            <w:r>
              <w:rPr>
                <w:sz w:val="20"/>
                <w:szCs w:val="20"/>
              </w:rPr>
              <w:t xml:space="preserve">76,33</w:t>
            </w:r>
          </w:p>
        </w:tc>
      </w:tr>
      <w:tr>
        <w:trPr>
          <w:cantSplit/>
        </w:trPr>
        <w:tc>
          <w:tcPr>
            <w:tcW w:type="dxa" w:w="1452"/>
            <w:vAlign w:val="center"/>
          </w:tcPr>
          <w:p>
            <w:pPr>
              <w:spacing w:before="20" w:after="20" w:line="260" w:lineRule="auto"/>
              <w:ind w:firstLine="0"/>
              <w:jc w:val="left"/>
            </w:pPr>
            <w:r>
              <w:rPr>
                <w:sz w:val="20"/>
                <w:szCs w:val="20"/>
              </w:rPr>
              <w:t xml:space="preserve"/>
            </w:r>
          </w:p>
        </w:tc>
        <w:tc>
          <w:tcPr>
            <w:tcW w:type="dxa" w:w="1098"/>
            <w:vAlign w:val="center"/>
          </w:tcPr>
          <w:p>
            <w:pPr>
              <w:spacing w:before="20" w:after="20" w:line="260" w:lineRule="auto"/>
              <w:ind w:firstLine="0"/>
              <w:jc w:val="left"/>
            </w:pPr>
            <w:r>
              <w:rPr>
                <w:sz w:val="20"/>
                <w:szCs w:val="20"/>
              </w:rPr>
              <w:t xml:space="preserve">CH 24</w:t>
            </w:r>
          </w:p>
        </w:tc>
        <w:tc>
          <w:tcPr>
            <w:tcW w:type="dxa" w:w="1344"/>
            <w:vAlign w:val="center"/>
          </w:tcPr>
          <w:p>
            <w:pPr>
              <w:spacing w:before="20" w:after="20" w:line="260" w:lineRule="auto"/>
              <w:ind w:firstLine="0"/>
              <w:jc w:val="center"/>
            </w:pPr>
            <w:r>
              <w:rPr>
                <w:sz w:val="20"/>
                <w:szCs w:val="20"/>
              </w:rPr>
              <w:t xml:space="preserve">268.780</w:t>
            </w:r>
          </w:p>
        </w:tc>
        <w:tc>
          <w:tcPr>
            <w:tcW w:type="dxa" w:w="1287"/>
            <w:vAlign w:val="center"/>
          </w:tcPr>
          <w:p>
            <w:pPr>
              <w:spacing w:before="20" w:after="20" w:line="260" w:lineRule="auto"/>
              <w:ind w:firstLine="0"/>
              <w:jc w:val="center"/>
            </w:pPr>
            <w:r>
              <w:rPr>
                <w:sz w:val="20"/>
                <w:szCs w:val="20"/>
              </w:rPr>
              <w:t xml:space="preserve">283.646</w:t>
            </w:r>
          </w:p>
        </w:tc>
        <w:tc>
          <w:tcPr>
            <w:tcW w:type="dxa" w:w="1098"/>
            <w:vAlign w:val="center"/>
          </w:tcPr>
          <w:p>
            <w:pPr>
              <w:spacing w:before="20" w:after="20" w:line="260" w:lineRule="auto"/>
              <w:ind w:firstLine="0"/>
              <w:jc w:val="center"/>
            </w:pPr>
            <w:r>
              <w:rPr>
                <w:sz w:val="20"/>
                <w:szCs w:val="20"/>
              </w:rPr>
              <w:t xml:space="preserve">9,23</w:t>
            </w:r>
          </w:p>
        </w:tc>
        <w:tc>
          <w:tcPr>
            <w:tcW w:type="dxa" w:w="1098"/>
            <w:vAlign w:val="center"/>
          </w:tcPr>
          <w:p>
            <w:pPr>
              <w:spacing w:before="20" w:after="20" w:line="260" w:lineRule="auto"/>
              <w:ind w:firstLine="0"/>
              <w:jc w:val="center"/>
            </w:pPr>
            <w:r>
              <w:rPr>
                <w:sz w:val="20"/>
                <w:szCs w:val="20"/>
              </w:rPr>
              <w:t xml:space="preserve">−28,16</w:t>
            </w:r>
          </w:p>
        </w:tc>
        <w:tc>
          <w:tcPr>
            <w:tcW w:type="dxa" w:w="1694"/>
            <w:vAlign w:val="center"/>
          </w:tcPr>
          <w:p>
            <w:pPr>
              <w:spacing w:before="20" w:after="20" w:line="260" w:lineRule="auto"/>
              <w:ind w:firstLine="0"/>
              <w:jc w:val="center"/>
            </w:pPr>
            <w:r>
              <w:rPr>
                <w:sz w:val="20"/>
                <w:szCs w:val="20"/>
              </w:rPr>
              <w:t xml:space="preserve">80,11</w:t>
            </w:r>
          </w:p>
        </w:tc>
      </w:tr>
      <w:tr>
        <w:trPr>
          <w:cantSplit/>
        </w:trPr>
        <w:tc>
          <w:tcPr>
            <w:tcW w:type="dxa" w:w="1452"/>
            <w:vAlign w:val="center"/>
          </w:tcPr>
          <w:p>
            <w:pPr>
              <w:spacing w:before="20" w:after="20" w:line="260" w:lineRule="auto"/>
              <w:ind w:firstLine="0"/>
              <w:jc w:val="left"/>
            </w:pPr>
            <w:r>
              <w:rPr>
                <w:sz w:val="20"/>
                <w:szCs w:val="20"/>
              </w:rPr>
              <w:t xml:space="preserve"/>
            </w:r>
          </w:p>
        </w:tc>
        <w:tc>
          <w:tcPr>
            <w:tcW w:type="dxa" w:w="1098"/>
            <w:vAlign w:val="center"/>
          </w:tcPr>
          <w:p>
            <w:pPr>
              <w:spacing w:before="20" w:after="20" w:line="260" w:lineRule="auto"/>
              <w:ind w:firstLine="0"/>
              <w:jc w:val="left"/>
            </w:pPr>
            <w:r>
              <w:rPr>
                <w:sz w:val="20"/>
                <w:szCs w:val="20"/>
              </w:rPr>
              <w:t xml:space="preserve">CH 3</w:t>
            </w:r>
          </w:p>
        </w:tc>
        <w:tc>
          <w:tcPr>
            <w:tcW w:type="dxa" w:w="1344"/>
            <w:vAlign w:val="center"/>
          </w:tcPr>
          <w:p>
            <w:pPr>
              <w:spacing w:before="20" w:after="20" w:line="260" w:lineRule="auto"/>
              <w:ind w:firstLine="0"/>
              <w:jc w:val="center"/>
            </w:pPr>
            <w:r>
              <w:rPr>
                <w:sz w:val="20"/>
                <w:szCs w:val="20"/>
              </w:rPr>
              <w:t xml:space="preserve">538.087</w:t>
            </w:r>
          </w:p>
        </w:tc>
        <w:tc>
          <w:tcPr>
            <w:tcW w:type="dxa" w:w="1287"/>
            <w:vAlign w:val="center"/>
          </w:tcPr>
          <w:p>
            <w:pPr>
              <w:spacing w:before="20" w:after="20" w:line="260" w:lineRule="auto"/>
              <w:ind w:firstLine="0"/>
              <w:jc w:val="center"/>
            </w:pPr>
            <w:r>
              <w:rPr>
                <w:sz w:val="20"/>
                <w:szCs w:val="20"/>
              </w:rPr>
              <w:t xml:space="preserve">579.503</w:t>
            </w:r>
          </w:p>
        </w:tc>
        <w:tc>
          <w:tcPr>
            <w:tcW w:type="dxa" w:w="1098"/>
            <w:vAlign w:val="center"/>
          </w:tcPr>
          <w:p>
            <w:pPr>
              <w:spacing w:before="20" w:after="20" w:line="260" w:lineRule="auto"/>
              <w:ind w:firstLine="0"/>
              <w:jc w:val="center"/>
            </w:pPr>
            <w:r>
              <w:rPr>
                <w:sz w:val="20"/>
                <w:szCs w:val="20"/>
              </w:rPr>
              <w:t xml:space="preserve">9,74</w:t>
            </w:r>
          </w:p>
        </w:tc>
        <w:tc>
          <w:tcPr>
            <w:tcW w:type="dxa" w:w="1098"/>
            <w:vAlign w:val="center"/>
          </w:tcPr>
          <w:p>
            <w:pPr>
              <w:spacing w:before="20" w:after="20" w:line="260" w:lineRule="auto"/>
              <w:ind w:firstLine="0"/>
              <w:jc w:val="center"/>
            </w:pPr>
            <w:r>
              <w:rPr>
                <w:sz w:val="20"/>
                <w:szCs w:val="20"/>
              </w:rPr>
              <w:t xml:space="preserve">−78,44</w:t>
            </w:r>
          </w:p>
        </w:tc>
        <w:tc>
          <w:tcPr>
            <w:tcW w:type="dxa" w:w="1694"/>
            <w:vAlign w:val="center"/>
          </w:tcPr>
          <w:p>
            <w:pPr>
              <w:spacing w:before="20" w:after="20" w:line="260" w:lineRule="auto"/>
              <w:ind w:firstLine="0"/>
              <w:jc w:val="center"/>
            </w:pPr>
            <w:r>
              <w:rPr>
                <w:sz w:val="20"/>
                <w:szCs w:val="20"/>
              </w:rPr>
              <w:t xml:space="preserve">77,27</w:t>
            </w:r>
          </w:p>
        </w:tc>
      </w:tr>
      <w:tr>
        <w:trPr>
          <w:cantSplit/>
        </w:trPr>
        <w:tc>
          <w:tcPr>
            <w:tcW w:type="dxa" w:w="1452"/>
            <w:vAlign w:val="center"/>
          </w:tcPr>
          <w:p>
            <w:pPr>
              <w:spacing w:before="20" w:after="20" w:line="260" w:lineRule="auto"/>
              <w:ind w:firstLine="0"/>
              <w:jc w:val="left"/>
            </w:pPr>
            <w:r>
              <w:rPr>
                <w:sz w:val="20"/>
                <w:szCs w:val="20"/>
              </w:rPr>
              <w:t xml:space="preserve"/>
            </w:r>
          </w:p>
        </w:tc>
        <w:tc>
          <w:tcPr>
            <w:tcW w:type="dxa" w:w="1098"/>
            <w:vAlign w:val="center"/>
          </w:tcPr>
          <w:p>
            <w:pPr>
              <w:spacing w:before="20" w:after="20" w:line="260" w:lineRule="auto"/>
              <w:ind w:firstLine="0"/>
              <w:jc w:val="left"/>
            </w:pPr>
            <w:r>
              <w:rPr>
                <w:sz w:val="20"/>
                <w:szCs w:val="20"/>
              </w:rPr>
              <w:t xml:space="preserve">CH 11</w:t>
            </w:r>
          </w:p>
        </w:tc>
        <w:tc>
          <w:tcPr>
            <w:tcW w:type="dxa" w:w="1344"/>
            <w:vAlign w:val="center"/>
          </w:tcPr>
          <w:p>
            <w:pPr>
              <w:spacing w:before="20" w:after="20" w:line="260" w:lineRule="auto"/>
              <w:ind w:firstLine="0"/>
              <w:jc w:val="center"/>
            </w:pPr>
            <w:r>
              <w:rPr>
                <w:sz w:val="20"/>
                <w:szCs w:val="20"/>
              </w:rPr>
              <w:t xml:space="preserve">340.284</w:t>
            </w:r>
          </w:p>
        </w:tc>
        <w:tc>
          <w:tcPr>
            <w:tcW w:type="dxa" w:w="1287"/>
            <w:vAlign w:val="center"/>
          </w:tcPr>
          <w:p>
            <w:pPr>
              <w:spacing w:before="20" w:after="20" w:line="260" w:lineRule="auto"/>
              <w:ind w:firstLine="0"/>
              <w:jc w:val="center"/>
            </w:pPr>
            <w:r>
              <w:rPr>
                <w:sz w:val="20"/>
                <w:szCs w:val="20"/>
              </w:rPr>
              <w:t xml:space="preserve">335.313</w:t>
            </w:r>
          </w:p>
        </w:tc>
        <w:tc>
          <w:tcPr>
            <w:tcW w:type="dxa" w:w="1098"/>
            <w:vAlign w:val="center"/>
          </w:tcPr>
          <w:p>
            <w:pPr>
              <w:spacing w:before="20" w:after="20" w:line="260" w:lineRule="auto"/>
              <w:ind w:firstLine="0"/>
              <w:jc w:val="center"/>
            </w:pPr>
            <w:r>
              <w:rPr>
                <w:sz w:val="20"/>
                <w:szCs w:val="20"/>
              </w:rPr>
              <w:t xml:space="preserve">9,91</w:t>
            </w:r>
          </w:p>
        </w:tc>
        <w:tc>
          <w:tcPr>
            <w:tcW w:type="dxa" w:w="1098"/>
            <w:vAlign w:val="center"/>
          </w:tcPr>
          <w:p>
            <w:pPr>
              <w:spacing w:before="20" w:after="20" w:line="260" w:lineRule="auto"/>
              <w:ind w:firstLine="0"/>
              <w:jc w:val="center"/>
            </w:pPr>
            <w:r>
              <w:rPr>
                <w:sz w:val="20"/>
                <w:szCs w:val="20"/>
              </w:rPr>
              <w:t xml:space="preserve">9,41</w:t>
            </w:r>
          </w:p>
        </w:tc>
        <w:tc>
          <w:tcPr>
            <w:tcW w:type="dxa" w:w="1694"/>
            <w:vAlign w:val="center"/>
          </w:tcPr>
          <w:p>
            <w:pPr>
              <w:spacing w:before="20" w:after="20" w:line="260" w:lineRule="auto"/>
              <w:ind w:firstLine="0"/>
              <w:jc w:val="center"/>
            </w:pPr>
            <w:r>
              <w:rPr>
                <w:sz w:val="20"/>
                <w:szCs w:val="20"/>
              </w:rPr>
              <w:t xml:space="preserve">75,00</w:t>
            </w:r>
          </w:p>
        </w:tc>
      </w:tr>
      <w:tr>
        <w:trPr>
          <w:cantSplit/>
        </w:trPr>
        <w:tc>
          <w:tcPr>
            <w:tcW w:type="dxa" w:w="1452"/>
            <w:vAlign w:val="center"/>
          </w:tcPr>
          <w:p>
            <w:pPr>
              <w:spacing w:before="20" w:after="20" w:line="260" w:lineRule="auto"/>
              <w:ind w:firstLine="0"/>
              <w:jc w:val="left"/>
            </w:pPr>
            <w:r>
              <w:rPr>
                <w:sz w:val="20"/>
                <w:szCs w:val="20"/>
              </w:rPr>
              <w:t xml:space="preserve"/>
            </w:r>
          </w:p>
        </w:tc>
        <w:tc>
          <w:tcPr>
            <w:tcW w:type="dxa" w:w="1098"/>
            <w:vAlign w:val="center"/>
          </w:tcPr>
          <w:p>
            <w:pPr>
              <w:spacing w:before="20" w:after="20" w:line="260" w:lineRule="auto"/>
              <w:ind w:firstLine="0"/>
              <w:jc w:val="left"/>
            </w:pPr>
            <w:r>
              <w:rPr>
                <w:sz w:val="20"/>
                <w:szCs w:val="20"/>
              </w:rPr>
              <w:t xml:space="preserve">CH 51</w:t>
            </w:r>
          </w:p>
        </w:tc>
        <w:tc>
          <w:tcPr>
            <w:tcW w:type="dxa" w:w="1344"/>
            <w:vAlign w:val="center"/>
          </w:tcPr>
          <w:p>
            <w:pPr>
              <w:spacing w:before="20" w:after="20" w:line="260" w:lineRule="auto"/>
              <w:ind w:firstLine="0"/>
              <w:jc w:val="center"/>
            </w:pPr>
            <w:r>
              <w:rPr>
                <w:sz w:val="20"/>
                <w:szCs w:val="20"/>
              </w:rPr>
              <w:t xml:space="preserve">364.629</w:t>
            </w:r>
          </w:p>
        </w:tc>
        <w:tc>
          <w:tcPr>
            <w:tcW w:type="dxa" w:w="1287"/>
            <w:vAlign w:val="center"/>
          </w:tcPr>
          <w:p>
            <w:pPr>
              <w:spacing w:before="20" w:after="20" w:line="260" w:lineRule="auto"/>
              <w:ind w:firstLine="0"/>
              <w:jc w:val="center"/>
            </w:pPr>
            <w:r>
              <w:rPr>
                <w:sz w:val="20"/>
                <w:szCs w:val="20"/>
              </w:rPr>
              <w:t xml:space="preserve">380.308</w:t>
            </w:r>
          </w:p>
        </w:tc>
        <w:tc>
          <w:tcPr>
            <w:tcW w:type="dxa" w:w="1098"/>
            <w:vAlign w:val="center"/>
          </w:tcPr>
          <w:p>
            <w:pPr>
              <w:spacing w:before="20" w:after="20" w:line="260" w:lineRule="auto"/>
              <w:ind w:firstLine="0"/>
              <w:jc w:val="center"/>
            </w:pPr>
            <w:r>
              <w:rPr>
                <w:sz w:val="20"/>
                <w:szCs w:val="20"/>
              </w:rPr>
              <w:t xml:space="preserve">9,94</w:t>
            </w:r>
          </w:p>
        </w:tc>
        <w:tc>
          <w:tcPr>
            <w:tcW w:type="dxa" w:w="1098"/>
            <w:vAlign w:val="center"/>
          </w:tcPr>
          <w:p>
            <w:pPr>
              <w:spacing w:before="20" w:after="20" w:line="260" w:lineRule="auto"/>
              <w:ind w:firstLine="0"/>
              <w:jc w:val="center"/>
            </w:pPr>
            <w:r>
              <w:rPr>
                <w:sz w:val="20"/>
                <w:szCs w:val="20"/>
              </w:rPr>
              <w:t xml:space="preserve">−29,70</w:t>
            </w:r>
          </w:p>
        </w:tc>
        <w:tc>
          <w:tcPr>
            <w:tcW w:type="dxa" w:w="1694"/>
            <w:vAlign w:val="center"/>
          </w:tcPr>
          <w:p>
            <w:pPr>
              <w:spacing w:before="20" w:after="20" w:line="260" w:lineRule="auto"/>
              <w:ind w:firstLine="0"/>
              <w:jc w:val="center"/>
            </w:pPr>
            <w:r>
              <w:rPr>
                <w:sz w:val="20"/>
                <w:szCs w:val="20"/>
              </w:rPr>
              <w:t xml:space="preserve">77,08</w:t>
            </w:r>
          </w:p>
        </w:tc>
      </w:tr>
      <w:tr>
        <w:trPr>
          <w:cantSplit/>
        </w:trPr>
        <w:tc>
          <w:tcPr>
            <w:tcW w:type="dxa" w:w="1452"/>
            <w:vAlign w:val="center"/>
          </w:tcPr>
          <w:p>
            <w:pPr>
              <w:spacing w:before="20" w:after="20" w:line="260" w:lineRule="auto"/>
              <w:ind w:firstLine="0"/>
              <w:jc w:val="left"/>
            </w:pPr>
            <w:r>
              <w:rPr>
                <w:sz w:val="20"/>
                <w:szCs w:val="20"/>
              </w:rPr>
              <w:t xml:space="preserve">WAPE cao nhất</w:t>
            </w:r>
          </w:p>
        </w:tc>
        <w:tc>
          <w:tcPr>
            <w:tcW w:type="dxa" w:w="1098"/>
            <w:vAlign w:val="center"/>
          </w:tcPr>
          <w:p>
            <w:pPr>
              <w:spacing w:before="20" w:after="20" w:line="260" w:lineRule="auto"/>
              <w:ind w:firstLine="0"/>
              <w:jc w:val="left"/>
            </w:pPr>
            <w:r>
              <w:rPr>
                <w:sz w:val="20"/>
                <w:szCs w:val="20"/>
              </w:rPr>
              <w:t xml:space="preserve">CH 38</w:t>
            </w:r>
          </w:p>
        </w:tc>
        <w:tc>
          <w:tcPr>
            <w:tcW w:type="dxa" w:w="1344"/>
            <w:vAlign w:val="center"/>
          </w:tcPr>
          <w:p>
            <w:pPr>
              <w:spacing w:before="20" w:after="20" w:line="260" w:lineRule="auto"/>
              <w:ind w:firstLine="0"/>
              <w:jc w:val="center"/>
            </w:pPr>
            <w:r>
              <w:rPr>
                <w:sz w:val="20"/>
                <w:szCs w:val="20"/>
              </w:rPr>
              <w:t xml:space="preserve">197.783</w:t>
            </w:r>
          </w:p>
        </w:tc>
        <w:tc>
          <w:tcPr>
            <w:tcW w:type="dxa" w:w="1287"/>
            <w:vAlign w:val="center"/>
          </w:tcPr>
          <w:p>
            <w:pPr>
              <w:spacing w:before="20" w:after="20" w:line="260" w:lineRule="auto"/>
              <w:ind w:firstLine="0"/>
              <w:jc w:val="center"/>
            </w:pPr>
            <w:r>
              <w:rPr>
                <w:sz w:val="20"/>
                <w:szCs w:val="20"/>
              </w:rPr>
              <w:t xml:space="preserve">216.238</w:t>
            </w:r>
          </w:p>
        </w:tc>
        <w:tc>
          <w:tcPr>
            <w:tcW w:type="dxa" w:w="1098"/>
            <w:vAlign w:val="center"/>
          </w:tcPr>
          <w:p>
            <w:pPr>
              <w:spacing w:before="20" w:after="20" w:line="260" w:lineRule="auto"/>
              <w:ind w:firstLine="0"/>
              <w:jc w:val="center"/>
            </w:pPr>
            <w:r>
              <w:rPr>
                <w:sz w:val="20"/>
                <w:szCs w:val="20"/>
              </w:rPr>
              <w:t xml:space="preserve">23,84</w:t>
            </w:r>
          </w:p>
        </w:tc>
        <w:tc>
          <w:tcPr>
            <w:tcW w:type="dxa" w:w="1098"/>
            <w:vAlign w:val="center"/>
          </w:tcPr>
          <w:p>
            <w:pPr>
              <w:spacing w:before="20" w:after="20" w:line="260" w:lineRule="auto"/>
              <w:ind w:firstLine="0"/>
              <w:jc w:val="center"/>
            </w:pPr>
            <w:r>
              <w:rPr>
                <w:sz w:val="20"/>
                <w:szCs w:val="20"/>
              </w:rPr>
              <w:t xml:space="preserve">−34,95</w:t>
            </w:r>
          </w:p>
        </w:tc>
        <w:tc>
          <w:tcPr>
            <w:tcW w:type="dxa" w:w="1694"/>
            <w:vAlign w:val="center"/>
          </w:tcPr>
          <w:p>
            <w:pPr>
              <w:spacing w:before="20" w:after="20" w:line="260" w:lineRule="auto"/>
              <w:ind w:firstLine="0"/>
              <w:jc w:val="center"/>
            </w:pPr>
            <w:r>
              <w:rPr>
                <w:sz w:val="20"/>
                <w:szCs w:val="20"/>
              </w:rPr>
              <w:t xml:space="preserve">71,97</w:t>
            </w:r>
          </w:p>
        </w:tc>
      </w:tr>
      <w:tr>
        <w:trPr>
          <w:cantSplit/>
        </w:trPr>
        <w:tc>
          <w:tcPr>
            <w:tcW w:type="dxa" w:w="1452"/>
            <w:vAlign w:val="center"/>
          </w:tcPr>
          <w:p>
            <w:pPr>
              <w:spacing w:before="20" w:after="20" w:line="260" w:lineRule="auto"/>
              <w:ind w:firstLine="0"/>
              <w:jc w:val="left"/>
            </w:pPr>
            <w:r>
              <w:rPr>
                <w:sz w:val="20"/>
                <w:szCs w:val="20"/>
              </w:rPr>
              <w:t xml:space="preserve"/>
            </w:r>
          </w:p>
        </w:tc>
        <w:tc>
          <w:tcPr>
            <w:tcW w:type="dxa" w:w="1098"/>
            <w:vAlign w:val="center"/>
          </w:tcPr>
          <w:p>
            <w:pPr>
              <w:spacing w:before="20" w:after="20" w:line="260" w:lineRule="auto"/>
              <w:ind w:firstLine="0"/>
              <w:jc w:val="left"/>
            </w:pPr>
            <w:r>
              <w:rPr>
                <w:sz w:val="20"/>
                <w:szCs w:val="20"/>
              </w:rPr>
              <w:t xml:space="preserve">CH 25</w:t>
            </w:r>
          </w:p>
        </w:tc>
        <w:tc>
          <w:tcPr>
            <w:tcW w:type="dxa" w:w="1344"/>
            <w:vAlign w:val="center"/>
          </w:tcPr>
          <w:p>
            <w:pPr>
              <w:spacing w:before="20" w:after="20" w:line="260" w:lineRule="auto"/>
              <w:ind w:firstLine="0"/>
              <w:jc w:val="center"/>
            </w:pPr>
            <w:r>
              <w:rPr>
                <w:sz w:val="20"/>
                <w:szCs w:val="20"/>
              </w:rPr>
              <w:t xml:space="preserve">154.922</w:t>
            </w:r>
          </w:p>
        </w:tc>
        <w:tc>
          <w:tcPr>
            <w:tcW w:type="dxa" w:w="1287"/>
            <w:vAlign w:val="center"/>
          </w:tcPr>
          <w:p>
            <w:pPr>
              <w:spacing w:before="20" w:after="20" w:line="260" w:lineRule="auto"/>
              <w:ind w:firstLine="0"/>
              <w:jc w:val="center"/>
            </w:pPr>
            <w:r>
              <w:rPr>
                <w:sz w:val="20"/>
                <w:szCs w:val="20"/>
              </w:rPr>
              <w:t xml:space="preserve">121.653</w:t>
            </w:r>
          </w:p>
        </w:tc>
        <w:tc>
          <w:tcPr>
            <w:tcW w:type="dxa" w:w="1098"/>
            <w:vAlign w:val="center"/>
          </w:tcPr>
          <w:p>
            <w:pPr>
              <w:spacing w:before="20" w:after="20" w:line="260" w:lineRule="auto"/>
              <w:ind w:firstLine="0"/>
              <w:jc w:val="center"/>
            </w:pPr>
            <w:r>
              <w:rPr>
                <w:sz w:val="20"/>
                <w:szCs w:val="20"/>
              </w:rPr>
              <w:t xml:space="preserve">23,91</w:t>
            </w:r>
          </w:p>
        </w:tc>
        <w:tc>
          <w:tcPr>
            <w:tcW w:type="dxa" w:w="1098"/>
            <w:vAlign w:val="center"/>
          </w:tcPr>
          <w:p>
            <w:pPr>
              <w:spacing w:before="20" w:after="20" w:line="260" w:lineRule="auto"/>
              <w:ind w:firstLine="0"/>
              <w:jc w:val="center"/>
            </w:pPr>
            <w:r>
              <w:rPr>
                <w:sz w:val="20"/>
                <w:szCs w:val="20"/>
              </w:rPr>
              <w:t xml:space="preserve">63,01</w:t>
            </w:r>
          </w:p>
        </w:tc>
        <w:tc>
          <w:tcPr>
            <w:tcW w:type="dxa" w:w="1694"/>
            <w:vAlign w:val="center"/>
          </w:tcPr>
          <w:p>
            <w:pPr>
              <w:spacing w:before="20" w:after="20" w:line="260" w:lineRule="auto"/>
              <w:ind w:firstLine="0"/>
              <w:jc w:val="center"/>
            </w:pPr>
            <w:r>
              <w:rPr>
                <w:sz w:val="20"/>
                <w:szCs w:val="20"/>
              </w:rPr>
              <w:t xml:space="preserve">71,59</w:t>
            </w:r>
          </w:p>
        </w:tc>
      </w:tr>
      <w:tr>
        <w:trPr>
          <w:cantSplit/>
        </w:trPr>
        <w:tc>
          <w:tcPr>
            <w:tcW w:type="dxa" w:w="1452"/>
            <w:vAlign w:val="center"/>
          </w:tcPr>
          <w:p>
            <w:pPr>
              <w:spacing w:before="20" w:after="20" w:line="260" w:lineRule="auto"/>
              <w:ind w:firstLine="0"/>
              <w:jc w:val="left"/>
            </w:pPr>
            <w:r>
              <w:rPr>
                <w:sz w:val="20"/>
                <w:szCs w:val="20"/>
              </w:rPr>
              <w:t xml:space="preserve"/>
            </w:r>
          </w:p>
        </w:tc>
        <w:tc>
          <w:tcPr>
            <w:tcW w:type="dxa" w:w="1098"/>
            <w:vAlign w:val="center"/>
          </w:tcPr>
          <w:p>
            <w:pPr>
              <w:spacing w:before="20" w:after="20" w:line="260" w:lineRule="auto"/>
              <w:ind w:firstLine="0"/>
              <w:jc w:val="left"/>
            </w:pPr>
            <w:r>
              <w:rPr>
                <w:sz w:val="20"/>
                <w:szCs w:val="20"/>
              </w:rPr>
              <w:t xml:space="preserve">CH 26</w:t>
            </w:r>
          </w:p>
        </w:tc>
        <w:tc>
          <w:tcPr>
            <w:tcW w:type="dxa" w:w="1344"/>
            <w:vAlign w:val="center"/>
          </w:tcPr>
          <w:p>
            <w:pPr>
              <w:spacing w:before="20" w:after="20" w:line="260" w:lineRule="auto"/>
              <w:ind w:firstLine="0"/>
              <w:jc w:val="center"/>
            </w:pPr>
            <w:r>
              <w:rPr>
                <w:sz w:val="20"/>
                <w:szCs w:val="20"/>
              </w:rPr>
              <w:t xml:space="preserve">74.603</w:t>
            </w:r>
          </w:p>
        </w:tc>
        <w:tc>
          <w:tcPr>
            <w:tcW w:type="dxa" w:w="1287"/>
            <w:vAlign w:val="center"/>
          </w:tcPr>
          <w:p>
            <w:pPr>
              <w:spacing w:before="20" w:after="20" w:line="260" w:lineRule="auto"/>
              <w:ind w:firstLine="0"/>
              <w:jc w:val="center"/>
            </w:pPr>
            <w:r>
              <w:rPr>
                <w:sz w:val="20"/>
                <w:szCs w:val="20"/>
              </w:rPr>
              <w:t xml:space="preserve">84.712</w:t>
            </w:r>
          </w:p>
        </w:tc>
        <w:tc>
          <w:tcPr>
            <w:tcW w:type="dxa" w:w="1098"/>
            <w:vAlign w:val="center"/>
          </w:tcPr>
          <w:p>
            <w:pPr>
              <w:spacing w:before="20" w:after="20" w:line="260" w:lineRule="auto"/>
              <w:ind w:firstLine="0"/>
              <w:jc w:val="center"/>
            </w:pPr>
            <w:r>
              <w:rPr>
                <w:sz w:val="20"/>
                <w:szCs w:val="20"/>
              </w:rPr>
              <w:t xml:space="preserve">28,61</w:t>
            </w:r>
          </w:p>
        </w:tc>
        <w:tc>
          <w:tcPr>
            <w:tcW w:type="dxa" w:w="1098"/>
            <w:vAlign w:val="center"/>
          </w:tcPr>
          <w:p>
            <w:pPr>
              <w:spacing w:before="20" w:after="20" w:line="260" w:lineRule="auto"/>
              <w:ind w:firstLine="0"/>
              <w:jc w:val="center"/>
            </w:pPr>
            <w:r>
              <w:rPr>
                <w:sz w:val="20"/>
                <w:szCs w:val="20"/>
              </w:rPr>
              <w:t xml:space="preserve">−19,15</w:t>
            </w:r>
          </w:p>
        </w:tc>
        <w:tc>
          <w:tcPr>
            <w:tcW w:type="dxa" w:w="1694"/>
            <w:vAlign w:val="center"/>
          </w:tcPr>
          <w:p>
            <w:pPr>
              <w:spacing w:before="20" w:after="20" w:line="260" w:lineRule="auto"/>
              <w:ind w:firstLine="0"/>
              <w:jc w:val="center"/>
            </w:pPr>
            <w:r>
              <w:rPr>
                <w:sz w:val="20"/>
                <w:szCs w:val="20"/>
              </w:rPr>
              <w:t xml:space="preserve">71,40</w:t>
            </w:r>
          </w:p>
        </w:tc>
      </w:tr>
      <w:tr>
        <w:trPr>
          <w:cantSplit/>
        </w:trPr>
        <w:tc>
          <w:tcPr>
            <w:tcW w:type="dxa" w:w="1452"/>
            <w:vAlign w:val="center"/>
          </w:tcPr>
          <w:p>
            <w:pPr>
              <w:spacing w:before="20" w:after="20" w:line="260" w:lineRule="auto"/>
              <w:ind w:firstLine="0"/>
              <w:jc w:val="left"/>
            </w:pPr>
            <w:r>
              <w:rPr>
                <w:sz w:val="20"/>
                <w:szCs w:val="20"/>
              </w:rPr>
              <w:t xml:space="preserve"/>
            </w:r>
          </w:p>
        </w:tc>
        <w:tc>
          <w:tcPr>
            <w:tcW w:type="dxa" w:w="1098"/>
            <w:vAlign w:val="center"/>
          </w:tcPr>
          <w:p>
            <w:pPr>
              <w:spacing w:before="20" w:after="20" w:line="260" w:lineRule="auto"/>
              <w:ind w:firstLine="0"/>
              <w:jc w:val="left"/>
            </w:pPr>
            <w:r>
              <w:rPr>
                <w:sz w:val="20"/>
                <w:szCs w:val="20"/>
              </w:rPr>
              <w:t xml:space="preserve">CH 32</w:t>
            </w:r>
          </w:p>
        </w:tc>
        <w:tc>
          <w:tcPr>
            <w:tcW w:type="dxa" w:w="1344"/>
            <w:vAlign w:val="center"/>
          </w:tcPr>
          <w:p>
            <w:pPr>
              <w:spacing w:before="20" w:after="20" w:line="260" w:lineRule="auto"/>
              <w:ind w:firstLine="0"/>
              <w:jc w:val="center"/>
            </w:pPr>
            <w:r>
              <w:rPr>
                <w:sz w:val="20"/>
                <w:szCs w:val="20"/>
              </w:rPr>
              <w:t xml:space="preserve">83.639</w:t>
            </w:r>
          </w:p>
        </w:tc>
        <w:tc>
          <w:tcPr>
            <w:tcW w:type="dxa" w:w="1287"/>
            <w:vAlign w:val="center"/>
          </w:tcPr>
          <w:p>
            <w:pPr>
              <w:spacing w:before="20" w:after="20" w:line="260" w:lineRule="auto"/>
              <w:ind w:firstLine="0"/>
              <w:jc w:val="center"/>
            </w:pPr>
            <w:r>
              <w:rPr>
                <w:sz w:val="20"/>
                <w:szCs w:val="20"/>
              </w:rPr>
              <w:t xml:space="preserve">77.792</w:t>
            </w:r>
          </w:p>
        </w:tc>
        <w:tc>
          <w:tcPr>
            <w:tcW w:type="dxa" w:w="1098"/>
            <w:vAlign w:val="center"/>
          </w:tcPr>
          <w:p>
            <w:pPr>
              <w:spacing w:before="20" w:after="20" w:line="260" w:lineRule="auto"/>
              <w:ind w:firstLine="0"/>
              <w:jc w:val="center"/>
            </w:pPr>
            <w:r>
              <w:rPr>
                <w:sz w:val="20"/>
                <w:szCs w:val="20"/>
              </w:rPr>
              <w:t xml:space="preserve">28,73</w:t>
            </w:r>
          </w:p>
        </w:tc>
        <w:tc>
          <w:tcPr>
            <w:tcW w:type="dxa" w:w="1098"/>
            <w:vAlign w:val="center"/>
          </w:tcPr>
          <w:p>
            <w:pPr>
              <w:spacing w:before="20" w:after="20" w:line="260" w:lineRule="auto"/>
              <w:ind w:firstLine="0"/>
              <w:jc w:val="center"/>
            </w:pPr>
            <w:r>
              <w:rPr>
                <w:sz w:val="20"/>
                <w:szCs w:val="20"/>
              </w:rPr>
              <w:t xml:space="preserve">11,07</w:t>
            </w:r>
          </w:p>
        </w:tc>
        <w:tc>
          <w:tcPr>
            <w:tcW w:type="dxa" w:w="1694"/>
            <w:vAlign w:val="center"/>
          </w:tcPr>
          <w:p>
            <w:pPr>
              <w:spacing w:before="20" w:after="20" w:line="260" w:lineRule="auto"/>
              <w:ind w:firstLine="0"/>
              <w:jc w:val="center"/>
            </w:pPr>
            <w:r>
              <w:rPr>
                <w:sz w:val="20"/>
                <w:szCs w:val="20"/>
              </w:rPr>
              <w:t xml:space="preserve">77,08</w:t>
            </w:r>
          </w:p>
        </w:tc>
      </w:tr>
      <w:tr>
        <w:trPr>
          <w:cantSplit/>
        </w:trPr>
        <w:tc>
          <w:tcPr>
            <w:tcW w:type="dxa" w:w="1452"/>
            <w:vAlign w:val="center"/>
          </w:tcPr>
          <w:p>
            <w:pPr>
              <w:spacing w:before="20" w:after="20" w:line="260" w:lineRule="auto"/>
              <w:ind w:firstLine="0"/>
              <w:jc w:val="left"/>
            </w:pPr>
            <w:r>
              <w:rPr>
                <w:sz w:val="20"/>
                <w:szCs w:val="20"/>
              </w:rPr>
              <w:t xml:space="preserve"/>
            </w:r>
          </w:p>
        </w:tc>
        <w:tc>
          <w:tcPr>
            <w:tcW w:type="dxa" w:w="1098"/>
            <w:vAlign w:val="center"/>
          </w:tcPr>
          <w:p>
            <w:pPr>
              <w:spacing w:before="20" w:after="20" w:line="260" w:lineRule="auto"/>
              <w:ind w:firstLine="0"/>
              <w:jc w:val="left"/>
            </w:pPr>
            <w:r>
              <w:rPr>
                <w:sz w:val="20"/>
                <w:szCs w:val="20"/>
              </w:rPr>
              <w:t xml:space="preserve">CH 30</w:t>
            </w:r>
          </w:p>
        </w:tc>
        <w:tc>
          <w:tcPr>
            <w:tcW w:type="dxa" w:w="1344"/>
            <w:vAlign w:val="center"/>
          </w:tcPr>
          <w:p>
            <w:pPr>
              <w:spacing w:before="20" w:after="20" w:line="260" w:lineRule="auto"/>
              <w:ind w:firstLine="0"/>
              <w:jc w:val="center"/>
            </w:pPr>
            <w:r>
              <w:rPr>
                <w:sz w:val="20"/>
                <w:szCs w:val="20"/>
              </w:rPr>
              <w:t xml:space="preserve">105.535</w:t>
            </w:r>
          </w:p>
        </w:tc>
        <w:tc>
          <w:tcPr>
            <w:tcW w:type="dxa" w:w="1287"/>
            <w:vAlign w:val="center"/>
          </w:tcPr>
          <w:p>
            <w:pPr>
              <w:spacing w:before="20" w:after="20" w:line="260" w:lineRule="auto"/>
              <w:ind w:firstLine="0"/>
              <w:jc w:val="center"/>
            </w:pPr>
            <w:r>
              <w:rPr>
                <w:sz w:val="20"/>
                <w:szCs w:val="20"/>
              </w:rPr>
              <w:t xml:space="preserve">112.266</w:t>
            </w:r>
          </w:p>
        </w:tc>
        <w:tc>
          <w:tcPr>
            <w:tcW w:type="dxa" w:w="1098"/>
            <w:vAlign w:val="center"/>
          </w:tcPr>
          <w:p>
            <w:pPr>
              <w:spacing w:before="20" w:after="20" w:line="260" w:lineRule="auto"/>
              <w:ind w:firstLine="0"/>
              <w:jc w:val="center"/>
            </w:pPr>
            <w:r>
              <w:rPr>
                <w:sz w:val="20"/>
                <w:szCs w:val="20"/>
              </w:rPr>
              <w:t xml:space="preserve">29,18</w:t>
            </w:r>
          </w:p>
        </w:tc>
        <w:tc>
          <w:tcPr>
            <w:tcW w:type="dxa" w:w="1098"/>
            <w:vAlign w:val="center"/>
          </w:tcPr>
          <w:p>
            <w:pPr>
              <w:spacing w:before="20" w:after="20" w:line="260" w:lineRule="auto"/>
              <w:ind w:firstLine="0"/>
              <w:jc w:val="center"/>
            </w:pPr>
            <w:r>
              <w:rPr>
                <w:sz w:val="20"/>
                <w:szCs w:val="20"/>
              </w:rPr>
              <w:t xml:space="preserve">−12,75</w:t>
            </w:r>
          </w:p>
        </w:tc>
        <w:tc>
          <w:tcPr>
            <w:tcW w:type="dxa" w:w="1694"/>
            <w:vAlign w:val="center"/>
          </w:tcPr>
          <w:p>
            <w:pPr>
              <w:spacing w:before="20" w:after="20" w:line="260" w:lineRule="auto"/>
              <w:ind w:firstLine="0"/>
              <w:jc w:val="center"/>
            </w:pPr>
            <w:r>
              <w:rPr>
                <w:sz w:val="20"/>
                <w:szCs w:val="20"/>
              </w:rPr>
              <w:t xml:space="preserve">77,65</w:t>
            </w:r>
          </w:p>
        </w:tc>
      </w:tr>
    </w:tbl>
    <w:p>
      <w:pPr>
        <w:spacing w:before="40" w:after="160"/>
        <w:ind w:firstLine="0"/>
      </w:pPr>
      <w:r>
        <w:rPr>
          <w:i/>
          <w:sz w:val="22"/>
          <w:szCs w:val="22"/>
        </w:rPr>
        <w:t xml:space="preserve">Nguồn: outputs/11_forecast_diagnostics/error_by_store.csv (REPORT_READY/tables). Nhóm WAPE cao nhất sắp theo WAPE tăng dần. Bias = trung bình (thực tế − dự báo).</w:t>
      </w:r>
    </w:p>
    <w:p>
      <w:pPr>
        <w:jc w:val="center"/>
      </w:pPr>
      <w:r>
        <w:drawing>
          <wp:inline xmlns:a="http://schemas.openxmlformats.org/drawingml/2006/main" xmlns:pic="http://schemas.openxmlformats.org/drawingml/2006/picture">
            <wp:extent cx="5580000" cy="4272187"/>
            <wp:docPr id="5014" name="Picture 5014"/>
            <wp:cNvGraphicFramePr>
              <a:graphicFrameLocks noChangeAspect="1"/>
            </wp:cNvGraphicFramePr>
            <a:graphic>
              <a:graphicData uri="http://schemas.openxmlformats.org/drawingml/2006/picture">
                <pic:pic>
                  <pic:nvPicPr>
                    <pic:cNvPr id="0" name="F15_wape_by_store_885.png"/>
                    <pic:cNvPicPr/>
                  </pic:nvPicPr>
                  <pic:blipFill>
                    <a:blip r:embed="rId113"/>
                    <a:stretch>
                      <a:fillRect/>
                    </a:stretch>
                  </pic:blipFill>
                  <pic:spPr>
                    <a:xfrm>
                      <a:off x="0" y="0"/>
                      <a:ext cx="5580000" cy="4272187"/>
                    </a:xfrm>
                    <a:prstGeom prst="rect"/>
                  </pic:spPr>
                </pic:pic>
              </a:graphicData>
            </a:graphic>
          </wp:inline>
        </w:drawing>
      </w:r>
    </w:p>
    <w:p>
      <w:pPr>
        <w:keepNext w:val="0"/>
        <w:spacing w:after="160"/>
        <w:ind w:firstLine="0"/>
        <w:jc w:val="center"/>
      </w:pPr>
      <w:r>
        <w:t xml:space="preserve">Hình 4.10. 20 cửa hàng có WAPE cao nhất trên tập kiểm tra cuối</w:t>
      </w:r>
    </w:p>
    <w:p>
      <w:pPr>
        <w:spacing w:before="0" w:after="160"/>
        <w:ind w:firstLine="0"/>
        <w:jc w:val="center"/>
      </w:pPr>
      <w:r>
        <w:rPr>
          <w:i/>
          <w:sz w:val="22"/>
          <w:szCs w:val="22"/>
        </w:rPr>
        <w:t xml:space="preserve">Nguồn: REPORT_READY/figures/F15_wape_by_store.png</w:t>
      </w:r>
    </w:p>
    <w:p>
      <w:pPr>
        <w:keepLines w:val="0"/>
        <w:spacing w:after="120"/>
        <w:ind w:firstLine="567"/>
      </w:pPr>
      <w:r>
        <w:t xml:space="preserve">Hình cho thấy ba cửa hàng tách biệt ở đầu dãy là CH 30, CH 32 và CH 26, với WAPE sát nhau quanh 29%; cả ba nằm trong năm cửa hàng có tổng doanh số thực tế nhỏ nhất (105.535, 83.639 và 74.603). Sau một bước giảm xuống nhóm CH 25, CH 38, CH 42 quanh 24%, WAPE giảm dần khá đều, không có điểm gãy rõ rệt. Hệ số Spearman giữa quy mô cửa hàng và WAPE bằng −0,614 (p = 7,96 × 10⁻⁷): cửa hàng càng lớn thì sai số tương đối càng nhỏ, nhưng quan hệ không chặt tuyệt đối. CH 52 đứng đầu với WAPE 8,81% dù có dữ liệu muộn nhất trong features.parquet (từ 12/05/2017); điều này không cho phép suy ra lịch sử ngắn là có lợi, nhưng phù hợp với lập luận rằng mô hình toàn cục học chéo từ các chuỗi khác (Montero-Manso và Hyndman, 2021). CH 25 có độ chệch dương 63,01, lớn nhất trong 54 cửa hàng, với tổng dự báo 121.653 thấp hơn đáng kể so với thực tế 154.922, gợi ý rằng mỗi cửa hàng có thể có động thái riêng mà store_code, cluster, type_code chưa nắm bắt hết.</w:t>
      </w:r>
    </w:p>
    <w:p>
      <w:pPr>
        <w:keepLines w:val="0"/>
        <w:spacing w:after="120"/>
        <w:ind w:firstLine="567"/>
      </w:pPr>
      <w:r>
        <w:t xml:space="preserve">Độ chệch theo cửa hàng còn cho thấy một quy luật liên quan đến quy mô. Các cửa hàng lớn nhất thường có độ chệch âm với trị tuyệt đối lớn: CH 44 (−133,57), CH 49 (−94,31), CH 3 (−78,44), CH 46 (−74,99) và CH 47 (−64,14), trong khi các cửa hàng có độ chệch dương lớn như CH 25, CH 20 (62,69), CH 40 (62,06) và CH 36 (47,32) có quy mô từ nhỏ đến trung bình. Cửa hàng lớn vì vậy là nơi cần ưu tiên theo dõi lượng đặt hàng dư, dù WAPE của chúng thường thấp. Khác với WAPE, độ bao phủ P10–P90 theo cửa hàng chỉ biến động từ 68,37% (CH 44, cửa hàng lớn nhất) đến 80,11% (CH 13 và CH 24), trung vị 75,47%; hệ số Spearman giữa quy mô và độ bao phủ bằng −0,236 (p = 0,086), một xu hướng nghịch biến yếu không có ý nghĩa thống kê ở mức 5%. Trong khi đó, độ rộng trung bình của khoảng theo cửa hàng tăng chặt theo quy mô, từ 87,43 (CH 32) đến 322,25 (CH 44), với hệ số Spearman 0,949.</w:t>
      </w:r>
    </w:p>
    <w:p>
      <w:pPr>
        <w:pStyle w:val="Heading3"/>
        <w:keepNext/>
      </w:pPr>
      <w:r>
        <w:t xml:space="preserve">4.7.3. Sai số theo nhóm sản phẩm</w:t>
      </w:r>
    </w:p>
    <w:p>
      <w:pPr>
        <w:keepLines w:val="0"/>
        <w:spacing w:after="120"/>
        <w:ind w:firstLine="567"/>
      </w:pPr>
      <w:r>
        <w:t xml:space="preserve">Nhóm sản phẩm là trục phân rã có mức dị biệt lớn nhất. Bảng 4.9 trình bày đủ 33 nhóm, sắp theo tổng doanh số thực tế giảm dần, kèm WAPE, độ chệch, độ bao phủ và độ rộng trung bình của khoảng dự báo. Quy mô tập trung rất mạnh: ba nhóm GROCERY I, BEVERAGES và PRODUCE chiếm 67,30% tổng doanh số thực tế của tập kiểm tra cuối, và sáu nhóm lớn nhất (thêm CLEANING, DAIRY, BREAD/BAKERY) chiếm 84,21%. Ở cực bên kia, BOOKS chỉ có tổng thực tế 9 đơn vị trên 54 cửa hàng trong 16 ngày, BABY CARE có 160 và HOME APPLIANCES có 173. WAPE trải từ 8,76% (PRODUCE) đến 10.654,83% (BOOKS), một biên độ mà bất kỳ bảng xếp hạng đơn giản nào cũng khó thể hiện có ý nghĩa.</w:t>
      </w:r>
    </w:p>
    <w:p>
      <w:pPr>
        <w:keepNext/>
        <w:spacing w:before="120" w:after="60"/>
        <w:ind w:firstLine="0"/>
        <w:jc w:val="center"/>
      </w:pPr>
      <w:r>
        <w:t xml:space="preserve">Bảng 4.9. Sai số dự báo điểm và chỉ số khoảng dự báo theo 33 nhóm sản phẩm trên tập kiểm tra cuối (sắp theo tổng thực tế giảm dần)</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110"/>
        <w:gridCol w:w="1434"/>
        <w:gridCol w:w="1241"/>
        <w:gridCol w:w="1170"/>
        <w:gridCol w:w="1804"/>
        <w:gridCol w:w="1312"/>
      </w:tblGrid>
      <w:tr>
        <w:trPr>
          <w:tblHeader/>
          <w:cantSplit/>
        </w:trPr>
        <w:tc>
          <w:tcPr>
            <w:tcW w:type="dxa" w:w="2110"/>
            <w:shd w:val="clear" w:color="auto" w:fill="D9E2F3"/>
            <w:vAlign w:val="center"/>
          </w:tcPr>
          <w:p>
            <w:pPr>
              <w:spacing w:before="20" w:after="20" w:line="260" w:lineRule="auto"/>
              <w:ind w:firstLine="0"/>
              <w:jc w:val="center"/>
            </w:pPr>
            <w:r>
              <w:rPr>
                <w:b/>
                <w:sz w:val="20"/>
                <w:szCs w:val="20"/>
              </w:rPr>
              <w:t xml:space="preserve">Nhóm sản phẩm</w:t>
            </w:r>
          </w:p>
        </w:tc>
        <w:tc>
          <w:tcPr>
            <w:tcW w:type="dxa" w:w="1434"/>
            <w:shd w:val="clear" w:color="auto" w:fill="D9E2F3"/>
            <w:vAlign w:val="center"/>
          </w:tcPr>
          <w:p>
            <w:pPr>
              <w:spacing w:before="20" w:after="20" w:line="260" w:lineRule="auto"/>
              <w:ind w:firstLine="0"/>
              <w:jc w:val="center"/>
            </w:pPr>
            <w:r>
              <w:rPr>
                <w:b/>
                <w:sz w:val="20"/>
                <w:szCs w:val="20"/>
              </w:rPr>
              <w:t xml:space="preserve">Tổng thực tế</w:t>
            </w:r>
          </w:p>
        </w:tc>
        <w:tc>
          <w:tcPr>
            <w:tcW w:type="dxa" w:w="1241"/>
            <w:shd w:val="clear" w:color="auto" w:fill="D9E2F3"/>
            <w:vAlign w:val="center"/>
          </w:tcPr>
          <w:p>
            <w:pPr>
              <w:spacing w:before="20" w:after="20" w:line="260" w:lineRule="auto"/>
              <w:ind w:firstLine="0"/>
              <w:jc w:val="center"/>
            </w:pPr>
            <w:r>
              <w:rPr>
                <w:b/>
                <w:sz w:val="20"/>
                <w:szCs w:val="20"/>
              </w:rPr>
              <w:t xml:space="preserve">WAPE (%)</w:t>
            </w:r>
          </w:p>
        </w:tc>
        <w:tc>
          <w:tcPr>
            <w:tcW w:type="dxa" w:w="1170"/>
            <w:shd w:val="clear" w:color="auto" w:fill="D9E2F3"/>
            <w:vAlign w:val="center"/>
          </w:tcPr>
          <w:p>
            <w:pPr>
              <w:spacing w:before="20" w:after="20" w:line="260" w:lineRule="auto"/>
              <w:ind w:firstLine="0"/>
              <w:jc w:val="center"/>
            </w:pPr>
            <w:r>
              <w:rPr>
                <w:b/>
                <w:sz w:val="20"/>
                <w:szCs w:val="20"/>
              </w:rPr>
              <w:t xml:space="preserve">Bias</w:t>
            </w:r>
          </w:p>
        </w:tc>
        <w:tc>
          <w:tcPr>
            <w:tcW w:type="dxa" w:w="1804"/>
            <w:shd w:val="clear" w:color="auto" w:fill="D9E2F3"/>
            <w:vAlign w:val="center"/>
          </w:tcPr>
          <w:p>
            <w:pPr>
              <w:spacing w:before="20" w:after="20" w:line="260" w:lineRule="auto"/>
              <w:ind w:firstLine="0"/>
              <w:jc w:val="center"/>
            </w:pPr>
            <w:r>
              <w:rPr>
                <w:b/>
                <w:sz w:val="20"/>
                <w:szCs w:val="20"/>
              </w:rPr>
              <w:t xml:space="preserve">Bao phủ P10–P90 (%)</w:t>
            </w:r>
          </w:p>
        </w:tc>
        <w:tc>
          <w:tcPr>
            <w:tcW w:type="dxa" w:w="1312"/>
            <w:shd w:val="clear" w:color="auto" w:fill="D9E2F3"/>
            <w:vAlign w:val="center"/>
          </w:tcPr>
          <w:p>
            <w:pPr>
              <w:spacing w:before="20" w:after="20" w:line="260" w:lineRule="auto"/>
              <w:ind w:firstLine="0"/>
              <w:jc w:val="center"/>
            </w:pPr>
            <w:r>
              <w:rPr>
                <w:b/>
                <w:sz w:val="20"/>
                <w:szCs w:val="20"/>
              </w:rPr>
              <w:t xml:space="preserve">Độ rộng TB</w:t>
            </w:r>
          </w:p>
        </w:tc>
      </w:tr>
      <w:tr>
        <w:trPr>
          <w:cantSplit/>
        </w:trPr>
        <w:tc>
          <w:tcPr>
            <w:tcW w:type="dxa" w:w="2110"/>
            <w:vAlign w:val="center"/>
          </w:tcPr>
          <w:p>
            <w:pPr>
              <w:spacing w:before="20" w:after="20" w:line="260" w:lineRule="auto"/>
              <w:ind w:firstLine="0"/>
              <w:jc w:val="left"/>
            </w:pPr>
            <w:r>
              <w:rPr>
                <w:sz w:val="20"/>
                <w:szCs w:val="20"/>
              </w:rPr>
              <w:t xml:space="preserve">GROCERY I</w:t>
            </w:r>
          </w:p>
        </w:tc>
        <w:tc>
          <w:tcPr>
            <w:tcW w:type="dxa" w:w="1434"/>
            <w:vAlign w:val="center"/>
          </w:tcPr>
          <w:p>
            <w:pPr>
              <w:spacing w:before="20" w:after="20" w:line="260" w:lineRule="auto"/>
              <w:ind w:firstLine="0"/>
              <w:jc w:val="center"/>
            </w:pPr>
            <w:r>
              <w:rPr>
                <w:sz w:val="20"/>
                <w:szCs w:val="20"/>
              </w:rPr>
              <w:t xml:space="preserve">3.980.412</w:t>
            </w:r>
          </w:p>
        </w:tc>
        <w:tc>
          <w:tcPr>
            <w:tcW w:type="dxa" w:w="1241"/>
            <w:vAlign w:val="center"/>
          </w:tcPr>
          <w:p>
            <w:pPr>
              <w:spacing w:before="20" w:after="20" w:line="260" w:lineRule="auto"/>
              <w:ind w:firstLine="0"/>
              <w:jc w:val="center"/>
            </w:pPr>
            <w:r>
              <w:rPr>
                <w:sz w:val="20"/>
                <w:szCs w:val="20"/>
              </w:rPr>
              <w:t xml:space="preserve">10,56</w:t>
            </w:r>
          </w:p>
        </w:tc>
        <w:tc>
          <w:tcPr>
            <w:tcW w:type="dxa" w:w="1170"/>
            <w:vAlign w:val="center"/>
          </w:tcPr>
          <w:p>
            <w:pPr>
              <w:spacing w:before="20" w:after="20" w:line="260" w:lineRule="auto"/>
              <w:ind w:firstLine="0"/>
              <w:jc w:val="center"/>
            </w:pPr>
            <w:r>
              <w:rPr>
                <w:sz w:val="20"/>
                <w:szCs w:val="20"/>
              </w:rPr>
              <w:t xml:space="preserve">−71,92</w:t>
            </w:r>
          </w:p>
        </w:tc>
        <w:tc>
          <w:tcPr>
            <w:tcW w:type="dxa" w:w="1804"/>
            <w:vAlign w:val="center"/>
          </w:tcPr>
          <w:p>
            <w:pPr>
              <w:spacing w:before="20" w:after="20" w:line="260" w:lineRule="auto"/>
              <w:ind w:firstLine="0"/>
              <w:jc w:val="center"/>
            </w:pPr>
            <w:r>
              <w:rPr>
                <w:sz w:val="20"/>
                <w:szCs w:val="20"/>
              </w:rPr>
              <w:t xml:space="preserve">67,36</w:t>
            </w:r>
          </w:p>
        </w:tc>
        <w:tc>
          <w:tcPr>
            <w:tcW w:type="dxa" w:w="1312"/>
            <w:vAlign w:val="center"/>
          </w:tcPr>
          <w:p>
            <w:pPr>
              <w:spacing w:before="20" w:after="20" w:line="260" w:lineRule="auto"/>
              <w:ind w:firstLine="0"/>
              <w:jc w:val="center"/>
            </w:pPr>
            <w:r>
              <w:rPr>
                <w:sz w:val="20"/>
                <w:szCs w:val="20"/>
              </w:rPr>
              <w:t xml:space="preserve">1.170,756</w:t>
            </w:r>
          </w:p>
        </w:tc>
      </w:tr>
      <w:tr>
        <w:trPr>
          <w:cantSplit/>
        </w:trPr>
        <w:tc>
          <w:tcPr>
            <w:tcW w:type="dxa" w:w="2110"/>
            <w:vAlign w:val="center"/>
          </w:tcPr>
          <w:p>
            <w:pPr>
              <w:spacing w:before="20" w:after="20" w:line="260" w:lineRule="auto"/>
              <w:ind w:firstLine="0"/>
              <w:jc w:val="left"/>
            </w:pPr>
            <w:r>
              <w:rPr>
                <w:sz w:val="20"/>
                <w:szCs w:val="20"/>
              </w:rPr>
              <w:t xml:space="preserve">BEVERAGES</w:t>
            </w:r>
          </w:p>
        </w:tc>
        <w:tc>
          <w:tcPr>
            <w:tcW w:type="dxa" w:w="1434"/>
            <w:vAlign w:val="center"/>
          </w:tcPr>
          <w:p>
            <w:pPr>
              <w:spacing w:before="20" w:after="20" w:line="260" w:lineRule="auto"/>
              <w:ind w:firstLine="0"/>
              <w:jc w:val="center"/>
            </w:pPr>
            <w:r>
              <w:rPr>
                <w:sz w:val="20"/>
                <w:szCs w:val="20"/>
              </w:rPr>
              <w:t xml:space="preserve">3.005.407</w:t>
            </w:r>
          </w:p>
        </w:tc>
        <w:tc>
          <w:tcPr>
            <w:tcW w:type="dxa" w:w="1241"/>
            <w:vAlign w:val="center"/>
          </w:tcPr>
          <w:p>
            <w:pPr>
              <w:spacing w:before="20" w:after="20" w:line="260" w:lineRule="auto"/>
              <w:ind w:firstLine="0"/>
              <w:jc w:val="center"/>
            </w:pPr>
            <w:r>
              <w:rPr>
                <w:sz w:val="20"/>
                <w:szCs w:val="20"/>
              </w:rPr>
              <w:t xml:space="preserve">15,89</w:t>
            </w:r>
          </w:p>
        </w:tc>
        <w:tc>
          <w:tcPr>
            <w:tcW w:type="dxa" w:w="1170"/>
            <w:vAlign w:val="center"/>
          </w:tcPr>
          <w:p>
            <w:pPr>
              <w:spacing w:before="20" w:after="20" w:line="260" w:lineRule="auto"/>
              <w:ind w:firstLine="0"/>
              <w:jc w:val="center"/>
            </w:pPr>
            <w:r>
              <w:rPr>
                <w:sz w:val="20"/>
                <w:szCs w:val="20"/>
              </w:rPr>
              <w:t xml:space="preserve">−128,35</w:t>
            </w:r>
          </w:p>
        </w:tc>
        <w:tc>
          <w:tcPr>
            <w:tcW w:type="dxa" w:w="1804"/>
            <w:vAlign w:val="center"/>
          </w:tcPr>
          <w:p>
            <w:pPr>
              <w:spacing w:before="20" w:after="20" w:line="260" w:lineRule="auto"/>
              <w:ind w:firstLine="0"/>
              <w:jc w:val="center"/>
            </w:pPr>
            <w:r>
              <w:rPr>
                <w:sz w:val="20"/>
                <w:szCs w:val="20"/>
              </w:rPr>
              <w:t xml:space="preserve">60,53</w:t>
            </w:r>
          </w:p>
        </w:tc>
        <w:tc>
          <w:tcPr>
            <w:tcW w:type="dxa" w:w="1312"/>
            <w:vAlign w:val="center"/>
          </w:tcPr>
          <w:p>
            <w:pPr>
              <w:spacing w:before="20" w:after="20" w:line="260" w:lineRule="auto"/>
              <w:ind w:firstLine="0"/>
              <w:jc w:val="center"/>
            </w:pPr>
            <w:r>
              <w:rPr>
                <w:sz w:val="20"/>
                <w:szCs w:val="20"/>
              </w:rPr>
              <w:t xml:space="preserve">1.138,480</w:t>
            </w:r>
          </w:p>
        </w:tc>
      </w:tr>
      <w:tr>
        <w:trPr>
          <w:cantSplit/>
        </w:trPr>
        <w:tc>
          <w:tcPr>
            <w:tcW w:type="dxa" w:w="2110"/>
            <w:vAlign w:val="center"/>
          </w:tcPr>
          <w:p>
            <w:pPr>
              <w:spacing w:before="20" w:after="20" w:line="260" w:lineRule="auto"/>
              <w:ind w:firstLine="0"/>
              <w:jc w:val="left"/>
            </w:pPr>
            <w:r>
              <w:rPr>
                <w:sz w:val="20"/>
                <w:szCs w:val="20"/>
              </w:rPr>
              <w:t xml:space="preserve">PRODUCE</w:t>
            </w:r>
          </w:p>
        </w:tc>
        <w:tc>
          <w:tcPr>
            <w:tcW w:type="dxa" w:w="1434"/>
            <w:vAlign w:val="center"/>
          </w:tcPr>
          <w:p>
            <w:pPr>
              <w:spacing w:before="20" w:after="20" w:line="260" w:lineRule="auto"/>
              <w:ind w:firstLine="0"/>
              <w:jc w:val="center"/>
            </w:pPr>
            <w:r>
              <w:rPr>
                <w:sz w:val="20"/>
                <w:szCs w:val="20"/>
              </w:rPr>
              <w:t xml:space="preserve">1.977.480</w:t>
            </w:r>
          </w:p>
        </w:tc>
        <w:tc>
          <w:tcPr>
            <w:tcW w:type="dxa" w:w="1241"/>
            <w:vAlign w:val="center"/>
          </w:tcPr>
          <w:p>
            <w:pPr>
              <w:spacing w:before="20" w:after="20" w:line="260" w:lineRule="auto"/>
              <w:ind w:firstLine="0"/>
              <w:jc w:val="center"/>
            </w:pPr>
            <w:r>
              <w:rPr>
                <w:sz w:val="20"/>
                <w:szCs w:val="20"/>
              </w:rPr>
              <w:t xml:space="preserve">8,76</w:t>
            </w:r>
          </w:p>
        </w:tc>
        <w:tc>
          <w:tcPr>
            <w:tcW w:type="dxa" w:w="1170"/>
            <w:vAlign w:val="center"/>
          </w:tcPr>
          <w:p>
            <w:pPr>
              <w:spacing w:before="20" w:after="20" w:line="260" w:lineRule="auto"/>
              <w:ind w:firstLine="0"/>
              <w:jc w:val="center"/>
            </w:pPr>
            <w:r>
              <w:rPr>
                <w:sz w:val="20"/>
                <w:szCs w:val="20"/>
              </w:rPr>
              <w:t xml:space="preserve">−93,42</w:t>
            </w:r>
          </w:p>
        </w:tc>
        <w:tc>
          <w:tcPr>
            <w:tcW w:type="dxa" w:w="1804"/>
            <w:vAlign w:val="center"/>
          </w:tcPr>
          <w:p>
            <w:pPr>
              <w:spacing w:before="20" w:after="20" w:line="260" w:lineRule="auto"/>
              <w:ind w:firstLine="0"/>
              <w:jc w:val="center"/>
            </w:pPr>
            <w:r>
              <w:rPr>
                <w:sz w:val="20"/>
                <w:szCs w:val="20"/>
              </w:rPr>
              <w:t xml:space="preserve">82,87</w:t>
            </w:r>
          </w:p>
        </w:tc>
        <w:tc>
          <w:tcPr>
            <w:tcW w:type="dxa" w:w="1312"/>
            <w:vAlign w:val="center"/>
          </w:tcPr>
          <w:p>
            <w:pPr>
              <w:spacing w:before="20" w:after="20" w:line="260" w:lineRule="auto"/>
              <w:ind w:firstLine="0"/>
              <w:jc w:val="center"/>
            </w:pPr>
            <w:r>
              <w:rPr>
                <w:sz w:val="20"/>
                <w:szCs w:val="20"/>
              </w:rPr>
              <w:t xml:space="preserve">842,093</w:t>
            </w:r>
          </w:p>
        </w:tc>
      </w:tr>
      <w:tr>
        <w:trPr>
          <w:cantSplit/>
        </w:trPr>
        <w:tc>
          <w:tcPr>
            <w:tcW w:type="dxa" w:w="2110"/>
            <w:vAlign w:val="center"/>
          </w:tcPr>
          <w:p>
            <w:pPr>
              <w:spacing w:before="20" w:after="20" w:line="260" w:lineRule="auto"/>
              <w:ind w:firstLine="0"/>
              <w:jc w:val="left"/>
            </w:pPr>
            <w:r>
              <w:rPr>
                <w:sz w:val="20"/>
                <w:szCs w:val="20"/>
              </w:rPr>
              <w:t xml:space="preserve">CLEANING</w:t>
            </w:r>
          </w:p>
        </w:tc>
        <w:tc>
          <w:tcPr>
            <w:tcW w:type="dxa" w:w="1434"/>
            <w:vAlign w:val="center"/>
          </w:tcPr>
          <w:p>
            <w:pPr>
              <w:spacing w:before="20" w:after="20" w:line="260" w:lineRule="auto"/>
              <w:ind w:firstLine="0"/>
              <w:jc w:val="center"/>
            </w:pPr>
            <w:r>
              <w:rPr>
                <w:sz w:val="20"/>
                <w:szCs w:val="20"/>
              </w:rPr>
              <w:t xml:space="preserve">1.065.243</w:t>
            </w:r>
          </w:p>
        </w:tc>
        <w:tc>
          <w:tcPr>
            <w:tcW w:type="dxa" w:w="1241"/>
            <w:vAlign w:val="center"/>
          </w:tcPr>
          <w:p>
            <w:pPr>
              <w:spacing w:before="20" w:after="20" w:line="260" w:lineRule="auto"/>
              <w:ind w:firstLine="0"/>
              <w:jc w:val="center"/>
            </w:pPr>
            <w:r>
              <w:rPr>
                <w:sz w:val="20"/>
                <w:szCs w:val="20"/>
              </w:rPr>
              <w:t xml:space="preserve">21,99</w:t>
            </w:r>
          </w:p>
        </w:tc>
        <w:tc>
          <w:tcPr>
            <w:tcW w:type="dxa" w:w="1170"/>
            <w:vAlign w:val="center"/>
          </w:tcPr>
          <w:p>
            <w:pPr>
              <w:spacing w:before="20" w:after="20" w:line="260" w:lineRule="auto"/>
              <w:ind w:firstLine="0"/>
              <w:jc w:val="center"/>
            </w:pPr>
            <w:r>
              <w:rPr>
                <w:sz w:val="20"/>
                <w:szCs w:val="20"/>
              </w:rPr>
              <w:t xml:space="preserve">−55,07</w:t>
            </w:r>
          </w:p>
        </w:tc>
        <w:tc>
          <w:tcPr>
            <w:tcW w:type="dxa" w:w="1804"/>
            <w:vAlign w:val="center"/>
          </w:tcPr>
          <w:p>
            <w:pPr>
              <w:spacing w:before="20" w:after="20" w:line="260" w:lineRule="auto"/>
              <w:ind w:firstLine="0"/>
              <w:jc w:val="center"/>
            </w:pPr>
            <w:r>
              <w:rPr>
                <w:sz w:val="20"/>
                <w:szCs w:val="20"/>
              </w:rPr>
              <w:t xml:space="preserve">60,88</w:t>
            </w:r>
          </w:p>
        </w:tc>
        <w:tc>
          <w:tcPr>
            <w:tcW w:type="dxa" w:w="1312"/>
            <w:vAlign w:val="center"/>
          </w:tcPr>
          <w:p>
            <w:pPr>
              <w:spacing w:before="20" w:after="20" w:line="260" w:lineRule="auto"/>
              <w:ind w:firstLine="0"/>
              <w:jc w:val="center"/>
            </w:pPr>
            <w:r>
              <w:rPr>
                <w:sz w:val="20"/>
                <w:szCs w:val="20"/>
              </w:rPr>
              <w:t xml:space="preserve">655,948</w:t>
            </w:r>
          </w:p>
        </w:tc>
      </w:tr>
      <w:tr>
        <w:trPr>
          <w:cantSplit/>
        </w:trPr>
        <w:tc>
          <w:tcPr>
            <w:tcW w:type="dxa" w:w="2110"/>
            <w:vAlign w:val="center"/>
          </w:tcPr>
          <w:p>
            <w:pPr>
              <w:spacing w:before="20" w:after="20" w:line="260" w:lineRule="auto"/>
              <w:ind w:firstLine="0"/>
              <w:jc w:val="left"/>
            </w:pPr>
            <w:r>
              <w:rPr>
                <w:sz w:val="20"/>
                <w:szCs w:val="20"/>
              </w:rPr>
              <w:t xml:space="preserve">DAIRY</w:t>
            </w:r>
          </w:p>
        </w:tc>
        <w:tc>
          <w:tcPr>
            <w:tcW w:type="dxa" w:w="1434"/>
            <w:vAlign w:val="center"/>
          </w:tcPr>
          <w:p>
            <w:pPr>
              <w:spacing w:before="20" w:after="20" w:line="260" w:lineRule="auto"/>
              <w:ind w:firstLine="0"/>
              <w:jc w:val="center"/>
            </w:pPr>
            <w:r>
              <w:rPr>
                <w:sz w:val="20"/>
                <w:szCs w:val="20"/>
              </w:rPr>
              <w:t xml:space="preserve">721.034</w:t>
            </w:r>
          </w:p>
        </w:tc>
        <w:tc>
          <w:tcPr>
            <w:tcW w:type="dxa" w:w="1241"/>
            <w:vAlign w:val="center"/>
          </w:tcPr>
          <w:p>
            <w:pPr>
              <w:spacing w:before="20" w:after="20" w:line="260" w:lineRule="auto"/>
              <w:ind w:firstLine="0"/>
              <w:jc w:val="center"/>
            </w:pPr>
            <w:r>
              <w:rPr>
                <w:sz w:val="20"/>
                <w:szCs w:val="20"/>
              </w:rPr>
              <w:t xml:space="preserve">13,39</w:t>
            </w:r>
          </w:p>
        </w:tc>
        <w:tc>
          <w:tcPr>
            <w:tcW w:type="dxa" w:w="1170"/>
            <w:vAlign w:val="center"/>
          </w:tcPr>
          <w:p>
            <w:pPr>
              <w:spacing w:before="20" w:after="20" w:line="260" w:lineRule="auto"/>
              <w:ind w:firstLine="0"/>
              <w:jc w:val="center"/>
            </w:pPr>
            <w:r>
              <w:rPr>
                <w:sz w:val="20"/>
                <w:szCs w:val="20"/>
              </w:rPr>
              <w:t xml:space="preserve">−87,38</w:t>
            </w:r>
          </w:p>
        </w:tc>
        <w:tc>
          <w:tcPr>
            <w:tcW w:type="dxa" w:w="1804"/>
            <w:vAlign w:val="center"/>
          </w:tcPr>
          <w:p>
            <w:pPr>
              <w:spacing w:before="20" w:after="20" w:line="260" w:lineRule="auto"/>
              <w:ind w:firstLine="0"/>
              <w:jc w:val="center"/>
            </w:pPr>
            <w:r>
              <w:rPr>
                <w:sz w:val="20"/>
                <w:szCs w:val="20"/>
              </w:rPr>
              <w:t xml:space="preserve">77,66</w:t>
            </w:r>
          </w:p>
        </w:tc>
        <w:tc>
          <w:tcPr>
            <w:tcW w:type="dxa" w:w="1312"/>
            <w:vAlign w:val="center"/>
          </w:tcPr>
          <w:p>
            <w:pPr>
              <w:spacing w:before="20" w:after="20" w:line="260" w:lineRule="auto"/>
              <w:ind w:firstLine="0"/>
              <w:jc w:val="center"/>
            </w:pPr>
            <w:r>
              <w:rPr>
                <w:sz w:val="20"/>
                <w:szCs w:val="20"/>
              </w:rPr>
              <w:t xml:space="preserve">440,643</w:t>
            </w:r>
          </w:p>
        </w:tc>
      </w:tr>
      <w:tr>
        <w:trPr>
          <w:cantSplit/>
        </w:trPr>
        <w:tc>
          <w:tcPr>
            <w:tcW w:type="dxa" w:w="2110"/>
            <w:vAlign w:val="center"/>
          </w:tcPr>
          <w:p>
            <w:pPr>
              <w:spacing w:before="20" w:after="20" w:line="260" w:lineRule="auto"/>
              <w:ind w:firstLine="0"/>
              <w:jc w:val="left"/>
            </w:pPr>
            <w:r>
              <w:rPr>
                <w:sz w:val="20"/>
                <w:szCs w:val="20"/>
              </w:rPr>
              <w:t xml:space="preserve">BREAD/BAKERY</w:t>
            </w:r>
          </w:p>
        </w:tc>
        <w:tc>
          <w:tcPr>
            <w:tcW w:type="dxa" w:w="1434"/>
            <w:vAlign w:val="center"/>
          </w:tcPr>
          <w:p>
            <w:pPr>
              <w:spacing w:before="20" w:after="20" w:line="260" w:lineRule="auto"/>
              <w:ind w:firstLine="0"/>
              <w:jc w:val="center"/>
            </w:pPr>
            <w:r>
              <w:rPr>
                <w:sz w:val="20"/>
                <w:szCs w:val="20"/>
              </w:rPr>
              <w:t xml:space="preserve">466.796</w:t>
            </w:r>
          </w:p>
        </w:tc>
        <w:tc>
          <w:tcPr>
            <w:tcW w:type="dxa" w:w="1241"/>
            <w:vAlign w:val="center"/>
          </w:tcPr>
          <w:p>
            <w:pPr>
              <w:spacing w:before="20" w:after="20" w:line="260" w:lineRule="auto"/>
              <w:ind w:firstLine="0"/>
              <w:jc w:val="center"/>
            </w:pPr>
            <w:r>
              <w:rPr>
                <w:sz w:val="20"/>
                <w:szCs w:val="20"/>
              </w:rPr>
              <w:t xml:space="preserve">13,29</w:t>
            </w:r>
          </w:p>
        </w:tc>
        <w:tc>
          <w:tcPr>
            <w:tcW w:type="dxa" w:w="1170"/>
            <w:vAlign w:val="center"/>
          </w:tcPr>
          <w:p>
            <w:pPr>
              <w:spacing w:before="20" w:after="20" w:line="260" w:lineRule="auto"/>
              <w:ind w:firstLine="0"/>
              <w:jc w:val="center"/>
            </w:pPr>
            <w:r>
              <w:rPr>
                <w:sz w:val="20"/>
                <w:szCs w:val="20"/>
              </w:rPr>
              <w:t xml:space="preserve">−26,36</w:t>
            </w:r>
          </w:p>
        </w:tc>
        <w:tc>
          <w:tcPr>
            <w:tcW w:type="dxa" w:w="1804"/>
            <w:vAlign w:val="center"/>
          </w:tcPr>
          <w:p>
            <w:pPr>
              <w:spacing w:before="20" w:after="20" w:line="260" w:lineRule="auto"/>
              <w:ind w:firstLine="0"/>
              <w:jc w:val="center"/>
            </w:pPr>
            <w:r>
              <w:rPr>
                <w:sz w:val="20"/>
                <w:szCs w:val="20"/>
              </w:rPr>
              <w:t xml:space="preserve">79,63</w:t>
            </w:r>
          </w:p>
        </w:tc>
        <w:tc>
          <w:tcPr>
            <w:tcW w:type="dxa" w:w="1312"/>
            <w:vAlign w:val="center"/>
          </w:tcPr>
          <w:p>
            <w:pPr>
              <w:spacing w:before="20" w:after="20" w:line="260" w:lineRule="auto"/>
              <w:ind w:firstLine="0"/>
              <w:jc w:val="center"/>
            </w:pPr>
            <w:r>
              <w:rPr>
                <w:sz w:val="20"/>
                <w:szCs w:val="20"/>
              </w:rPr>
              <w:t xml:space="preserve">271,194</w:t>
            </w:r>
          </w:p>
        </w:tc>
      </w:tr>
      <w:tr>
        <w:trPr>
          <w:cantSplit/>
        </w:trPr>
        <w:tc>
          <w:tcPr>
            <w:tcW w:type="dxa" w:w="2110"/>
            <w:vAlign w:val="center"/>
          </w:tcPr>
          <w:p>
            <w:pPr>
              <w:spacing w:before="20" w:after="20" w:line="260" w:lineRule="auto"/>
              <w:ind w:firstLine="0"/>
              <w:jc w:val="left"/>
            </w:pPr>
            <w:r>
              <w:rPr>
                <w:sz w:val="20"/>
                <w:szCs w:val="20"/>
              </w:rPr>
              <w:t xml:space="preserve">POULTRY</w:t>
            </w:r>
          </w:p>
        </w:tc>
        <w:tc>
          <w:tcPr>
            <w:tcW w:type="dxa" w:w="1434"/>
            <w:vAlign w:val="center"/>
          </w:tcPr>
          <w:p>
            <w:pPr>
              <w:spacing w:before="20" w:after="20" w:line="260" w:lineRule="auto"/>
              <w:ind w:firstLine="0"/>
              <w:jc w:val="center"/>
            </w:pPr>
            <w:r>
              <w:rPr>
                <w:sz w:val="20"/>
                <w:szCs w:val="20"/>
              </w:rPr>
              <w:t xml:space="preserve">323.560</w:t>
            </w:r>
          </w:p>
        </w:tc>
        <w:tc>
          <w:tcPr>
            <w:tcW w:type="dxa" w:w="1241"/>
            <w:vAlign w:val="center"/>
          </w:tcPr>
          <w:p>
            <w:pPr>
              <w:spacing w:before="20" w:after="20" w:line="260" w:lineRule="auto"/>
              <w:ind w:firstLine="0"/>
              <w:jc w:val="center"/>
            </w:pPr>
            <w:r>
              <w:rPr>
                <w:sz w:val="20"/>
                <w:szCs w:val="20"/>
              </w:rPr>
              <w:t xml:space="preserve">14,26</w:t>
            </w:r>
          </w:p>
        </w:tc>
        <w:tc>
          <w:tcPr>
            <w:tcW w:type="dxa" w:w="1170"/>
            <w:vAlign w:val="center"/>
          </w:tcPr>
          <w:p>
            <w:pPr>
              <w:spacing w:before="20" w:after="20" w:line="260" w:lineRule="auto"/>
              <w:ind w:firstLine="0"/>
              <w:jc w:val="center"/>
            </w:pPr>
            <w:r>
              <w:rPr>
                <w:sz w:val="20"/>
                <w:szCs w:val="20"/>
              </w:rPr>
              <w:t xml:space="preserve">−21,73</w:t>
            </w:r>
          </w:p>
        </w:tc>
        <w:tc>
          <w:tcPr>
            <w:tcW w:type="dxa" w:w="1804"/>
            <w:vAlign w:val="center"/>
          </w:tcPr>
          <w:p>
            <w:pPr>
              <w:spacing w:before="20" w:after="20" w:line="260" w:lineRule="auto"/>
              <w:ind w:firstLine="0"/>
              <w:jc w:val="center"/>
            </w:pPr>
            <w:r>
              <w:rPr>
                <w:sz w:val="20"/>
                <w:szCs w:val="20"/>
              </w:rPr>
              <w:t xml:space="preserve">82,41</w:t>
            </w:r>
          </w:p>
        </w:tc>
        <w:tc>
          <w:tcPr>
            <w:tcW w:type="dxa" w:w="1312"/>
            <w:vAlign w:val="center"/>
          </w:tcPr>
          <w:p>
            <w:pPr>
              <w:spacing w:before="20" w:after="20" w:line="260" w:lineRule="auto"/>
              <w:ind w:firstLine="0"/>
              <w:jc w:val="center"/>
            </w:pPr>
            <w:r>
              <w:rPr>
                <w:sz w:val="20"/>
                <w:szCs w:val="20"/>
              </w:rPr>
              <w:t xml:space="preserve">199,155</w:t>
            </w:r>
          </w:p>
        </w:tc>
      </w:tr>
      <w:tr>
        <w:trPr>
          <w:cantSplit/>
        </w:trPr>
        <w:tc>
          <w:tcPr>
            <w:tcW w:type="dxa" w:w="2110"/>
            <w:vAlign w:val="center"/>
          </w:tcPr>
          <w:p>
            <w:pPr>
              <w:spacing w:before="20" w:after="20" w:line="260" w:lineRule="auto"/>
              <w:ind w:firstLine="0"/>
              <w:jc w:val="left"/>
            </w:pPr>
            <w:r>
              <w:rPr>
                <w:sz w:val="20"/>
                <w:szCs w:val="20"/>
              </w:rPr>
              <w:t xml:space="preserve">MEATS</w:t>
            </w:r>
          </w:p>
        </w:tc>
        <w:tc>
          <w:tcPr>
            <w:tcW w:type="dxa" w:w="1434"/>
            <w:vAlign w:val="center"/>
          </w:tcPr>
          <w:p>
            <w:pPr>
              <w:spacing w:before="20" w:after="20" w:line="260" w:lineRule="auto"/>
              <w:ind w:firstLine="0"/>
              <w:jc w:val="center"/>
            </w:pPr>
            <w:r>
              <w:rPr>
                <w:sz w:val="20"/>
                <w:szCs w:val="20"/>
              </w:rPr>
              <w:t xml:space="preserve">321.071</w:t>
            </w:r>
          </w:p>
        </w:tc>
        <w:tc>
          <w:tcPr>
            <w:tcW w:type="dxa" w:w="1241"/>
            <w:vAlign w:val="center"/>
          </w:tcPr>
          <w:p>
            <w:pPr>
              <w:spacing w:before="20" w:after="20" w:line="260" w:lineRule="auto"/>
              <w:ind w:firstLine="0"/>
              <w:jc w:val="center"/>
            </w:pPr>
            <w:r>
              <w:rPr>
                <w:sz w:val="20"/>
                <w:szCs w:val="20"/>
              </w:rPr>
              <w:t xml:space="preserve">13,87</w:t>
            </w:r>
          </w:p>
        </w:tc>
        <w:tc>
          <w:tcPr>
            <w:tcW w:type="dxa" w:w="1170"/>
            <w:vAlign w:val="center"/>
          </w:tcPr>
          <w:p>
            <w:pPr>
              <w:spacing w:before="20" w:after="20" w:line="260" w:lineRule="auto"/>
              <w:ind w:firstLine="0"/>
              <w:jc w:val="center"/>
            </w:pPr>
            <w:r>
              <w:rPr>
                <w:sz w:val="20"/>
                <w:szCs w:val="20"/>
              </w:rPr>
              <w:t xml:space="preserve">−4,27</w:t>
            </w:r>
          </w:p>
        </w:tc>
        <w:tc>
          <w:tcPr>
            <w:tcW w:type="dxa" w:w="1804"/>
            <w:vAlign w:val="center"/>
          </w:tcPr>
          <w:p>
            <w:pPr>
              <w:spacing w:before="20" w:after="20" w:line="260" w:lineRule="auto"/>
              <w:ind w:firstLine="0"/>
              <w:jc w:val="center"/>
            </w:pPr>
            <w:r>
              <w:rPr>
                <w:sz w:val="20"/>
                <w:szCs w:val="20"/>
              </w:rPr>
              <w:t xml:space="preserve">79,17</w:t>
            </w:r>
          </w:p>
        </w:tc>
        <w:tc>
          <w:tcPr>
            <w:tcW w:type="dxa" w:w="1312"/>
            <w:vAlign w:val="center"/>
          </w:tcPr>
          <w:p>
            <w:pPr>
              <w:spacing w:before="20" w:after="20" w:line="260" w:lineRule="auto"/>
              <w:ind w:firstLine="0"/>
              <w:jc w:val="center"/>
            </w:pPr>
            <w:r>
              <w:rPr>
                <w:sz w:val="20"/>
                <w:szCs w:val="20"/>
              </w:rPr>
              <w:t xml:space="preserve">179,776</w:t>
            </w:r>
          </w:p>
        </w:tc>
      </w:tr>
      <w:tr>
        <w:trPr>
          <w:cantSplit/>
        </w:trPr>
        <w:tc>
          <w:tcPr>
            <w:tcW w:type="dxa" w:w="2110"/>
            <w:vAlign w:val="center"/>
          </w:tcPr>
          <w:p>
            <w:pPr>
              <w:spacing w:before="20" w:after="20" w:line="260" w:lineRule="auto"/>
              <w:ind w:firstLine="0"/>
              <w:jc w:val="left"/>
            </w:pPr>
            <w:r>
              <w:rPr>
                <w:sz w:val="20"/>
                <w:szCs w:val="20"/>
              </w:rPr>
              <w:t xml:space="preserve">PERSONAL CARE</w:t>
            </w:r>
          </w:p>
        </w:tc>
        <w:tc>
          <w:tcPr>
            <w:tcW w:type="dxa" w:w="1434"/>
            <w:vAlign w:val="center"/>
          </w:tcPr>
          <w:p>
            <w:pPr>
              <w:spacing w:before="20" w:after="20" w:line="260" w:lineRule="auto"/>
              <w:ind w:firstLine="0"/>
              <w:jc w:val="center"/>
            </w:pPr>
            <w:r>
              <w:rPr>
                <w:sz w:val="20"/>
                <w:szCs w:val="20"/>
              </w:rPr>
              <w:t xml:space="preserve">277.631</w:t>
            </w:r>
          </w:p>
        </w:tc>
        <w:tc>
          <w:tcPr>
            <w:tcW w:type="dxa" w:w="1241"/>
            <w:vAlign w:val="center"/>
          </w:tcPr>
          <w:p>
            <w:pPr>
              <w:spacing w:before="20" w:after="20" w:line="260" w:lineRule="auto"/>
              <w:ind w:firstLine="0"/>
              <w:jc w:val="center"/>
            </w:pPr>
            <w:r>
              <w:rPr>
                <w:sz w:val="20"/>
                <w:szCs w:val="20"/>
              </w:rPr>
              <w:t xml:space="preserve">15,88</w:t>
            </w:r>
          </w:p>
        </w:tc>
        <w:tc>
          <w:tcPr>
            <w:tcW w:type="dxa" w:w="1170"/>
            <w:vAlign w:val="center"/>
          </w:tcPr>
          <w:p>
            <w:pPr>
              <w:spacing w:before="20" w:after="20" w:line="260" w:lineRule="auto"/>
              <w:ind w:firstLine="0"/>
              <w:jc w:val="center"/>
            </w:pPr>
            <w:r>
              <w:rPr>
                <w:sz w:val="20"/>
                <w:szCs w:val="20"/>
              </w:rPr>
              <w:t xml:space="preserve">1,38</w:t>
            </w:r>
          </w:p>
        </w:tc>
        <w:tc>
          <w:tcPr>
            <w:tcW w:type="dxa" w:w="1804"/>
            <w:vAlign w:val="center"/>
          </w:tcPr>
          <w:p>
            <w:pPr>
              <w:spacing w:before="20" w:after="20" w:line="260" w:lineRule="auto"/>
              <w:ind w:firstLine="0"/>
              <w:jc w:val="center"/>
            </w:pPr>
            <w:r>
              <w:rPr>
                <w:sz w:val="20"/>
                <w:szCs w:val="20"/>
              </w:rPr>
              <w:t xml:space="preserve">76,97</w:t>
            </w:r>
          </w:p>
        </w:tc>
        <w:tc>
          <w:tcPr>
            <w:tcW w:type="dxa" w:w="1312"/>
            <w:vAlign w:val="center"/>
          </w:tcPr>
          <w:p>
            <w:pPr>
              <w:spacing w:before="20" w:after="20" w:line="260" w:lineRule="auto"/>
              <w:ind w:firstLine="0"/>
              <w:jc w:val="center"/>
            </w:pPr>
            <w:r>
              <w:rPr>
                <w:sz w:val="20"/>
                <w:szCs w:val="20"/>
              </w:rPr>
              <w:t xml:space="preserve">150,570</w:t>
            </w:r>
          </w:p>
        </w:tc>
      </w:tr>
      <w:tr>
        <w:trPr>
          <w:cantSplit/>
        </w:trPr>
        <w:tc>
          <w:tcPr>
            <w:tcW w:type="dxa" w:w="2110"/>
            <w:vAlign w:val="center"/>
          </w:tcPr>
          <w:p>
            <w:pPr>
              <w:spacing w:before="20" w:after="20" w:line="260" w:lineRule="auto"/>
              <w:ind w:firstLine="0"/>
              <w:jc w:val="left"/>
            </w:pPr>
            <w:r>
              <w:rPr>
                <w:sz w:val="20"/>
                <w:szCs w:val="20"/>
              </w:rPr>
              <w:t xml:space="preserve">DELI</w:t>
            </w:r>
          </w:p>
        </w:tc>
        <w:tc>
          <w:tcPr>
            <w:tcW w:type="dxa" w:w="1434"/>
            <w:vAlign w:val="center"/>
          </w:tcPr>
          <w:p>
            <w:pPr>
              <w:spacing w:before="20" w:after="20" w:line="260" w:lineRule="auto"/>
              <w:ind w:firstLine="0"/>
              <w:jc w:val="center"/>
            </w:pPr>
            <w:r>
              <w:rPr>
                <w:sz w:val="20"/>
                <w:szCs w:val="20"/>
              </w:rPr>
              <w:t xml:space="preserve">261.903</w:t>
            </w:r>
          </w:p>
        </w:tc>
        <w:tc>
          <w:tcPr>
            <w:tcW w:type="dxa" w:w="1241"/>
            <w:vAlign w:val="center"/>
          </w:tcPr>
          <w:p>
            <w:pPr>
              <w:spacing w:before="20" w:after="20" w:line="260" w:lineRule="auto"/>
              <w:ind w:firstLine="0"/>
              <w:jc w:val="center"/>
            </w:pPr>
            <w:r>
              <w:rPr>
                <w:sz w:val="20"/>
                <w:szCs w:val="20"/>
              </w:rPr>
              <w:t xml:space="preserve">14,69</w:t>
            </w:r>
          </w:p>
        </w:tc>
        <w:tc>
          <w:tcPr>
            <w:tcW w:type="dxa" w:w="1170"/>
            <w:vAlign w:val="center"/>
          </w:tcPr>
          <w:p>
            <w:pPr>
              <w:spacing w:before="20" w:after="20" w:line="260" w:lineRule="auto"/>
              <w:ind w:firstLine="0"/>
              <w:jc w:val="center"/>
            </w:pPr>
            <w:r>
              <w:rPr>
                <w:sz w:val="20"/>
                <w:szCs w:val="20"/>
              </w:rPr>
              <w:t xml:space="preserve">−27,87</w:t>
            </w:r>
          </w:p>
        </w:tc>
        <w:tc>
          <w:tcPr>
            <w:tcW w:type="dxa" w:w="1804"/>
            <w:vAlign w:val="center"/>
          </w:tcPr>
          <w:p>
            <w:pPr>
              <w:spacing w:before="20" w:after="20" w:line="260" w:lineRule="auto"/>
              <w:ind w:firstLine="0"/>
              <w:jc w:val="center"/>
            </w:pPr>
            <w:r>
              <w:rPr>
                <w:sz w:val="20"/>
                <w:szCs w:val="20"/>
              </w:rPr>
              <w:t xml:space="preserve">78,36</w:t>
            </w:r>
          </w:p>
        </w:tc>
        <w:tc>
          <w:tcPr>
            <w:tcW w:type="dxa" w:w="1312"/>
            <w:vAlign w:val="center"/>
          </w:tcPr>
          <w:p>
            <w:pPr>
              <w:spacing w:before="20" w:after="20" w:line="260" w:lineRule="auto"/>
              <w:ind w:firstLine="0"/>
              <w:jc w:val="center"/>
            </w:pPr>
            <w:r>
              <w:rPr>
                <w:sz w:val="20"/>
                <w:szCs w:val="20"/>
              </w:rPr>
              <w:t xml:space="preserve">152,831</w:t>
            </w:r>
          </w:p>
        </w:tc>
      </w:tr>
      <w:tr>
        <w:trPr>
          <w:cantSplit/>
        </w:trPr>
        <w:tc>
          <w:tcPr>
            <w:tcW w:type="dxa" w:w="2110"/>
            <w:vAlign w:val="center"/>
          </w:tcPr>
          <w:p>
            <w:pPr>
              <w:spacing w:before="20" w:after="20" w:line="260" w:lineRule="auto"/>
              <w:ind w:firstLine="0"/>
              <w:jc w:val="left"/>
            </w:pPr>
            <w:r>
              <w:rPr>
                <w:sz w:val="20"/>
                <w:szCs w:val="20"/>
              </w:rPr>
              <w:t xml:space="preserve">HOME CARE</w:t>
            </w:r>
          </w:p>
        </w:tc>
        <w:tc>
          <w:tcPr>
            <w:tcW w:type="dxa" w:w="1434"/>
            <w:vAlign w:val="center"/>
          </w:tcPr>
          <w:p>
            <w:pPr>
              <w:spacing w:before="20" w:after="20" w:line="260" w:lineRule="auto"/>
              <w:ind w:firstLine="0"/>
              <w:jc w:val="center"/>
            </w:pPr>
            <w:r>
              <w:rPr>
                <w:sz w:val="20"/>
                <w:szCs w:val="20"/>
              </w:rPr>
              <w:t xml:space="preserve">251.893</w:t>
            </w:r>
          </w:p>
        </w:tc>
        <w:tc>
          <w:tcPr>
            <w:tcW w:type="dxa" w:w="1241"/>
            <w:vAlign w:val="center"/>
          </w:tcPr>
          <w:p>
            <w:pPr>
              <w:spacing w:before="20" w:after="20" w:line="260" w:lineRule="auto"/>
              <w:ind w:firstLine="0"/>
              <w:jc w:val="center"/>
            </w:pPr>
            <w:r>
              <w:rPr>
                <w:sz w:val="20"/>
                <w:szCs w:val="20"/>
              </w:rPr>
              <w:t xml:space="preserve">20,02</w:t>
            </w:r>
          </w:p>
        </w:tc>
        <w:tc>
          <w:tcPr>
            <w:tcW w:type="dxa" w:w="1170"/>
            <w:vAlign w:val="center"/>
          </w:tcPr>
          <w:p>
            <w:pPr>
              <w:spacing w:before="20" w:after="20" w:line="260" w:lineRule="auto"/>
              <w:ind w:firstLine="0"/>
              <w:jc w:val="center"/>
            </w:pPr>
            <w:r>
              <w:rPr>
                <w:sz w:val="20"/>
                <w:szCs w:val="20"/>
              </w:rPr>
              <w:t xml:space="preserve">−30,66</w:t>
            </w:r>
          </w:p>
        </w:tc>
        <w:tc>
          <w:tcPr>
            <w:tcW w:type="dxa" w:w="1804"/>
            <w:vAlign w:val="center"/>
          </w:tcPr>
          <w:p>
            <w:pPr>
              <w:spacing w:before="20" w:after="20" w:line="260" w:lineRule="auto"/>
              <w:ind w:firstLine="0"/>
              <w:jc w:val="center"/>
            </w:pPr>
            <w:r>
              <w:rPr>
                <w:sz w:val="20"/>
                <w:szCs w:val="20"/>
              </w:rPr>
              <w:t xml:space="preserve">73,38</w:t>
            </w:r>
          </w:p>
        </w:tc>
        <w:tc>
          <w:tcPr>
            <w:tcW w:type="dxa" w:w="1312"/>
            <w:vAlign w:val="center"/>
          </w:tcPr>
          <w:p>
            <w:pPr>
              <w:spacing w:before="20" w:after="20" w:line="260" w:lineRule="auto"/>
              <w:ind w:firstLine="0"/>
              <w:jc w:val="center"/>
            </w:pPr>
            <w:r>
              <w:rPr>
                <w:sz w:val="20"/>
                <w:szCs w:val="20"/>
              </w:rPr>
              <w:t xml:space="preserve">152,242</w:t>
            </w:r>
          </w:p>
        </w:tc>
      </w:tr>
      <w:tr>
        <w:trPr>
          <w:cantSplit/>
        </w:trPr>
        <w:tc>
          <w:tcPr>
            <w:tcW w:type="dxa" w:w="2110"/>
            <w:vAlign w:val="center"/>
          </w:tcPr>
          <w:p>
            <w:pPr>
              <w:spacing w:before="20" w:after="20" w:line="260" w:lineRule="auto"/>
              <w:ind w:firstLine="0"/>
              <w:jc w:val="left"/>
            </w:pPr>
            <w:r>
              <w:rPr>
                <w:sz w:val="20"/>
                <w:szCs w:val="20"/>
              </w:rPr>
              <w:t xml:space="preserve">EGGS</w:t>
            </w:r>
          </w:p>
        </w:tc>
        <w:tc>
          <w:tcPr>
            <w:tcW w:type="dxa" w:w="1434"/>
            <w:vAlign w:val="center"/>
          </w:tcPr>
          <w:p>
            <w:pPr>
              <w:spacing w:before="20" w:after="20" w:line="260" w:lineRule="auto"/>
              <w:ind w:firstLine="0"/>
              <w:jc w:val="center"/>
            </w:pPr>
            <w:r>
              <w:rPr>
                <w:sz w:val="20"/>
                <w:szCs w:val="20"/>
              </w:rPr>
              <w:t xml:space="preserve">172.529</w:t>
            </w:r>
          </w:p>
        </w:tc>
        <w:tc>
          <w:tcPr>
            <w:tcW w:type="dxa" w:w="1241"/>
            <w:vAlign w:val="center"/>
          </w:tcPr>
          <w:p>
            <w:pPr>
              <w:spacing w:before="20" w:after="20" w:line="260" w:lineRule="auto"/>
              <w:ind w:firstLine="0"/>
              <w:jc w:val="center"/>
            </w:pPr>
            <w:r>
              <w:rPr>
                <w:sz w:val="20"/>
                <w:szCs w:val="20"/>
              </w:rPr>
              <w:t xml:space="preserve">18,96</w:t>
            </w:r>
          </w:p>
        </w:tc>
        <w:tc>
          <w:tcPr>
            <w:tcW w:type="dxa" w:w="1170"/>
            <w:vAlign w:val="center"/>
          </w:tcPr>
          <w:p>
            <w:pPr>
              <w:spacing w:before="20" w:after="20" w:line="260" w:lineRule="auto"/>
              <w:ind w:firstLine="0"/>
              <w:jc w:val="center"/>
            </w:pPr>
            <w:r>
              <w:rPr>
                <w:sz w:val="20"/>
                <w:szCs w:val="20"/>
              </w:rPr>
              <w:t xml:space="preserve">−4,56</w:t>
            </w:r>
          </w:p>
        </w:tc>
        <w:tc>
          <w:tcPr>
            <w:tcW w:type="dxa" w:w="1804"/>
            <w:vAlign w:val="center"/>
          </w:tcPr>
          <w:p>
            <w:pPr>
              <w:spacing w:before="20" w:after="20" w:line="260" w:lineRule="auto"/>
              <w:ind w:firstLine="0"/>
              <w:jc w:val="center"/>
            </w:pPr>
            <w:r>
              <w:rPr>
                <w:sz w:val="20"/>
                <w:szCs w:val="20"/>
              </w:rPr>
              <w:t xml:space="preserve">75,58</w:t>
            </w:r>
          </w:p>
        </w:tc>
        <w:tc>
          <w:tcPr>
            <w:tcW w:type="dxa" w:w="1312"/>
            <w:vAlign w:val="center"/>
          </w:tcPr>
          <w:p>
            <w:pPr>
              <w:spacing w:before="20" w:after="20" w:line="260" w:lineRule="auto"/>
              <w:ind w:firstLine="0"/>
              <w:jc w:val="center"/>
            </w:pPr>
            <w:r>
              <w:rPr>
                <w:sz w:val="20"/>
                <w:szCs w:val="20"/>
              </w:rPr>
              <w:t xml:space="preserve">108,830</w:t>
            </w:r>
          </w:p>
        </w:tc>
      </w:tr>
      <w:tr>
        <w:trPr>
          <w:cantSplit/>
        </w:trPr>
        <w:tc>
          <w:tcPr>
            <w:tcW w:type="dxa" w:w="2110"/>
            <w:vAlign w:val="center"/>
          </w:tcPr>
          <w:p>
            <w:pPr>
              <w:spacing w:before="20" w:after="20" w:line="260" w:lineRule="auto"/>
              <w:ind w:firstLine="0"/>
              <w:jc w:val="left"/>
            </w:pPr>
            <w:r>
              <w:rPr>
                <w:sz w:val="20"/>
                <w:szCs w:val="20"/>
              </w:rPr>
              <w:t xml:space="preserve">FROZEN FOODS</w:t>
            </w:r>
          </w:p>
        </w:tc>
        <w:tc>
          <w:tcPr>
            <w:tcW w:type="dxa" w:w="1434"/>
            <w:vAlign w:val="center"/>
          </w:tcPr>
          <w:p>
            <w:pPr>
              <w:spacing w:before="20" w:after="20" w:line="260" w:lineRule="auto"/>
              <w:ind w:firstLine="0"/>
              <w:jc w:val="center"/>
            </w:pPr>
            <w:r>
              <w:rPr>
                <w:sz w:val="20"/>
                <w:szCs w:val="20"/>
              </w:rPr>
              <w:t xml:space="preserve">110.014</w:t>
            </w:r>
          </w:p>
        </w:tc>
        <w:tc>
          <w:tcPr>
            <w:tcW w:type="dxa" w:w="1241"/>
            <w:vAlign w:val="center"/>
          </w:tcPr>
          <w:p>
            <w:pPr>
              <w:spacing w:before="20" w:after="20" w:line="260" w:lineRule="auto"/>
              <w:ind w:firstLine="0"/>
              <w:jc w:val="center"/>
            </w:pPr>
            <w:r>
              <w:rPr>
                <w:sz w:val="20"/>
                <w:szCs w:val="20"/>
              </w:rPr>
              <w:t xml:space="preserve">19,92</w:t>
            </w:r>
          </w:p>
        </w:tc>
        <w:tc>
          <w:tcPr>
            <w:tcW w:type="dxa" w:w="1170"/>
            <w:vAlign w:val="center"/>
          </w:tcPr>
          <w:p>
            <w:pPr>
              <w:spacing w:before="20" w:after="20" w:line="260" w:lineRule="auto"/>
              <w:ind w:firstLine="0"/>
              <w:jc w:val="center"/>
            </w:pPr>
            <w:r>
              <w:rPr>
                <w:sz w:val="20"/>
                <w:szCs w:val="20"/>
              </w:rPr>
              <w:t xml:space="preserve">−4,90</w:t>
            </w:r>
          </w:p>
        </w:tc>
        <w:tc>
          <w:tcPr>
            <w:tcW w:type="dxa" w:w="1804"/>
            <w:vAlign w:val="center"/>
          </w:tcPr>
          <w:p>
            <w:pPr>
              <w:spacing w:before="20" w:after="20" w:line="260" w:lineRule="auto"/>
              <w:ind w:firstLine="0"/>
              <w:jc w:val="center"/>
            </w:pPr>
            <w:r>
              <w:rPr>
                <w:sz w:val="20"/>
                <w:szCs w:val="20"/>
              </w:rPr>
              <w:t xml:space="preserve">81,02</w:t>
            </w:r>
          </w:p>
        </w:tc>
        <w:tc>
          <w:tcPr>
            <w:tcW w:type="dxa" w:w="1312"/>
            <w:vAlign w:val="center"/>
          </w:tcPr>
          <w:p>
            <w:pPr>
              <w:spacing w:before="20" w:after="20" w:line="260" w:lineRule="auto"/>
              <w:ind w:firstLine="0"/>
              <w:jc w:val="center"/>
            </w:pPr>
            <w:r>
              <w:rPr>
                <w:sz w:val="20"/>
                <w:szCs w:val="20"/>
              </w:rPr>
              <w:t xml:space="preserve">79,847</w:t>
            </w:r>
          </w:p>
        </w:tc>
      </w:tr>
      <w:tr>
        <w:trPr>
          <w:cantSplit/>
        </w:trPr>
        <w:tc>
          <w:tcPr>
            <w:tcW w:type="dxa" w:w="2110"/>
            <w:vAlign w:val="center"/>
          </w:tcPr>
          <w:p>
            <w:pPr>
              <w:spacing w:before="20" w:after="20" w:line="260" w:lineRule="auto"/>
              <w:ind w:firstLine="0"/>
              <w:jc w:val="left"/>
            </w:pPr>
            <w:r>
              <w:rPr>
                <w:sz w:val="20"/>
                <w:szCs w:val="20"/>
              </w:rPr>
              <w:t xml:space="preserve">LIQUOR,WINE,BEER</w:t>
            </w:r>
          </w:p>
        </w:tc>
        <w:tc>
          <w:tcPr>
            <w:tcW w:type="dxa" w:w="1434"/>
            <w:vAlign w:val="center"/>
          </w:tcPr>
          <w:p>
            <w:pPr>
              <w:spacing w:before="20" w:after="20" w:line="260" w:lineRule="auto"/>
              <w:ind w:firstLine="0"/>
              <w:jc w:val="center"/>
            </w:pPr>
            <w:r>
              <w:rPr>
                <w:sz w:val="20"/>
                <w:szCs w:val="20"/>
              </w:rPr>
              <w:t xml:space="preserve">84.091</w:t>
            </w:r>
          </w:p>
        </w:tc>
        <w:tc>
          <w:tcPr>
            <w:tcW w:type="dxa" w:w="1241"/>
            <w:vAlign w:val="center"/>
          </w:tcPr>
          <w:p>
            <w:pPr>
              <w:spacing w:before="20" w:after="20" w:line="260" w:lineRule="auto"/>
              <w:ind w:firstLine="0"/>
              <w:jc w:val="center"/>
            </w:pPr>
            <w:r>
              <w:rPr>
                <w:sz w:val="20"/>
                <w:szCs w:val="20"/>
              </w:rPr>
              <w:t xml:space="preserve">35,46</w:t>
            </w:r>
          </w:p>
        </w:tc>
        <w:tc>
          <w:tcPr>
            <w:tcW w:type="dxa" w:w="1170"/>
            <w:vAlign w:val="center"/>
          </w:tcPr>
          <w:p>
            <w:pPr>
              <w:spacing w:before="20" w:after="20" w:line="260" w:lineRule="auto"/>
              <w:ind w:firstLine="0"/>
              <w:jc w:val="center"/>
            </w:pPr>
            <w:r>
              <w:rPr>
                <w:sz w:val="20"/>
                <w:szCs w:val="20"/>
              </w:rPr>
              <w:t xml:space="preserve">−5,04</w:t>
            </w:r>
          </w:p>
        </w:tc>
        <w:tc>
          <w:tcPr>
            <w:tcW w:type="dxa" w:w="1804"/>
            <w:vAlign w:val="center"/>
          </w:tcPr>
          <w:p>
            <w:pPr>
              <w:spacing w:before="20" w:after="20" w:line="260" w:lineRule="auto"/>
              <w:ind w:firstLine="0"/>
              <w:jc w:val="center"/>
            </w:pPr>
            <w:r>
              <w:rPr>
                <w:sz w:val="20"/>
                <w:szCs w:val="20"/>
              </w:rPr>
              <w:t xml:space="preserve">61,92</w:t>
            </w:r>
          </w:p>
        </w:tc>
        <w:tc>
          <w:tcPr>
            <w:tcW w:type="dxa" w:w="1312"/>
            <w:vAlign w:val="center"/>
          </w:tcPr>
          <w:p>
            <w:pPr>
              <w:spacing w:before="20" w:after="20" w:line="260" w:lineRule="auto"/>
              <w:ind w:firstLine="0"/>
              <w:jc w:val="center"/>
            </w:pPr>
            <w:r>
              <w:rPr>
                <w:sz w:val="20"/>
                <w:szCs w:val="20"/>
              </w:rPr>
              <w:t xml:space="preserve">66,401</w:t>
            </w:r>
          </w:p>
        </w:tc>
      </w:tr>
      <w:tr>
        <w:trPr>
          <w:cantSplit/>
        </w:trPr>
        <w:tc>
          <w:tcPr>
            <w:tcW w:type="dxa" w:w="2110"/>
            <w:vAlign w:val="center"/>
          </w:tcPr>
          <w:p>
            <w:pPr>
              <w:spacing w:before="20" w:after="20" w:line="260" w:lineRule="auto"/>
              <w:ind w:firstLine="0"/>
              <w:jc w:val="left"/>
            </w:pPr>
            <w:r>
              <w:rPr>
                <w:sz w:val="20"/>
                <w:szCs w:val="20"/>
              </w:rPr>
              <w:t xml:space="preserve">PREPARED FOODS</w:t>
            </w:r>
          </w:p>
        </w:tc>
        <w:tc>
          <w:tcPr>
            <w:tcW w:type="dxa" w:w="1434"/>
            <w:vAlign w:val="center"/>
          </w:tcPr>
          <w:p>
            <w:pPr>
              <w:spacing w:before="20" w:after="20" w:line="260" w:lineRule="auto"/>
              <w:ind w:firstLine="0"/>
              <w:jc w:val="center"/>
            </w:pPr>
            <w:r>
              <w:rPr>
                <w:sz w:val="20"/>
                <w:szCs w:val="20"/>
              </w:rPr>
              <w:t xml:space="preserve">75.872</w:t>
            </w:r>
          </w:p>
        </w:tc>
        <w:tc>
          <w:tcPr>
            <w:tcW w:type="dxa" w:w="1241"/>
            <w:vAlign w:val="center"/>
          </w:tcPr>
          <w:p>
            <w:pPr>
              <w:spacing w:before="20" w:after="20" w:line="260" w:lineRule="auto"/>
              <w:ind w:firstLine="0"/>
              <w:jc w:val="center"/>
            </w:pPr>
            <w:r>
              <w:rPr>
                <w:sz w:val="20"/>
                <w:szCs w:val="20"/>
              </w:rPr>
              <w:t xml:space="preserve">18,90</w:t>
            </w:r>
          </w:p>
        </w:tc>
        <w:tc>
          <w:tcPr>
            <w:tcW w:type="dxa" w:w="1170"/>
            <w:vAlign w:val="center"/>
          </w:tcPr>
          <w:p>
            <w:pPr>
              <w:spacing w:before="20" w:after="20" w:line="260" w:lineRule="auto"/>
              <w:ind w:firstLine="0"/>
              <w:jc w:val="center"/>
            </w:pPr>
            <w:r>
              <w:rPr>
                <w:sz w:val="20"/>
                <w:szCs w:val="20"/>
              </w:rPr>
              <w:t xml:space="preserve">3,31</w:t>
            </w:r>
          </w:p>
        </w:tc>
        <w:tc>
          <w:tcPr>
            <w:tcW w:type="dxa" w:w="1804"/>
            <w:vAlign w:val="center"/>
          </w:tcPr>
          <w:p>
            <w:pPr>
              <w:spacing w:before="20" w:after="20" w:line="260" w:lineRule="auto"/>
              <w:ind w:firstLine="0"/>
              <w:jc w:val="center"/>
            </w:pPr>
            <w:r>
              <w:rPr>
                <w:sz w:val="20"/>
                <w:szCs w:val="20"/>
              </w:rPr>
              <w:t xml:space="preserve">83,68</w:t>
            </w:r>
          </w:p>
        </w:tc>
        <w:tc>
          <w:tcPr>
            <w:tcW w:type="dxa" w:w="1312"/>
            <w:vAlign w:val="center"/>
          </w:tcPr>
          <w:p>
            <w:pPr>
              <w:spacing w:before="20" w:after="20" w:line="260" w:lineRule="auto"/>
              <w:ind w:firstLine="0"/>
              <w:jc w:val="center"/>
            </w:pPr>
            <w:r>
              <w:rPr>
                <w:sz w:val="20"/>
                <w:szCs w:val="20"/>
              </w:rPr>
              <w:t xml:space="preserve">58,954</w:t>
            </w:r>
          </w:p>
        </w:tc>
      </w:tr>
      <w:tr>
        <w:trPr>
          <w:cantSplit/>
        </w:trPr>
        <w:tc>
          <w:tcPr>
            <w:tcW w:type="dxa" w:w="2110"/>
            <w:vAlign w:val="center"/>
          </w:tcPr>
          <w:p>
            <w:pPr>
              <w:spacing w:before="20" w:after="20" w:line="260" w:lineRule="auto"/>
              <w:ind w:firstLine="0"/>
              <w:jc w:val="left"/>
            </w:pPr>
            <w:r>
              <w:rPr>
                <w:sz w:val="20"/>
                <w:szCs w:val="20"/>
              </w:rPr>
              <w:t xml:space="preserve">SCHOOL AND OFFICE SUPPLIES</w:t>
            </w:r>
          </w:p>
        </w:tc>
        <w:tc>
          <w:tcPr>
            <w:tcW w:type="dxa" w:w="1434"/>
            <w:vAlign w:val="center"/>
          </w:tcPr>
          <w:p>
            <w:pPr>
              <w:spacing w:before="20" w:after="20" w:line="260" w:lineRule="auto"/>
              <w:ind w:firstLine="0"/>
              <w:jc w:val="center"/>
            </w:pPr>
            <w:r>
              <w:rPr>
                <w:sz w:val="20"/>
                <w:szCs w:val="20"/>
              </w:rPr>
              <w:t xml:space="preserve">51.795</w:t>
            </w:r>
          </w:p>
        </w:tc>
        <w:tc>
          <w:tcPr>
            <w:tcW w:type="dxa" w:w="1241"/>
            <w:vAlign w:val="center"/>
          </w:tcPr>
          <w:p>
            <w:pPr>
              <w:spacing w:before="20" w:after="20" w:line="260" w:lineRule="auto"/>
              <w:ind w:firstLine="0"/>
              <w:jc w:val="center"/>
            </w:pPr>
            <w:r>
              <w:rPr>
                <w:sz w:val="20"/>
                <w:szCs w:val="20"/>
              </w:rPr>
              <w:t xml:space="preserve">80,92</w:t>
            </w:r>
          </w:p>
        </w:tc>
        <w:tc>
          <w:tcPr>
            <w:tcW w:type="dxa" w:w="1170"/>
            <w:vAlign w:val="center"/>
          </w:tcPr>
          <w:p>
            <w:pPr>
              <w:spacing w:before="20" w:after="20" w:line="260" w:lineRule="auto"/>
              <w:ind w:firstLine="0"/>
              <w:jc w:val="center"/>
            </w:pPr>
            <w:r>
              <w:rPr>
                <w:sz w:val="20"/>
                <w:szCs w:val="20"/>
              </w:rPr>
              <w:t xml:space="preserve">37,47</w:t>
            </w:r>
          </w:p>
        </w:tc>
        <w:tc>
          <w:tcPr>
            <w:tcW w:type="dxa" w:w="1804"/>
            <w:vAlign w:val="center"/>
          </w:tcPr>
          <w:p>
            <w:pPr>
              <w:spacing w:before="20" w:after="20" w:line="260" w:lineRule="auto"/>
              <w:ind w:firstLine="0"/>
              <w:jc w:val="center"/>
            </w:pPr>
            <w:r>
              <w:rPr>
                <w:sz w:val="20"/>
                <w:szCs w:val="20"/>
              </w:rPr>
              <w:t xml:space="preserve">72,57</w:t>
            </w:r>
          </w:p>
        </w:tc>
        <w:tc>
          <w:tcPr>
            <w:tcW w:type="dxa" w:w="1312"/>
            <w:vAlign w:val="center"/>
          </w:tcPr>
          <w:p>
            <w:pPr>
              <w:spacing w:before="20" w:after="20" w:line="260" w:lineRule="auto"/>
              <w:ind w:firstLine="0"/>
              <w:jc w:val="center"/>
            </w:pPr>
            <w:r>
              <w:rPr>
                <w:sz w:val="20"/>
                <w:szCs w:val="20"/>
              </w:rPr>
              <w:t xml:space="preserve">19,924</w:t>
            </w:r>
          </w:p>
        </w:tc>
      </w:tr>
      <w:tr>
        <w:trPr>
          <w:cantSplit/>
        </w:trPr>
        <w:tc>
          <w:tcPr>
            <w:tcW w:type="dxa" w:w="2110"/>
            <w:vAlign w:val="center"/>
          </w:tcPr>
          <w:p>
            <w:pPr>
              <w:spacing w:before="20" w:after="20" w:line="260" w:lineRule="auto"/>
              <w:ind w:firstLine="0"/>
              <w:jc w:val="left"/>
            </w:pPr>
            <w:r>
              <w:rPr>
                <w:sz w:val="20"/>
                <w:szCs w:val="20"/>
              </w:rPr>
              <w:t xml:space="preserve">HOME AND KITCHEN I</w:t>
            </w:r>
          </w:p>
        </w:tc>
        <w:tc>
          <w:tcPr>
            <w:tcW w:type="dxa" w:w="1434"/>
            <w:vAlign w:val="center"/>
          </w:tcPr>
          <w:p>
            <w:pPr>
              <w:spacing w:before="20" w:after="20" w:line="260" w:lineRule="auto"/>
              <w:ind w:firstLine="0"/>
              <w:jc w:val="center"/>
            </w:pPr>
            <w:r>
              <w:rPr>
                <w:sz w:val="20"/>
                <w:szCs w:val="20"/>
              </w:rPr>
              <w:t xml:space="preserve">27.020</w:t>
            </w:r>
          </w:p>
        </w:tc>
        <w:tc>
          <w:tcPr>
            <w:tcW w:type="dxa" w:w="1241"/>
            <w:vAlign w:val="center"/>
          </w:tcPr>
          <w:p>
            <w:pPr>
              <w:spacing w:before="20" w:after="20" w:line="260" w:lineRule="auto"/>
              <w:ind w:firstLine="0"/>
              <w:jc w:val="center"/>
            </w:pPr>
            <w:r>
              <w:rPr>
                <w:sz w:val="20"/>
                <w:szCs w:val="20"/>
              </w:rPr>
              <w:t xml:space="preserve">41,44</w:t>
            </w:r>
          </w:p>
        </w:tc>
        <w:tc>
          <w:tcPr>
            <w:tcW w:type="dxa" w:w="1170"/>
            <w:vAlign w:val="center"/>
          </w:tcPr>
          <w:p>
            <w:pPr>
              <w:spacing w:before="20" w:after="20" w:line="260" w:lineRule="auto"/>
              <w:ind w:firstLine="0"/>
              <w:jc w:val="center"/>
            </w:pPr>
            <w:r>
              <w:rPr>
                <w:sz w:val="20"/>
                <w:szCs w:val="20"/>
              </w:rPr>
              <w:t xml:space="preserve">−2,51</w:t>
            </w:r>
          </w:p>
        </w:tc>
        <w:tc>
          <w:tcPr>
            <w:tcW w:type="dxa" w:w="1804"/>
            <w:vAlign w:val="center"/>
          </w:tcPr>
          <w:p>
            <w:pPr>
              <w:spacing w:before="20" w:after="20" w:line="260" w:lineRule="auto"/>
              <w:ind w:firstLine="0"/>
              <w:jc w:val="center"/>
            </w:pPr>
            <w:r>
              <w:rPr>
                <w:sz w:val="20"/>
                <w:szCs w:val="20"/>
              </w:rPr>
              <w:t xml:space="preserve">77,78</w:t>
            </w:r>
          </w:p>
        </w:tc>
        <w:tc>
          <w:tcPr>
            <w:tcW w:type="dxa" w:w="1312"/>
            <w:vAlign w:val="center"/>
          </w:tcPr>
          <w:p>
            <w:pPr>
              <w:spacing w:before="20" w:after="20" w:line="260" w:lineRule="auto"/>
              <w:ind w:firstLine="0"/>
              <w:jc w:val="center"/>
            </w:pPr>
            <w:r>
              <w:rPr>
                <w:sz w:val="20"/>
                <w:szCs w:val="20"/>
              </w:rPr>
              <w:t xml:space="preserve">35,086</w:t>
            </w:r>
          </w:p>
        </w:tc>
      </w:tr>
      <w:tr>
        <w:trPr>
          <w:cantSplit/>
        </w:trPr>
        <w:tc>
          <w:tcPr>
            <w:tcW w:type="dxa" w:w="2110"/>
            <w:vAlign w:val="center"/>
          </w:tcPr>
          <w:p>
            <w:pPr>
              <w:spacing w:before="20" w:after="20" w:line="260" w:lineRule="auto"/>
              <w:ind w:firstLine="0"/>
              <w:jc w:val="left"/>
            </w:pPr>
            <w:r>
              <w:rPr>
                <w:sz w:val="20"/>
                <w:szCs w:val="20"/>
              </w:rPr>
              <w:t xml:space="preserve">HOME AND KITCHEN II</w:t>
            </w:r>
          </w:p>
        </w:tc>
        <w:tc>
          <w:tcPr>
            <w:tcW w:type="dxa" w:w="1434"/>
            <w:vAlign w:val="center"/>
          </w:tcPr>
          <w:p>
            <w:pPr>
              <w:spacing w:before="20" w:after="20" w:line="260" w:lineRule="auto"/>
              <w:ind w:firstLine="0"/>
              <w:jc w:val="center"/>
            </w:pPr>
            <w:r>
              <w:rPr>
                <w:sz w:val="20"/>
                <w:szCs w:val="20"/>
              </w:rPr>
              <w:t xml:space="preserve">26.789</w:t>
            </w:r>
          </w:p>
        </w:tc>
        <w:tc>
          <w:tcPr>
            <w:tcW w:type="dxa" w:w="1241"/>
            <w:vAlign w:val="center"/>
          </w:tcPr>
          <w:p>
            <w:pPr>
              <w:spacing w:before="20" w:after="20" w:line="260" w:lineRule="auto"/>
              <w:ind w:firstLine="0"/>
              <w:jc w:val="center"/>
            </w:pPr>
            <w:r>
              <w:rPr>
                <w:sz w:val="20"/>
                <w:szCs w:val="20"/>
              </w:rPr>
              <w:t xml:space="preserve">41,24</w:t>
            </w:r>
          </w:p>
        </w:tc>
        <w:tc>
          <w:tcPr>
            <w:tcW w:type="dxa" w:w="1170"/>
            <w:vAlign w:val="center"/>
          </w:tcPr>
          <w:p>
            <w:pPr>
              <w:spacing w:before="20" w:after="20" w:line="260" w:lineRule="auto"/>
              <w:ind w:firstLine="0"/>
              <w:jc w:val="center"/>
            </w:pPr>
            <w:r>
              <w:rPr>
                <w:sz w:val="20"/>
                <w:szCs w:val="20"/>
              </w:rPr>
              <w:t xml:space="preserve">0,10</w:t>
            </w:r>
          </w:p>
        </w:tc>
        <w:tc>
          <w:tcPr>
            <w:tcW w:type="dxa" w:w="1804"/>
            <w:vAlign w:val="center"/>
          </w:tcPr>
          <w:p>
            <w:pPr>
              <w:spacing w:before="20" w:after="20" w:line="260" w:lineRule="auto"/>
              <w:ind w:firstLine="0"/>
              <w:jc w:val="center"/>
            </w:pPr>
            <w:r>
              <w:rPr>
                <w:sz w:val="20"/>
                <w:szCs w:val="20"/>
              </w:rPr>
              <w:t xml:space="preserve">82,18</w:t>
            </w:r>
          </w:p>
        </w:tc>
        <w:tc>
          <w:tcPr>
            <w:tcW w:type="dxa" w:w="1312"/>
            <w:vAlign w:val="center"/>
          </w:tcPr>
          <w:p>
            <w:pPr>
              <w:spacing w:before="20" w:after="20" w:line="260" w:lineRule="auto"/>
              <w:ind w:firstLine="0"/>
              <w:jc w:val="center"/>
            </w:pPr>
            <w:r>
              <w:rPr>
                <w:sz w:val="20"/>
                <w:szCs w:val="20"/>
              </w:rPr>
              <w:t xml:space="preserve">33,323</w:t>
            </w:r>
          </w:p>
        </w:tc>
      </w:tr>
      <w:tr>
        <w:trPr>
          <w:cantSplit/>
        </w:trPr>
        <w:tc>
          <w:tcPr>
            <w:tcW w:type="dxa" w:w="2110"/>
            <w:vAlign w:val="center"/>
          </w:tcPr>
          <w:p>
            <w:pPr>
              <w:spacing w:before="20" w:after="20" w:line="260" w:lineRule="auto"/>
              <w:ind w:firstLine="0"/>
              <w:jc w:val="left"/>
            </w:pPr>
            <w:r>
              <w:rPr>
                <w:sz w:val="20"/>
                <w:szCs w:val="20"/>
              </w:rPr>
              <w:t xml:space="preserve">GROCERY II</w:t>
            </w:r>
          </w:p>
        </w:tc>
        <w:tc>
          <w:tcPr>
            <w:tcW w:type="dxa" w:w="1434"/>
            <w:vAlign w:val="center"/>
          </w:tcPr>
          <w:p>
            <w:pPr>
              <w:spacing w:before="20" w:after="20" w:line="260" w:lineRule="auto"/>
              <w:ind w:firstLine="0"/>
              <w:jc w:val="center"/>
            </w:pPr>
            <w:r>
              <w:rPr>
                <w:sz w:val="20"/>
                <w:szCs w:val="20"/>
              </w:rPr>
              <w:t xml:space="preserve">25.031</w:t>
            </w:r>
          </w:p>
        </w:tc>
        <w:tc>
          <w:tcPr>
            <w:tcW w:type="dxa" w:w="1241"/>
            <w:vAlign w:val="center"/>
          </w:tcPr>
          <w:p>
            <w:pPr>
              <w:spacing w:before="20" w:after="20" w:line="260" w:lineRule="auto"/>
              <w:ind w:firstLine="0"/>
              <w:jc w:val="center"/>
            </w:pPr>
            <w:r>
              <w:rPr>
                <w:sz w:val="20"/>
                <w:szCs w:val="20"/>
              </w:rPr>
              <w:t xml:space="preserve">41,93</w:t>
            </w:r>
          </w:p>
        </w:tc>
        <w:tc>
          <w:tcPr>
            <w:tcW w:type="dxa" w:w="1170"/>
            <w:vAlign w:val="center"/>
          </w:tcPr>
          <w:p>
            <w:pPr>
              <w:spacing w:before="20" w:after="20" w:line="260" w:lineRule="auto"/>
              <w:ind w:firstLine="0"/>
              <w:jc w:val="center"/>
            </w:pPr>
            <w:r>
              <w:rPr>
                <w:sz w:val="20"/>
                <w:szCs w:val="20"/>
              </w:rPr>
              <w:t xml:space="preserve">−3,17</w:t>
            </w:r>
          </w:p>
        </w:tc>
        <w:tc>
          <w:tcPr>
            <w:tcW w:type="dxa" w:w="1804"/>
            <w:vAlign w:val="center"/>
          </w:tcPr>
          <w:p>
            <w:pPr>
              <w:spacing w:before="20" w:after="20" w:line="260" w:lineRule="auto"/>
              <w:ind w:firstLine="0"/>
              <w:jc w:val="center"/>
            </w:pPr>
            <w:r>
              <w:rPr>
                <w:sz w:val="20"/>
                <w:szCs w:val="20"/>
              </w:rPr>
              <w:t xml:space="preserve">73,96</w:t>
            </w:r>
          </w:p>
        </w:tc>
        <w:tc>
          <w:tcPr>
            <w:tcW w:type="dxa" w:w="1312"/>
            <w:vAlign w:val="center"/>
          </w:tcPr>
          <w:p>
            <w:pPr>
              <w:spacing w:before="20" w:after="20" w:line="260" w:lineRule="auto"/>
              <w:ind w:firstLine="0"/>
              <w:jc w:val="center"/>
            </w:pPr>
            <w:r>
              <w:rPr>
                <w:sz w:val="20"/>
                <w:szCs w:val="20"/>
              </w:rPr>
              <w:t xml:space="preserve">32,807</w:t>
            </w:r>
          </w:p>
        </w:tc>
      </w:tr>
      <w:tr>
        <w:trPr>
          <w:cantSplit/>
        </w:trPr>
        <w:tc>
          <w:tcPr>
            <w:tcW w:type="dxa" w:w="2110"/>
            <w:vAlign w:val="center"/>
          </w:tcPr>
          <w:p>
            <w:pPr>
              <w:spacing w:before="20" w:after="20" w:line="260" w:lineRule="auto"/>
              <w:ind w:firstLine="0"/>
              <w:jc w:val="left"/>
            </w:pPr>
            <w:r>
              <w:rPr>
                <w:sz w:val="20"/>
                <w:szCs w:val="20"/>
              </w:rPr>
              <w:t xml:space="preserve">SEAFOOD</w:t>
            </w:r>
          </w:p>
        </w:tc>
        <w:tc>
          <w:tcPr>
            <w:tcW w:type="dxa" w:w="1434"/>
            <w:vAlign w:val="center"/>
          </w:tcPr>
          <w:p>
            <w:pPr>
              <w:spacing w:before="20" w:after="20" w:line="260" w:lineRule="auto"/>
              <w:ind w:firstLine="0"/>
              <w:jc w:val="center"/>
            </w:pPr>
            <w:r>
              <w:rPr>
                <w:sz w:val="20"/>
                <w:szCs w:val="20"/>
              </w:rPr>
              <w:t xml:space="preserve">17.261</w:t>
            </w:r>
          </w:p>
        </w:tc>
        <w:tc>
          <w:tcPr>
            <w:tcW w:type="dxa" w:w="1241"/>
            <w:vAlign w:val="center"/>
          </w:tcPr>
          <w:p>
            <w:pPr>
              <w:spacing w:before="20" w:after="20" w:line="260" w:lineRule="auto"/>
              <w:ind w:firstLine="0"/>
              <w:jc w:val="center"/>
            </w:pPr>
            <w:r>
              <w:rPr>
                <w:sz w:val="20"/>
                <w:szCs w:val="20"/>
              </w:rPr>
              <w:t xml:space="preserve">31,42</w:t>
            </w:r>
          </w:p>
        </w:tc>
        <w:tc>
          <w:tcPr>
            <w:tcW w:type="dxa" w:w="1170"/>
            <w:vAlign w:val="center"/>
          </w:tcPr>
          <w:p>
            <w:pPr>
              <w:spacing w:before="20" w:after="20" w:line="260" w:lineRule="auto"/>
              <w:ind w:firstLine="0"/>
              <w:jc w:val="center"/>
            </w:pPr>
            <w:r>
              <w:rPr>
                <w:sz w:val="20"/>
                <w:szCs w:val="20"/>
              </w:rPr>
              <w:t xml:space="preserve">2,30</w:t>
            </w:r>
          </w:p>
        </w:tc>
        <w:tc>
          <w:tcPr>
            <w:tcW w:type="dxa" w:w="1804"/>
            <w:vAlign w:val="center"/>
          </w:tcPr>
          <w:p>
            <w:pPr>
              <w:spacing w:before="20" w:after="20" w:line="260" w:lineRule="auto"/>
              <w:ind w:firstLine="0"/>
              <w:jc w:val="center"/>
            </w:pPr>
            <w:r>
              <w:rPr>
                <w:sz w:val="20"/>
                <w:szCs w:val="20"/>
              </w:rPr>
              <w:t xml:space="preserve">75,35</w:t>
            </w:r>
          </w:p>
        </w:tc>
        <w:tc>
          <w:tcPr>
            <w:tcW w:type="dxa" w:w="1312"/>
            <w:vAlign w:val="center"/>
          </w:tcPr>
          <w:p>
            <w:pPr>
              <w:spacing w:before="20" w:after="20" w:line="260" w:lineRule="auto"/>
              <w:ind w:firstLine="0"/>
              <w:jc w:val="center"/>
            </w:pPr>
            <w:r>
              <w:rPr>
                <w:sz w:val="20"/>
                <w:szCs w:val="20"/>
              </w:rPr>
              <w:t xml:space="preserve">20,754</w:t>
            </w:r>
          </w:p>
        </w:tc>
      </w:tr>
      <w:tr>
        <w:trPr>
          <w:cantSplit/>
        </w:trPr>
        <w:tc>
          <w:tcPr>
            <w:tcW w:type="dxa" w:w="2110"/>
            <w:vAlign w:val="center"/>
          </w:tcPr>
          <w:p>
            <w:pPr>
              <w:spacing w:before="20" w:after="20" w:line="260" w:lineRule="auto"/>
              <w:ind w:firstLine="0"/>
              <w:jc w:val="left"/>
            </w:pPr>
            <w:r>
              <w:rPr>
                <w:sz w:val="20"/>
                <w:szCs w:val="20"/>
              </w:rPr>
              <w:t xml:space="preserve">LAWN AND GARDEN</w:t>
            </w:r>
          </w:p>
        </w:tc>
        <w:tc>
          <w:tcPr>
            <w:tcW w:type="dxa" w:w="1434"/>
            <w:vAlign w:val="center"/>
          </w:tcPr>
          <w:p>
            <w:pPr>
              <w:spacing w:before="20" w:after="20" w:line="260" w:lineRule="auto"/>
              <w:ind w:firstLine="0"/>
              <w:jc w:val="center"/>
            </w:pPr>
            <w:r>
              <w:rPr>
                <w:sz w:val="20"/>
                <w:szCs w:val="20"/>
              </w:rPr>
              <w:t xml:space="preserve">12.908</w:t>
            </w:r>
          </w:p>
        </w:tc>
        <w:tc>
          <w:tcPr>
            <w:tcW w:type="dxa" w:w="1241"/>
            <w:vAlign w:val="center"/>
          </w:tcPr>
          <w:p>
            <w:pPr>
              <w:spacing w:before="20" w:after="20" w:line="260" w:lineRule="auto"/>
              <w:ind w:firstLine="0"/>
              <w:jc w:val="center"/>
            </w:pPr>
            <w:r>
              <w:rPr>
                <w:sz w:val="20"/>
                <w:szCs w:val="20"/>
              </w:rPr>
              <w:t xml:space="preserve">39,65</w:t>
            </w:r>
          </w:p>
        </w:tc>
        <w:tc>
          <w:tcPr>
            <w:tcW w:type="dxa" w:w="1170"/>
            <w:vAlign w:val="center"/>
          </w:tcPr>
          <w:p>
            <w:pPr>
              <w:spacing w:before="20" w:after="20" w:line="260" w:lineRule="auto"/>
              <w:ind w:firstLine="0"/>
              <w:jc w:val="center"/>
            </w:pPr>
            <w:r>
              <w:rPr>
                <w:sz w:val="20"/>
                <w:szCs w:val="20"/>
              </w:rPr>
              <w:t xml:space="preserve">−1,13</w:t>
            </w:r>
          </w:p>
        </w:tc>
        <w:tc>
          <w:tcPr>
            <w:tcW w:type="dxa" w:w="1804"/>
            <w:vAlign w:val="center"/>
          </w:tcPr>
          <w:p>
            <w:pPr>
              <w:spacing w:before="20" w:after="20" w:line="260" w:lineRule="auto"/>
              <w:ind w:firstLine="0"/>
              <w:jc w:val="center"/>
            </w:pPr>
            <w:r>
              <w:rPr>
                <w:sz w:val="20"/>
                <w:szCs w:val="20"/>
              </w:rPr>
              <w:t xml:space="preserve">81,83</w:t>
            </w:r>
          </w:p>
        </w:tc>
        <w:tc>
          <w:tcPr>
            <w:tcW w:type="dxa" w:w="1312"/>
            <w:vAlign w:val="center"/>
          </w:tcPr>
          <w:p>
            <w:pPr>
              <w:spacing w:before="20" w:after="20" w:line="260" w:lineRule="auto"/>
              <w:ind w:firstLine="0"/>
              <w:jc w:val="center"/>
            </w:pPr>
            <w:r>
              <w:rPr>
                <w:sz w:val="20"/>
                <w:szCs w:val="20"/>
              </w:rPr>
              <w:t xml:space="preserve">21,035</w:t>
            </w:r>
          </w:p>
        </w:tc>
      </w:tr>
      <w:tr>
        <w:trPr>
          <w:cantSplit/>
        </w:trPr>
        <w:tc>
          <w:tcPr>
            <w:tcW w:type="dxa" w:w="2110"/>
            <w:vAlign w:val="center"/>
          </w:tcPr>
          <w:p>
            <w:pPr>
              <w:spacing w:before="20" w:after="20" w:line="260" w:lineRule="auto"/>
              <w:ind w:firstLine="0"/>
              <w:jc w:val="left"/>
            </w:pPr>
            <w:r>
              <w:rPr>
                <w:sz w:val="20"/>
                <w:szCs w:val="20"/>
              </w:rPr>
              <w:t xml:space="preserve">CELEBRATION</w:t>
            </w:r>
          </w:p>
        </w:tc>
        <w:tc>
          <w:tcPr>
            <w:tcW w:type="dxa" w:w="1434"/>
            <w:vAlign w:val="center"/>
          </w:tcPr>
          <w:p>
            <w:pPr>
              <w:spacing w:before="20" w:after="20" w:line="260" w:lineRule="auto"/>
              <w:ind w:firstLine="0"/>
              <w:jc w:val="center"/>
            </w:pPr>
            <w:r>
              <w:rPr>
                <w:sz w:val="20"/>
                <w:szCs w:val="20"/>
              </w:rPr>
              <w:t xml:space="preserve">10.768</w:t>
            </w:r>
          </w:p>
        </w:tc>
        <w:tc>
          <w:tcPr>
            <w:tcW w:type="dxa" w:w="1241"/>
            <w:vAlign w:val="center"/>
          </w:tcPr>
          <w:p>
            <w:pPr>
              <w:spacing w:before="20" w:after="20" w:line="260" w:lineRule="auto"/>
              <w:ind w:firstLine="0"/>
              <w:jc w:val="center"/>
            </w:pPr>
            <w:r>
              <w:rPr>
                <w:sz w:val="20"/>
                <w:szCs w:val="20"/>
              </w:rPr>
              <w:t xml:space="preserve">50,83</w:t>
            </w:r>
          </w:p>
        </w:tc>
        <w:tc>
          <w:tcPr>
            <w:tcW w:type="dxa" w:w="1170"/>
            <w:vAlign w:val="center"/>
          </w:tcPr>
          <w:p>
            <w:pPr>
              <w:spacing w:before="20" w:after="20" w:line="260" w:lineRule="auto"/>
              <w:ind w:firstLine="0"/>
              <w:jc w:val="center"/>
            </w:pPr>
            <w:r>
              <w:rPr>
                <w:sz w:val="20"/>
                <w:szCs w:val="20"/>
              </w:rPr>
              <w:t xml:space="preserve">0,42</w:t>
            </w:r>
          </w:p>
        </w:tc>
        <w:tc>
          <w:tcPr>
            <w:tcW w:type="dxa" w:w="1804"/>
            <w:vAlign w:val="center"/>
          </w:tcPr>
          <w:p>
            <w:pPr>
              <w:spacing w:before="20" w:after="20" w:line="260" w:lineRule="auto"/>
              <w:ind w:firstLine="0"/>
              <w:jc w:val="center"/>
            </w:pPr>
            <w:r>
              <w:rPr>
                <w:sz w:val="20"/>
                <w:szCs w:val="20"/>
              </w:rPr>
              <w:t xml:space="preserve">82,18</w:t>
            </w:r>
          </w:p>
        </w:tc>
        <w:tc>
          <w:tcPr>
            <w:tcW w:type="dxa" w:w="1312"/>
            <w:vAlign w:val="center"/>
          </w:tcPr>
          <w:p>
            <w:pPr>
              <w:spacing w:before="20" w:after="20" w:line="260" w:lineRule="auto"/>
              <w:ind w:firstLine="0"/>
              <w:jc w:val="center"/>
            </w:pPr>
            <w:r>
              <w:rPr>
                <w:sz w:val="20"/>
                <w:szCs w:val="20"/>
              </w:rPr>
              <w:t xml:space="preserve">19,673</w:t>
            </w:r>
          </w:p>
        </w:tc>
      </w:tr>
      <w:tr>
        <w:trPr>
          <w:cantSplit/>
        </w:trPr>
        <w:tc>
          <w:tcPr>
            <w:tcW w:type="dxa" w:w="2110"/>
            <w:vAlign w:val="center"/>
          </w:tcPr>
          <w:p>
            <w:pPr>
              <w:spacing w:before="20" w:after="20" w:line="260" w:lineRule="auto"/>
              <w:ind w:firstLine="0"/>
              <w:jc w:val="left"/>
            </w:pPr>
            <w:r>
              <w:rPr>
                <w:sz w:val="20"/>
                <w:szCs w:val="20"/>
              </w:rPr>
              <w:t xml:space="preserve">PLAYERS AND ELECTRONICS</w:t>
            </w:r>
          </w:p>
        </w:tc>
        <w:tc>
          <w:tcPr>
            <w:tcW w:type="dxa" w:w="1434"/>
            <w:vAlign w:val="center"/>
          </w:tcPr>
          <w:p>
            <w:pPr>
              <w:spacing w:before="20" w:after="20" w:line="260" w:lineRule="auto"/>
              <w:ind w:firstLine="0"/>
              <w:jc w:val="center"/>
            </w:pPr>
            <w:r>
              <w:rPr>
                <w:sz w:val="20"/>
                <w:szCs w:val="20"/>
              </w:rPr>
              <w:t xml:space="preserve">10.084</w:t>
            </w:r>
          </w:p>
        </w:tc>
        <w:tc>
          <w:tcPr>
            <w:tcW w:type="dxa" w:w="1241"/>
            <w:vAlign w:val="center"/>
          </w:tcPr>
          <w:p>
            <w:pPr>
              <w:spacing w:before="20" w:after="20" w:line="260" w:lineRule="auto"/>
              <w:ind w:firstLine="0"/>
              <w:jc w:val="center"/>
            </w:pPr>
            <w:r>
              <w:rPr>
                <w:sz w:val="20"/>
                <w:szCs w:val="20"/>
              </w:rPr>
              <w:t xml:space="preserve">35,41</w:t>
            </w:r>
          </w:p>
        </w:tc>
        <w:tc>
          <w:tcPr>
            <w:tcW w:type="dxa" w:w="1170"/>
            <w:vAlign w:val="center"/>
          </w:tcPr>
          <w:p>
            <w:pPr>
              <w:spacing w:before="20" w:after="20" w:line="260" w:lineRule="auto"/>
              <w:ind w:firstLine="0"/>
              <w:jc w:val="center"/>
            </w:pPr>
            <w:r>
              <w:rPr>
                <w:sz w:val="20"/>
                <w:szCs w:val="20"/>
              </w:rPr>
              <w:t xml:space="preserve">2,66</w:t>
            </w:r>
          </w:p>
        </w:tc>
        <w:tc>
          <w:tcPr>
            <w:tcW w:type="dxa" w:w="1804"/>
            <w:vAlign w:val="center"/>
          </w:tcPr>
          <w:p>
            <w:pPr>
              <w:spacing w:before="20" w:after="20" w:line="260" w:lineRule="auto"/>
              <w:ind w:firstLine="0"/>
              <w:jc w:val="center"/>
            </w:pPr>
            <w:r>
              <w:rPr>
                <w:sz w:val="20"/>
                <w:szCs w:val="20"/>
              </w:rPr>
              <w:t xml:space="preserve">89,93</w:t>
            </w:r>
          </w:p>
        </w:tc>
        <w:tc>
          <w:tcPr>
            <w:tcW w:type="dxa" w:w="1312"/>
            <w:vAlign w:val="center"/>
          </w:tcPr>
          <w:p>
            <w:pPr>
              <w:spacing w:before="20" w:after="20" w:line="260" w:lineRule="auto"/>
              <w:ind w:firstLine="0"/>
              <w:jc w:val="center"/>
            </w:pPr>
            <w:r>
              <w:rPr>
                <w:sz w:val="20"/>
                <w:szCs w:val="20"/>
              </w:rPr>
              <w:t xml:space="preserve">16,160</w:t>
            </w:r>
          </w:p>
        </w:tc>
      </w:tr>
      <w:tr>
        <w:trPr>
          <w:cantSplit/>
        </w:trPr>
        <w:tc>
          <w:tcPr>
            <w:tcW w:type="dxa" w:w="2110"/>
            <w:vAlign w:val="center"/>
          </w:tcPr>
          <w:p>
            <w:pPr>
              <w:spacing w:before="20" w:after="20" w:line="260" w:lineRule="auto"/>
              <w:ind w:firstLine="0"/>
              <w:jc w:val="left"/>
            </w:pPr>
            <w:r>
              <w:rPr>
                <w:sz w:val="20"/>
                <w:szCs w:val="20"/>
              </w:rPr>
              <w:t xml:space="preserve">LADIESWEAR</w:t>
            </w:r>
          </w:p>
        </w:tc>
        <w:tc>
          <w:tcPr>
            <w:tcW w:type="dxa" w:w="1434"/>
            <w:vAlign w:val="center"/>
          </w:tcPr>
          <w:p>
            <w:pPr>
              <w:spacing w:before="20" w:after="20" w:line="260" w:lineRule="auto"/>
              <w:ind w:firstLine="0"/>
              <w:jc w:val="center"/>
            </w:pPr>
            <w:r>
              <w:rPr>
                <w:sz w:val="20"/>
                <w:szCs w:val="20"/>
              </w:rPr>
              <w:t xml:space="preserve">8.711</w:t>
            </w:r>
          </w:p>
        </w:tc>
        <w:tc>
          <w:tcPr>
            <w:tcW w:type="dxa" w:w="1241"/>
            <w:vAlign w:val="center"/>
          </w:tcPr>
          <w:p>
            <w:pPr>
              <w:spacing w:before="20" w:after="20" w:line="260" w:lineRule="auto"/>
              <w:ind w:firstLine="0"/>
              <w:jc w:val="center"/>
            </w:pPr>
            <w:r>
              <w:rPr>
                <w:sz w:val="20"/>
                <w:szCs w:val="20"/>
              </w:rPr>
              <w:t xml:space="preserve">62,37</w:t>
            </w:r>
          </w:p>
        </w:tc>
        <w:tc>
          <w:tcPr>
            <w:tcW w:type="dxa" w:w="1170"/>
            <w:vAlign w:val="center"/>
          </w:tcPr>
          <w:p>
            <w:pPr>
              <w:spacing w:before="20" w:after="20" w:line="260" w:lineRule="auto"/>
              <w:ind w:firstLine="0"/>
              <w:jc w:val="center"/>
            </w:pPr>
            <w:r>
              <w:rPr>
                <w:sz w:val="20"/>
                <w:szCs w:val="20"/>
              </w:rPr>
              <w:t xml:space="preserve">−3,33</w:t>
            </w:r>
          </w:p>
        </w:tc>
        <w:tc>
          <w:tcPr>
            <w:tcW w:type="dxa" w:w="1804"/>
            <w:vAlign w:val="center"/>
          </w:tcPr>
          <w:p>
            <w:pPr>
              <w:spacing w:before="20" w:after="20" w:line="260" w:lineRule="auto"/>
              <w:ind w:firstLine="0"/>
              <w:jc w:val="center"/>
            </w:pPr>
            <w:r>
              <w:rPr>
                <w:sz w:val="20"/>
                <w:szCs w:val="20"/>
              </w:rPr>
              <w:t xml:space="preserve">69,44</w:t>
            </w:r>
          </w:p>
        </w:tc>
        <w:tc>
          <w:tcPr>
            <w:tcW w:type="dxa" w:w="1312"/>
            <w:vAlign w:val="center"/>
          </w:tcPr>
          <w:p>
            <w:pPr>
              <w:spacing w:before="20" w:after="20" w:line="260" w:lineRule="auto"/>
              <w:ind w:firstLine="0"/>
              <w:jc w:val="center"/>
            </w:pPr>
            <w:r>
              <w:rPr>
                <w:sz w:val="20"/>
                <w:szCs w:val="20"/>
              </w:rPr>
              <w:t xml:space="preserve">18,370</w:t>
            </w:r>
          </w:p>
        </w:tc>
      </w:tr>
      <w:tr>
        <w:trPr>
          <w:cantSplit/>
        </w:trPr>
        <w:tc>
          <w:tcPr>
            <w:tcW w:type="dxa" w:w="2110"/>
            <w:vAlign w:val="center"/>
          </w:tcPr>
          <w:p>
            <w:pPr>
              <w:spacing w:before="20" w:after="20" w:line="260" w:lineRule="auto"/>
              <w:ind w:firstLine="0"/>
              <w:jc w:val="left"/>
            </w:pPr>
            <w:r>
              <w:rPr>
                <w:sz w:val="20"/>
                <w:szCs w:val="20"/>
              </w:rPr>
              <w:t xml:space="preserve">PET SUPPLIES</w:t>
            </w:r>
          </w:p>
        </w:tc>
        <w:tc>
          <w:tcPr>
            <w:tcW w:type="dxa" w:w="1434"/>
            <w:vAlign w:val="center"/>
          </w:tcPr>
          <w:p>
            <w:pPr>
              <w:spacing w:before="20" w:after="20" w:line="260" w:lineRule="auto"/>
              <w:ind w:firstLine="0"/>
              <w:jc w:val="center"/>
            </w:pPr>
            <w:r>
              <w:rPr>
                <w:sz w:val="20"/>
                <w:szCs w:val="20"/>
              </w:rPr>
              <w:t xml:space="preserve">7.283</w:t>
            </w:r>
          </w:p>
        </w:tc>
        <w:tc>
          <w:tcPr>
            <w:tcW w:type="dxa" w:w="1241"/>
            <w:vAlign w:val="center"/>
          </w:tcPr>
          <w:p>
            <w:pPr>
              <w:spacing w:before="20" w:after="20" w:line="260" w:lineRule="auto"/>
              <w:ind w:firstLine="0"/>
              <w:jc w:val="center"/>
            </w:pPr>
            <w:r>
              <w:rPr>
                <w:sz w:val="20"/>
                <w:szCs w:val="20"/>
              </w:rPr>
              <w:t xml:space="preserve">39,90</w:t>
            </w:r>
          </w:p>
        </w:tc>
        <w:tc>
          <w:tcPr>
            <w:tcW w:type="dxa" w:w="1170"/>
            <w:vAlign w:val="center"/>
          </w:tcPr>
          <w:p>
            <w:pPr>
              <w:spacing w:before="20" w:after="20" w:line="260" w:lineRule="auto"/>
              <w:ind w:firstLine="0"/>
              <w:jc w:val="center"/>
            </w:pPr>
            <w:r>
              <w:rPr>
                <w:sz w:val="20"/>
                <w:szCs w:val="20"/>
              </w:rPr>
              <w:t xml:space="preserve">1,17</w:t>
            </w:r>
          </w:p>
        </w:tc>
        <w:tc>
          <w:tcPr>
            <w:tcW w:type="dxa" w:w="1804"/>
            <w:vAlign w:val="center"/>
          </w:tcPr>
          <w:p>
            <w:pPr>
              <w:spacing w:before="20" w:after="20" w:line="260" w:lineRule="auto"/>
              <w:ind w:firstLine="0"/>
              <w:jc w:val="center"/>
            </w:pPr>
            <w:r>
              <w:rPr>
                <w:sz w:val="20"/>
                <w:szCs w:val="20"/>
              </w:rPr>
              <w:t xml:space="preserve">89,00</w:t>
            </w:r>
          </w:p>
        </w:tc>
        <w:tc>
          <w:tcPr>
            <w:tcW w:type="dxa" w:w="1312"/>
            <w:vAlign w:val="center"/>
          </w:tcPr>
          <w:p>
            <w:pPr>
              <w:spacing w:before="20" w:after="20" w:line="260" w:lineRule="auto"/>
              <w:ind w:firstLine="0"/>
              <w:jc w:val="center"/>
            </w:pPr>
            <w:r>
              <w:rPr>
                <w:sz w:val="20"/>
                <w:szCs w:val="20"/>
              </w:rPr>
              <w:t xml:space="preserve">14,304</w:t>
            </w:r>
          </w:p>
        </w:tc>
      </w:tr>
      <w:tr>
        <w:trPr>
          <w:cantSplit/>
        </w:trPr>
        <w:tc>
          <w:tcPr>
            <w:tcW w:type="dxa" w:w="2110"/>
            <w:vAlign w:val="center"/>
          </w:tcPr>
          <w:p>
            <w:pPr>
              <w:spacing w:before="20" w:after="20" w:line="260" w:lineRule="auto"/>
              <w:ind w:firstLine="0"/>
              <w:jc w:val="left"/>
            </w:pPr>
            <w:r>
              <w:rPr>
                <w:sz w:val="20"/>
                <w:szCs w:val="20"/>
              </w:rPr>
              <w:t xml:space="preserve">LINGERIE</w:t>
            </w:r>
          </w:p>
        </w:tc>
        <w:tc>
          <w:tcPr>
            <w:tcW w:type="dxa" w:w="1434"/>
            <w:vAlign w:val="center"/>
          </w:tcPr>
          <w:p>
            <w:pPr>
              <w:spacing w:before="20" w:after="20" w:line="260" w:lineRule="auto"/>
              <w:ind w:firstLine="0"/>
              <w:jc w:val="center"/>
            </w:pPr>
            <w:r>
              <w:rPr>
                <w:sz w:val="20"/>
                <w:szCs w:val="20"/>
              </w:rPr>
              <w:t xml:space="preserve">6.716</w:t>
            </w:r>
          </w:p>
        </w:tc>
        <w:tc>
          <w:tcPr>
            <w:tcW w:type="dxa" w:w="1241"/>
            <w:vAlign w:val="center"/>
          </w:tcPr>
          <w:p>
            <w:pPr>
              <w:spacing w:before="20" w:after="20" w:line="260" w:lineRule="auto"/>
              <w:ind w:firstLine="0"/>
              <w:jc w:val="center"/>
            </w:pPr>
            <w:r>
              <w:rPr>
                <w:sz w:val="20"/>
                <w:szCs w:val="20"/>
              </w:rPr>
              <w:t xml:space="preserve">68,51</w:t>
            </w:r>
          </w:p>
        </w:tc>
        <w:tc>
          <w:tcPr>
            <w:tcW w:type="dxa" w:w="1170"/>
            <w:vAlign w:val="center"/>
          </w:tcPr>
          <w:p>
            <w:pPr>
              <w:spacing w:before="20" w:after="20" w:line="260" w:lineRule="auto"/>
              <w:ind w:firstLine="0"/>
              <w:jc w:val="center"/>
            </w:pPr>
            <w:r>
              <w:rPr>
                <w:sz w:val="20"/>
                <w:szCs w:val="20"/>
              </w:rPr>
              <w:t xml:space="preserve">−0,32</w:t>
            </w:r>
          </w:p>
        </w:tc>
        <w:tc>
          <w:tcPr>
            <w:tcW w:type="dxa" w:w="1804"/>
            <w:vAlign w:val="center"/>
          </w:tcPr>
          <w:p>
            <w:pPr>
              <w:spacing w:before="20" w:after="20" w:line="260" w:lineRule="auto"/>
              <w:ind w:firstLine="0"/>
              <w:jc w:val="center"/>
            </w:pPr>
            <w:r>
              <w:rPr>
                <w:sz w:val="20"/>
                <w:szCs w:val="20"/>
              </w:rPr>
              <w:t xml:space="preserve">79,28</w:t>
            </w:r>
          </w:p>
        </w:tc>
        <w:tc>
          <w:tcPr>
            <w:tcW w:type="dxa" w:w="1312"/>
            <w:vAlign w:val="center"/>
          </w:tcPr>
          <w:p>
            <w:pPr>
              <w:spacing w:before="20" w:after="20" w:line="260" w:lineRule="auto"/>
              <w:ind w:firstLine="0"/>
              <w:jc w:val="center"/>
            </w:pPr>
            <w:r>
              <w:rPr>
                <w:sz w:val="20"/>
                <w:szCs w:val="20"/>
              </w:rPr>
              <w:t xml:space="preserve">15,284</w:t>
            </w:r>
          </w:p>
        </w:tc>
      </w:tr>
      <w:tr>
        <w:trPr>
          <w:cantSplit/>
        </w:trPr>
        <w:tc>
          <w:tcPr>
            <w:tcW w:type="dxa" w:w="2110"/>
            <w:vAlign w:val="center"/>
          </w:tcPr>
          <w:p>
            <w:pPr>
              <w:spacing w:before="20" w:after="20" w:line="260" w:lineRule="auto"/>
              <w:ind w:firstLine="0"/>
              <w:jc w:val="left"/>
            </w:pPr>
            <w:r>
              <w:rPr>
                <w:sz w:val="20"/>
                <w:szCs w:val="20"/>
              </w:rPr>
              <w:t xml:space="preserve">AUTOMOTIVE</w:t>
            </w:r>
          </w:p>
        </w:tc>
        <w:tc>
          <w:tcPr>
            <w:tcW w:type="dxa" w:w="1434"/>
            <w:vAlign w:val="center"/>
          </w:tcPr>
          <w:p>
            <w:pPr>
              <w:spacing w:before="20" w:after="20" w:line="260" w:lineRule="auto"/>
              <w:ind w:firstLine="0"/>
              <w:jc w:val="center"/>
            </w:pPr>
            <w:r>
              <w:rPr>
                <w:sz w:val="20"/>
                <w:szCs w:val="20"/>
              </w:rPr>
              <w:t xml:space="preserve">6.381</w:t>
            </w:r>
          </w:p>
        </w:tc>
        <w:tc>
          <w:tcPr>
            <w:tcW w:type="dxa" w:w="1241"/>
            <w:vAlign w:val="center"/>
          </w:tcPr>
          <w:p>
            <w:pPr>
              <w:spacing w:before="20" w:after="20" w:line="260" w:lineRule="auto"/>
              <w:ind w:firstLine="0"/>
              <w:jc w:val="center"/>
            </w:pPr>
            <w:r>
              <w:rPr>
                <w:sz w:val="20"/>
                <w:szCs w:val="20"/>
              </w:rPr>
              <w:t xml:space="preserve">48,43</w:t>
            </w:r>
          </w:p>
        </w:tc>
        <w:tc>
          <w:tcPr>
            <w:tcW w:type="dxa" w:w="1170"/>
            <w:vAlign w:val="center"/>
          </w:tcPr>
          <w:p>
            <w:pPr>
              <w:spacing w:before="20" w:after="20" w:line="260" w:lineRule="auto"/>
              <w:ind w:firstLine="0"/>
              <w:jc w:val="center"/>
            </w:pPr>
            <w:r>
              <w:rPr>
                <w:sz w:val="20"/>
                <w:szCs w:val="20"/>
              </w:rPr>
              <w:t xml:space="preserve">2,41</w:t>
            </w:r>
          </w:p>
        </w:tc>
        <w:tc>
          <w:tcPr>
            <w:tcW w:type="dxa" w:w="1804"/>
            <w:vAlign w:val="center"/>
          </w:tcPr>
          <w:p>
            <w:pPr>
              <w:spacing w:before="20" w:after="20" w:line="260" w:lineRule="auto"/>
              <w:ind w:firstLine="0"/>
              <w:jc w:val="center"/>
            </w:pPr>
            <w:r>
              <w:rPr>
                <w:sz w:val="20"/>
                <w:szCs w:val="20"/>
              </w:rPr>
              <w:t xml:space="preserve">87,38</w:t>
            </w:r>
          </w:p>
        </w:tc>
        <w:tc>
          <w:tcPr>
            <w:tcW w:type="dxa" w:w="1312"/>
            <w:vAlign w:val="center"/>
          </w:tcPr>
          <w:p>
            <w:pPr>
              <w:spacing w:before="20" w:after="20" w:line="260" w:lineRule="auto"/>
              <w:ind w:firstLine="0"/>
              <w:jc w:val="center"/>
            </w:pPr>
            <w:r>
              <w:rPr>
                <w:sz w:val="20"/>
                <w:szCs w:val="20"/>
              </w:rPr>
              <w:t xml:space="preserve">12,442</w:t>
            </w:r>
          </w:p>
        </w:tc>
      </w:tr>
      <w:tr>
        <w:trPr>
          <w:cantSplit/>
        </w:trPr>
        <w:tc>
          <w:tcPr>
            <w:tcW w:type="dxa" w:w="2110"/>
            <w:vAlign w:val="center"/>
          </w:tcPr>
          <w:p>
            <w:pPr>
              <w:spacing w:before="20" w:after="20" w:line="260" w:lineRule="auto"/>
              <w:ind w:firstLine="0"/>
              <w:jc w:val="left"/>
            </w:pPr>
            <w:r>
              <w:rPr>
                <w:sz w:val="20"/>
                <w:szCs w:val="20"/>
              </w:rPr>
              <w:t xml:space="preserve">MAGAZINES</w:t>
            </w:r>
          </w:p>
        </w:tc>
        <w:tc>
          <w:tcPr>
            <w:tcW w:type="dxa" w:w="1434"/>
            <w:vAlign w:val="center"/>
          </w:tcPr>
          <w:p>
            <w:pPr>
              <w:spacing w:before="20" w:after="20" w:line="260" w:lineRule="auto"/>
              <w:ind w:firstLine="0"/>
              <w:jc w:val="center"/>
            </w:pPr>
            <w:r>
              <w:rPr>
                <w:sz w:val="20"/>
                <w:szCs w:val="20"/>
              </w:rPr>
              <w:t xml:space="preserve">6.146</w:t>
            </w:r>
          </w:p>
        </w:tc>
        <w:tc>
          <w:tcPr>
            <w:tcW w:type="dxa" w:w="1241"/>
            <w:vAlign w:val="center"/>
          </w:tcPr>
          <w:p>
            <w:pPr>
              <w:spacing w:before="20" w:after="20" w:line="260" w:lineRule="auto"/>
              <w:ind w:firstLine="0"/>
              <w:jc w:val="center"/>
            </w:pPr>
            <w:r>
              <w:rPr>
                <w:sz w:val="20"/>
                <w:szCs w:val="20"/>
              </w:rPr>
              <w:t xml:space="preserve">49,62</w:t>
            </w:r>
          </w:p>
        </w:tc>
        <w:tc>
          <w:tcPr>
            <w:tcW w:type="dxa" w:w="1170"/>
            <w:vAlign w:val="center"/>
          </w:tcPr>
          <w:p>
            <w:pPr>
              <w:spacing w:before="20" w:after="20" w:line="260" w:lineRule="auto"/>
              <w:ind w:firstLine="0"/>
              <w:jc w:val="center"/>
            </w:pPr>
            <w:r>
              <w:rPr>
                <w:sz w:val="20"/>
                <w:szCs w:val="20"/>
              </w:rPr>
              <w:t xml:space="preserve">2,35</w:t>
            </w:r>
          </w:p>
        </w:tc>
        <w:tc>
          <w:tcPr>
            <w:tcW w:type="dxa" w:w="1804"/>
            <w:vAlign w:val="center"/>
          </w:tcPr>
          <w:p>
            <w:pPr>
              <w:spacing w:before="20" w:after="20" w:line="260" w:lineRule="auto"/>
              <w:ind w:firstLine="0"/>
              <w:jc w:val="center"/>
            </w:pPr>
            <w:r>
              <w:rPr>
                <w:sz w:val="20"/>
                <w:szCs w:val="20"/>
              </w:rPr>
              <w:t xml:space="preserve">81,60</w:t>
            </w:r>
          </w:p>
        </w:tc>
        <w:tc>
          <w:tcPr>
            <w:tcW w:type="dxa" w:w="1312"/>
            <w:vAlign w:val="center"/>
          </w:tcPr>
          <w:p>
            <w:pPr>
              <w:spacing w:before="20" w:after="20" w:line="260" w:lineRule="auto"/>
              <w:ind w:firstLine="0"/>
              <w:jc w:val="center"/>
            </w:pPr>
            <w:r>
              <w:rPr>
                <w:sz w:val="20"/>
                <w:szCs w:val="20"/>
              </w:rPr>
              <w:t xml:space="preserve">11,692</w:t>
            </w:r>
          </w:p>
        </w:tc>
      </w:tr>
      <w:tr>
        <w:trPr>
          <w:cantSplit/>
        </w:trPr>
        <w:tc>
          <w:tcPr>
            <w:tcW w:type="dxa" w:w="2110"/>
            <w:vAlign w:val="center"/>
          </w:tcPr>
          <w:p>
            <w:pPr>
              <w:spacing w:before="20" w:after="20" w:line="260" w:lineRule="auto"/>
              <w:ind w:firstLine="0"/>
              <w:jc w:val="left"/>
            </w:pPr>
            <w:r>
              <w:rPr>
                <w:sz w:val="20"/>
                <w:szCs w:val="20"/>
              </w:rPr>
              <w:t xml:space="preserve">BEAUTY</w:t>
            </w:r>
          </w:p>
        </w:tc>
        <w:tc>
          <w:tcPr>
            <w:tcW w:type="dxa" w:w="1434"/>
            <w:vAlign w:val="center"/>
          </w:tcPr>
          <w:p>
            <w:pPr>
              <w:spacing w:before="20" w:after="20" w:line="260" w:lineRule="auto"/>
              <w:ind w:firstLine="0"/>
              <w:jc w:val="center"/>
            </w:pPr>
            <w:r>
              <w:rPr>
                <w:sz w:val="20"/>
                <w:szCs w:val="20"/>
              </w:rPr>
              <w:t xml:space="preserve">5.757</w:t>
            </w:r>
          </w:p>
        </w:tc>
        <w:tc>
          <w:tcPr>
            <w:tcW w:type="dxa" w:w="1241"/>
            <w:vAlign w:val="center"/>
          </w:tcPr>
          <w:p>
            <w:pPr>
              <w:spacing w:before="20" w:after="20" w:line="260" w:lineRule="auto"/>
              <w:ind w:firstLine="0"/>
              <w:jc w:val="center"/>
            </w:pPr>
            <w:r>
              <w:rPr>
                <w:sz w:val="20"/>
                <w:szCs w:val="20"/>
              </w:rPr>
              <w:t xml:space="preserve">73,34</w:t>
            </w:r>
          </w:p>
        </w:tc>
        <w:tc>
          <w:tcPr>
            <w:tcW w:type="dxa" w:w="1170"/>
            <w:vAlign w:val="center"/>
          </w:tcPr>
          <w:p>
            <w:pPr>
              <w:spacing w:before="20" w:after="20" w:line="260" w:lineRule="auto"/>
              <w:ind w:firstLine="0"/>
              <w:jc w:val="center"/>
            </w:pPr>
            <w:r>
              <w:rPr>
                <w:sz w:val="20"/>
                <w:szCs w:val="20"/>
              </w:rPr>
              <w:t xml:space="preserve">−3,53</w:t>
            </w:r>
          </w:p>
        </w:tc>
        <w:tc>
          <w:tcPr>
            <w:tcW w:type="dxa" w:w="1804"/>
            <w:vAlign w:val="center"/>
          </w:tcPr>
          <w:p>
            <w:pPr>
              <w:spacing w:before="20" w:after="20" w:line="260" w:lineRule="auto"/>
              <w:ind w:firstLine="0"/>
              <w:jc w:val="center"/>
            </w:pPr>
            <w:r>
              <w:rPr>
                <w:sz w:val="20"/>
                <w:szCs w:val="20"/>
              </w:rPr>
              <w:t xml:space="preserve">74,65</w:t>
            </w:r>
          </w:p>
        </w:tc>
        <w:tc>
          <w:tcPr>
            <w:tcW w:type="dxa" w:w="1312"/>
            <w:vAlign w:val="center"/>
          </w:tcPr>
          <w:p>
            <w:pPr>
              <w:spacing w:before="20" w:after="20" w:line="260" w:lineRule="auto"/>
              <w:ind w:firstLine="0"/>
              <w:jc w:val="center"/>
            </w:pPr>
            <w:r>
              <w:rPr>
                <w:sz w:val="20"/>
                <w:szCs w:val="20"/>
              </w:rPr>
              <w:t xml:space="preserve">17,787</w:t>
            </w:r>
          </w:p>
        </w:tc>
      </w:tr>
      <w:tr>
        <w:trPr>
          <w:cantSplit/>
        </w:trPr>
        <w:tc>
          <w:tcPr>
            <w:tcW w:type="dxa" w:w="2110"/>
            <w:vAlign w:val="center"/>
          </w:tcPr>
          <w:p>
            <w:pPr>
              <w:spacing w:before="20" w:after="20" w:line="260" w:lineRule="auto"/>
              <w:ind w:firstLine="0"/>
              <w:jc w:val="left"/>
            </w:pPr>
            <w:r>
              <w:rPr>
                <w:sz w:val="20"/>
                <w:szCs w:val="20"/>
              </w:rPr>
              <w:t xml:space="preserve">HARDWARE</w:t>
            </w:r>
          </w:p>
        </w:tc>
        <w:tc>
          <w:tcPr>
            <w:tcW w:type="dxa" w:w="1434"/>
            <w:vAlign w:val="center"/>
          </w:tcPr>
          <w:p>
            <w:pPr>
              <w:spacing w:before="20" w:after="20" w:line="260" w:lineRule="auto"/>
              <w:ind w:firstLine="0"/>
              <w:jc w:val="center"/>
            </w:pPr>
            <w:r>
              <w:rPr>
                <w:sz w:val="20"/>
                <w:szCs w:val="20"/>
              </w:rPr>
              <w:t xml:space="preserve">1.252</w:t>
            </w:r>
          </w:p>
        </w:tc>
        <w:tc>
          <w:tcPr>
            <w:tcW w:type="dxa" w:w="1241"/>
            <w:vAlign w:val="center"/>
          </w:tcPr>
          <w:p>
            <w:pPr>
              <w:spacing w:before="20" w:after="20" w:line="260" w:lineRule="auto"/>
              <w:ind w:firstLine="0"/>
              <w:jc w:val="center"/>
            </w:pPr>
            <w:r>
              <w:rPr>
                <w:sz w:val="20"/>
                <w:szCs w:val="20"/>
              </w:rPr>
              <w:t xml:space="preserve">91,59</w:t>
            </w:r>
          </w:p>
        </w:tc>
        <w:tc>
          <w:tcPr>
            <w:tcW w:type="dxa" w:w="1170"/>
            <w:vAlign w:val="center"/>
          </w:tcPr>
          <w:p>
            <w:pPr>
              <w:spacing w:before="20" w:after="20" w:line="260" w:lineRule="auto"/>
              <w:ind w:firstLine="0"/>
              <w:jc w:val="center"/>
            </w:pPr>
            <w:r>
              <w:rPr>
                <w:sz w:val="20"/>
                <w:szCs w:val="20"/>
              </w:rPr>
              <w:t xml:space="preserve">−0,13</w:t>
            </w:r>
          </w:p>
        </w:tc>
        <w:tc>
          <w:tcPr>
            <w:tcW w:type="dxa" w:w="1804"/>
            <w:vAlign w:val="center"/>
          </w:tcPr>
          <w:p>
            <w:pPr>
              <w:spacing w:before="20" w:after="20" w:line="260" w:lineRule="auto"/>
              <w:ind w:firstLine="0"/>
              <w:jc w:val="center"/>
            </w:pPr>
            <w:r>
              <w:rPr>
                <w:sz w:val="20"/>
                <w:szCs w:val="20"/>
              </w:rPr>
              <w:t xml:space="preserve">78,24</w:t>
            </w:r>
          </w:p>
        </w:tc>
        <w:tc>
          <w:tcPr>
            <w:tcW w:type="dxa" w:w="1312"/>
            <w:vAlign w:val="center"/>
          </w:tcPr>
          <w:p>
            <w:pPr>
              <w:spacing w:before="20" w:after="20" w:line="260" w:lineRule="auto"/>
              <w:ind w:firstLine="0"/>
              <w:jc w:val="center"/>
            </w:pPr>
            <w:r>
              <w:rPr>
                <w:sz w:val="20"/>
                <w:szCs w:val="20"/>
              </w:rPr>
              <w:t xml:space="preserve">7,321</w:t>
            </w:r>
          </w:p>
        </w:tc>
      </w:tr>
      <w:tr>
        <w:trPr>
          <w:cantSplit/>
        </w:trPr>
        <w:tc>
          <w:tcPr>
            <w:tcW w:type="dxa" w:w="2110"/>
            <w:vAlign w:val="center"/>
          </w:tcPr>
          <w:p>
            <w:pPr>
              <w:spacing w:before="20" w:after="20" w:line="260" w:lineRule="auto"/>
              <w:ind w:firstLine="0"/>
              <w:jc w:val="left"/>
            </w:pPr>
            <w:r>
              <w:rPr>
                <w:sz w:val="20"/>
                <w:szCs w:val="20"/>
              </w:rPr>
              <w:t xml:space="preserve">HOME APPLIANCES</w:t>
            </w:r>
          </w:p>
        </w:tc>
        <w:tc>
          <w:tcPr>
            <w:tcW w:type="dxa" w:w="1434"/>
            <w:vAlign w:val="center"/>
          </w:tcPr>
          <w:p>
            <w:pPr>
              <w:spacing w:before="20" w:after="20" w:line="260" w:lineRule="auto"/>
              <w:ind w:firstLine="0"/>
              <w:jc w:val="center"/>
            </w:pPr>
            <w:r>
              <w:rPr>
                <w:sz w:val="20"/>
                <w:szCs w:val="20"/>
              </w:rPr>
              <w:t xml:space="preserve">173</w:t>
            </w:r>
          </w:p>
        </w:tc>
        <w:tc>
          <w:tcPr>
            <w:tcW w:type="dxa" w:w="1241"/>
            <w:vAlign w:val="center"/>
          </w:tcPr>
          <w:p>
            <w:pPr>
              <w:spacing w:before="20" w:after="20" w:line="260" w:lineRule="auto"/>
              <w:ind w:firstLine="0"/>
              <w:jc w:val="center"/>
            </w:pPr>
            <w:r>
              <w:rPr>
                <w:sz w:val="20"/>
                <w:szCs w:val="20"/>
              </w:rPr>
              <w:t xml:space="preserve">586,27</w:t>
            </w:r>
          </w:p>
        </w:tc>
        <w:tc>
          <w:tcPr>
            <w:tcW w:type="dxa" w:w="1170"/>
            <w:vAlign w:val="center"/>
          </w:tcPr>
          <w:p>
            <w:pPr>
              <w:spacing w:before="20" w:after="20" w:line="260" w:lineRule="auto"/>
              <w:ind w:firstLine="0"/>
              <w:jc w:val="center"/>
            </w:pPr>
            <w:r>
              <w:rPr>
                <w:sz w:val="20"/>
                <w:szCs w:val="20"/>
              </w:rPr>
              <w:t xml:space="preserve">−1,07</w:t>
            </w:r>
          </w:p>
        </w:tc>
        <w:tc>
          <w:tcPr>
            <w:tcW w:type="dxa" w:w="1804"/>
            <w:vAlign w:val="center"/>
          </w:tcPr>
          <w:p>
            <w:pPr>
              <w:spacing w:before="20" w:after="20" w:line="260" w:lineRule="auto"/>
              <w:ind w:firstLine="0"/>
              <w:jc w:val="center"/>
            </w:pPr>
            <w:r>
              <w:rPr>
                <w:sz w:val="20"/>
                <w:szCs w:val="20"/>
              </w:rPr>
              <w:t xml:space="preserve">59,38</w:t>
            </w:r>
          </w:p>
        </w:tc>
        <w:tc>
          <w:tcPr>
            <w:tcW w:type="dxa" w:w="1312"/>
            <w:vAlign w:val="center"/>
          </w:tcPr>
          <w:p>
            <w:pPr>
              <w:spacing w:before="20" w:after="20" w:line="260" w:lineRule="auto"/>
              <w:ind w:firstLine="0"/>
              <w:jc w:val="center"/>
            </w:pPr>
            <w:r>
              <w:rPr>
                <w:sz w:val="20"/>
                <w:szCs w:val="20"/>
              </w:rPr>
              <w:t xml:space="preserve">6,698</w:t>
            </w:r>
          </w:p>
        </w:tc>
      </w:tr>
      <w:tr>
        <w:trPr>
          <w:cantSplit/>
        </w:trPr>
        <w:tc>
          <w:tcPr>
            <w:tcW w:type="dxa" w:w="2110"/>
            <w:vAlign w:val="center"/>
          </w:tcPr>
          <w:p>
            <w:pPr>
              <w:spacing w:before="20" w:after="20" w:line="260" w:lineRule="auto"/>
              <w:ind w:firstLine="0"/>
              <w:jc w:val="left"/>
            </w:pPr>
            <w:r>
              <w:rPr>
                <w:sz w:val="20"/>
                <w:szCs w:val="20"/>
              </w:rPr>
              <w:t xml:space="preserve">BABY CARE</w:t>
            </w:r>
          </w:p>
        </w:tc>
        <w:tc>
          <w:tcPr>
            <w:tcW w:type="dxa" w:w="1434"/>
            <w:vAlign w:val="center"/>
          </w:tcPr>
          <w:p>
            <w:pPr>
              <w:spacing w:before="20" w:after="20" w:line="260" w:lineRule="auto"/>
              <w:ind w:firstLine="0"/>
              <w:jc w:val="center"/>
            </w:pPr>
            <w:r>
              <w:rPr>
                <w:sz w:val="20"/>
                <w:szCs w:val="20"/>
              </w:rPr>
              <w:t xml:space="preserve">160</w:t>
            </w:r>
          </w:p>
        </w:tc>
        <w:tc>
          <w:tcPr>
            <w:tcW w:type="dxa" w:w="1241"/>
            <w:vAlign w:val="center"/>
          </w:tcPr>
          <w:p>
            <w:pPr>
              <w:spacing w:before="20" w:after="20" w:line="260" w:lineRule="auto"/>
              <w:ind w:firstLine="0"/>
              <w:jc w:val="center"/>
            </w:pPr>
            <w:r>
              <w:rPr>
                <w:sz w:val="20"/>
                <w:szCs w:val="20"/>
              </w:rPr>
              <w:t xml:space="preserve">650,14</w:t>
            </w:r>
          </w:p>
        </w:tc>
        <w:tc>
          <w:tcPr>
            <w:tcW w:type="dxa" w:w="1170"/>
            <w:vAlign w:val="center"/>
          </w:tcPr>
          <w:p>
            <w:pPr>
              <w:spacing w:before="20" w:after="20" w:line="260" w:lineRule="auto"/>
              <w:ind w:firstLine="0"/>
              <w:jc w:val="center"/>
            </w:pPr>
            <w:r>
              <w:rPr>
                <w:sz w:val="20"/>
                <w:szCs w:val="20"/>
              </w:rPr>
              <w:t xml:space="preserve">−1,08</w:t>
            </w:r>
          </w:p>
        </w:tc>
        <w:tc>
          <w:tcPr>
            <w:tcW w:type="dxa" w:w="1804"/>
            <w:vAlign w:val="center"/>
          </w:tcPr>
          <w:p>
            <w:pPr>
              <w:spacing w:before="20" w:after="20" w:line="260" w:lineRule="auto"/>
              <w:ind w:firstLine="0"/>
              <w:jc w:val="center"/>
            </w:pPr>
            <w:r>
              <w:rPr>
                <w:sz w:val="20"/>
                <w:szCs w:val="20"/>
              </w:rPr>
              <w:t xml:space="preserve">58,80</w:t>
            </w:r>
          </w:p>
        </w:tc>
        <w:tc>
          <w:tcPr>
            <w:tcW w:type="dxa" w:w="1312"/>
            <w:vAlign w:val="center"/>
          </w:tcPr>
          <w:p>
            <w:pPr>
              <w:spacing w:before="20" w:after="20" w:line="260" w:lineRule="auto"/>
              <w:ind w:firstLine="0"/>
              <w:jc w:val="center"/>
            </w:pPr>
            <w:r>
              <w:rPr>
                <w:sz w:val="20"/>
                <w:szCs w:val="20"/>
              </w:rPr>
              <w:t xml:space="preserve">6,496</w:t>
            </w:r>
          </w:p>
        </w:tc>
      </w:tr>
      <w:tr>
        <w:trPr>
          <w:cantSplit/>
        </w:trPr>
        <w:tc>
          <w:tcPr>
            <w:tcW w:type="dxa" w:w="2110"/>
            <w:vAlign w:val="center"/>
          </w:tcPr>
          <w:p>
            <w:pPr>
              <w:spacing w:before="20" w:after="20" w:line="260" w:lineRule="auto"/>
              <w:ind w:firstLine="0"/>
              <w:jc w:val="left"/>
            </w:pPr>
            <w:r>
              <w:rPr>
                <w:sz w:val="20"/>
                <w:szCs w:val="20"/>
              </w:rPr>
              <w:t xml:space="preserve">BOOKS</w:t>
            </w:r>
          </w:p>
        </w:tc>
        <w:tc>
          <w:tcPr>
            <w:tcW w:type="dxa" w:w="1434"/>
            <w:vAlign w:val="center"/>
          </w:tcPr>
          <w:p>
            <w:pPr>
              <w:spacing w:before="20" w:after="20" w:line="260" w:lineRule="auto"/>
              <w:ind w:firstLine="0"/>
              <w:jc w:val="center"/>
            </w:pPr>
            <w:r>
              <w:rPr>
                <w:sz w:val="20"/>
                <w:szCs w:val="20"/>
              </w:rPr>
              <w:t xml:space="preserve">9</w:t>
            </w:r>
          </w:p>
        </w:tc>
        <w:tc>
          <w:tcPr>
            <w:tcW w:type="dxa" w:w="1241"/>
            <w:vAlign w:val="center"/>
          </w:tcPr>
          <w:p>
            <w:pPr>
              <w:spacing w:before="20" w:after="20" w:line="260" w:lineRule="auto"/>
              <w:ind w:firstLine="0"/>
              <w:jc w:val="center"/>
            </w:pPr>
            <w:r>
              <w:rPr>
                <w:sz w:val="20"/>
                <w:szCs w:val="20"/>
              </w:rPr>
              <w:t xml:space="preserve">10.654,83</w:t>
            </w:r>
          </w:p>
        </w:tc>
        <w:tc>
          <w:tcPr>
            <w:tcW w:type="dxa" w:w="1170"/>
            <w:vAlign w:val="center"/>
          </w:tcPr>
          <w:p>
            <w:pPr>
              <w:spacing w:before="20" w:after="20" w:line="260" w:lineRule="auto"/>
              <w:ind w:firstLine="0"/>
              <w:jc w:val="center"/>
            </w:pPr>
            <w:r>
              <w:rPr>
                <w:sz w:val="20"/>
                <w:szCs w:val="20"/>
              </w:rPr>
              <w:t xml:space="preserve">−1,10</w:t>
            </w:r>
          </w:p>
        </w:tc>
        <w:tc>
          <w:tcPr>
            <w:tcW w:type="dxa" w:w="1804"/>
            <w:vAlign w:val="center"/>
          </w:tcPr>
          <w:p>
            <w:pPr>
              <w:spacing w:before="20" w:after="20" w:line="260" w:lineRule="auto"/>
              <w:ind w:firstLine="0"/>
              <w:jc w:val="center"/>
            </w:pPr>
            <w:r>
              <w:rPr>
                <w:sz w:val="20"/>
                <w:szCs w:val="20"/>
              </w:rPr>
              <w:t xml:space="preserve">53,12</w:t>
            </w:r>
          </w:p>
        </w:tc>
        <w:tc>
          <w:tcPr>
            <w:tcW w:type="dxa" w:w="1312"/>
            <w:vAlign w:val="center"/>
          </w:tcPr>
          <w:p>
            <w:pPr>
              <w:spacing w:before="20" w:after="20" w:line="260" w:lineRule="auto"/>
              <w:ind w:firstLine="0"/>
              <w:jc w:val="center"/>
            </w:pPr>
            <w:r>
              <w:rPr>
                <w:sz w:val="20"/>
                <w:szCs w:val="20"/>
              </w:rPr>
              <w:t xml:space="preserve">6,264</w:t>
            </w:r>
          </w:p>
        </w:tc>
      </w:tr>
    </w:tbl>
    <w:p>
      <w:pPr>
        <w:spacing w:before="40" w:after="160"/>
        <w:ind w:firstLine="0"/>
      </w:pPr>
      <w:r>
        <w:rPr>
          <w:i/>
          <w:sz w:val="22"/>
          <w:szCs w:val="22"/>
        </w:rPr>
        <w:t xml:space="preserve">Nguồn: outputs/11_forecast_diagnostics/error_by_family.csv (REPORT_READY/tables). Bias = trung bình (thực tế − dự báo) trên mỗi quan sát chuỗi – ngày của nhóm.</w:t>
      </w:r>
    </w:p>
    <w:p>
      <w:pPr>
        <w:keepLines w:val="0"/>
        <w:spacing w:after="120"/>
        <w:ind w:firstLine="567"/>
      </w:pPr>
      <w:r>
        <w:t xml:space="preserve">Ở nhóm quy mô lớn, sai số tương đối nằm trong dải hợp lý: PRODUCE 8,76%, GROCERY I 10,56%, BREAD/BAKERY 13,29%, DAIRY 13,39%, MEATS 13,87% và POULTRY 14,26%. BEVERAGES (15,89%) và đặc biệt CLEANING (21,99%) cao hơn rõ so với các nhóm quy mô tương đương; CLEANING là nhóm lớn duy nhất lọt vào 20 nhóm có WAPE cao nhất. Độ chệch cho thấy một mẫu hình nhất quán: sáu nhóm lớn nhất đều bị dự báo cao hơn thực tế, mạnh nhất ở BEVERAGES (−128,35), PRODUCE (−93,42), DAIRY (−87,38) và GROCERY I (−71,92); tính chung, 23/33 nhóm có độ chệch âm. Vì PRODUCE và DAIRY là thực phẩm tươi, nếu thiên lệch này được chuyển nguyên vẹn vào kế hoạch đặt hàng, rủi ro dư hàng sẽ rơi vào mặt hàng có thời hạn sử dụng ngắn; đây là suy luận từ bản chất nhóm hàng, không được kiểm chứng bằng dữ liệu hao hụt. Tổng quan về dự báo bán lẻ cũng nhấn mạnh rằng hàm ý của sai số phụ thuộc mạnh vào đặc điểm mặt hàng và quyết định tồn kho gắn với nó (Fildes và cộng sự, 2022).</w:t>
      </w:r>
    </w:p>
    <w:p>
      <w:pPr>
        <w:keepLines w:val="0"/>
        <w:spacing w:after="120"/>
        <w:ind w:firstLine="567"/>
      </w:pPr>
      <w:r>
        <w:t xml:space="preserve">Hình 4.11 biểu diễn 20 nhóm có WAPE cao nhất trên thang logarit và minh họa rõ giới hạn của thước đo tương đối. BOOKS đứng tách biệt ở đầu với WAPE 10.654,83%, tiếp theo là BABY CARE (650,14%) và HOME APPLIANCES (586,27%), trong khi mười bảy nhóm còn lại nằm trong khoảng từ khoảng 22% đến dưới 100%. Với tổng thực tế 9 đơn vị, WAPE của BOOKS không mang thông tin về chất lượng mô hình theo nghĩa thông thường; nó chủ yếu phản ánh việc chia một tổng sai số nhỏ cho một mẫu số gần bằng 0. Đây là cùng loại hạn chế mà Hyndman và Koehler (2006) chỉ ra đối với các thước đo dạng phần trăm khi giá trị thực tế gần 0, và là lý do các tác giả đề xuất sai số chuẩn hóa theo thang. Các nhóm thuộc nửa dưới của Bảng 4.9 có đặc trưng của cầu gián đoạn hoặc cầu thưa, loại cầu mà phân loại của Syntetos và cộng sự (2005) có thể giúp nhận diện trước khi chọn phương pháp dự báo.</w:t>
      </w:r>
    </w:p>
    <w:p>
      <w:pPr>
        <w:jc w:val="center"/>
      </w:pPr>
      <w:r>
        <w:drawing>
          <wp:inline xmlns:a="http://schemas.openxmlformats.org/drawingml/2006/main" xmlns:pic="http://schemas.openxmlformats.org/drawingml/2006/picture">
            <wp:extent cx="5580000" cy="4128336"/>
            <wp:docPr id="5015" name="Picture 5015"/>
            <wp:cNvGraphicFramePr>
              <a:graphicFrameLocks noChangeAspect="1"/>
            </wp:cNvGraphicFramePr>
            <a:graphic>
              <a:graphicData uri="http://schemas.openxmlformats.org/drawingml/2006/picture">
                <pic:pic>
                  <pic:nvPicPr>
                    <pic:cNvPr id="0" name="F16_wape_by_family_897.png"/>
                    <pic:cNvPicPr/>
                  </pic:nvPicPr>
                  <pic:blipFill>
                    <a:blip r:embed="rId114"/>
                    <a:stretch>
                      <a:fillRect/>
                    </a:stretch>
                  </pic:blipFill>
                  <pic:spPr>
                    <a:xfrm>
                      <a:off x="0" y="0"/>
                      <a:ext cx="5580000" cy="4128336"/>
                    </a:xfrm>
                    <a:prstGeom prst="rect"/>
                  </pic:spPr>
                </pic:pic>
              </a:graphicData>
            </a:graphic>
          </wp:inline>
        </w:drawing>
      </w:r>
    </w:p>
    <w:p>
      <w:pPr>
        <w:keepNext w:val="0"/>
        <w:spacing w:after="160"/>
        <w:ind w:firstLine="0"/>
        <w:jc w:val="center"/>
      </w:pPr>
      <w:r>
        <w:t xml:space="preserve">Hình 4.11. 20 nhóm sản phẩm có WAPE cao nhất trên tập kiểm tra cuối (thang logarit)</w:t>
      </w:r>
    </w:p>
    <w:p>
      <w:pPr>
        <w:spacing w:before="0" w:after="160"/>
        <w:ind w:firstLine="0"/>
        <w:jc w:val="center"/>
      </w:pPr>
      <w:r>
        <w:rPr>
          <w:i/>
          <w:sz w:val="22"/>
          <w:szCs w:val="22"/>
        </w:rPr>
        <w:t xml:space="preserve">Nguồn: REPORT_READY/figures/F16_wape_by_family.png</w:t>
      </w:r>
    </w:p>
    <w:p>
      <w:pPr>
        <w:keepLines w:val="0"/>
        <w:spacing w:after="120"/>
        <w:ind w:firstLine="567"/>
      </w:pPr>
      <w:r>
        <w:t xml:space="preserve">Hệ số Spearman giữa quy mô nhóm và WAPE bằng −0,902, chặt hơn nhiều so với mức −0,614 ở cấp cửa hàng; ở trục nhóm sản phẩm, quy mô giải thích gần như toàn bộ thứ bậc của sai số tương đối. Một số ngoại lệ vẫn đáng xem xét. SCHOOL AND OFFICE SUPPLIES có tổng thực tế 51.795 nhưng WAPE lên tới 80,92% và độ chệch dương 37,47, lớn nhất trong 33 nhóm; khả năng nhóm này có mẫu hình theo mùa riêng chưa được mô hình nắm bắt là một giả thuyết cần kiểm tra bằng dữ liệu các năm trước. Trường hợp CH 12 – SCHOOL AND OFFICE SUPPLIES ở mục 4.13 cho thấy chiều ngược lại cũng xảy ra ở cấp chuỗi, nên sai số của nhóm này phân tán mạnh theo cả hai hướng giữa các cửa hàng. LIQUOR,WINE,BEER có WAPE 35,46%, cao so với quy mô 84.091, trong khi độ chệch gần 0 (−5,04), tức sai số chủ yếu là phân tán hai chiều hơn là thiên lệch.</w:t>
      </w:r>
    </w:p>
    <w:p>
      <w:pPr>
        <w:pStyle w:val="Heading3"/>
        <w:keepNext/>
      </w:pPr>
      <w:r>
        <w:t xml:space="preserve">4.7.4. So sánh ba trục phân rã và hàm ý cho đánh giá</w:t>
      </w:r>
    </w:p>
    <w:p>
      <w:pPr>
        <w:keepLines w:val="0"/>
        <w:spacing w:after="120"/>
        <w:ind w:firstLine="567"/>
      </w:pPr>
      <w:r>
        <w:t xml:space="preserve">Đặt ba trục cạnh nhau, mức nhu cầu tạo ra biên độ WAPE từ 210,17% xuống 13,39%; nhóm sản phẩm có biên độ còn lớn hơn ở cực trị nhưng thực chất cũng phản ánh quy mô (Spearman −0,902); cửa hàng là trục dị biệt yếu nhất (8,81%–29,18%), vì mỗi cửa hàng là tổ hợp của 33 nhóm. Quy mô nhu cầu vì vậy là biến chẩn đoán trung tâm của sai số tương đối và của độ chệch tính theo đơn vị. Với độ tin cậy của khoảng dự báo, bức tranh lại khác: độ bao phủ theo mức nhu cầu nằm trong khoảng 70,86%–81,90%, theo cửa hàng 68,37%–80,11%, và hệ số Spearman giữa quy mô nhóm sản phẩm và độ bao phủ chỉ 0,013. Quy mô vì vậy không quyết định độ bao phủ một cách có hệ thống. Đây là kết quả mà thiết kế khoảng Mondrian hướng tới: khi phân vị phần dư được tính riêng cho từng nhóm quy mô dự báo điểm, độ rộng khoảng co giãn theo sai số điển hình của nhóm, nên độ bao phủ không bị kéo xuống ở chuỗi lớn hay đẩy lên ở chuỗi nhỏ chỉ vì khác biệt thang đo. Tuy vậy, độ bao phủ ở nhiều phân đoạn vẫn thấp hơn danh nghĩa, như mục 4.9 phân tích.</w:t>
      </w:r>
    </w:p>
    <w:p>
      <w:pPr>
        <w:keepLines w:val="0"/>
        <w:spacing w:after="120"/>
        <w:ind w:firstLine="567"/>
      </w:pPr>
      <w:r>
        <w:t xml:space="preserve">Từ đó, luận văn rút ra ba hàm ý. Thứ nhất, WAPE tổng nên luôn được trình bày cùng phân rã theo mức nhu cầu hoặc nhóm sản phẩm, vì theo công thức (4.4) nó gần như chỉ phản ánh nhóm lớn. Thứ hai, với các chuỗi nhỏ và thưa, thước đo phần trăm nên được thay hoặc bổ sung bằng sai số chuẩn hóa theo thang (Hyndman và Koehler, 2006), và việc đánh giá phân phối dự báo cho dữ liệu đếm trong bán lẻ cần công cụ riêng (Kolassa, 2016). Thứ ba, ưu tiên rà soát của con người nên dựa trên khối lượng sai số tuyệt đối và độ chệch, không dựa trên WAPE thô: một chuỗi GROCERY I với WAPE khoảng 10% có thể tương ứng với lượng hàng sai lệch lớn hơn cả một nhóm nhỏ có WAPE hàng nghìn phần trăm. Lớp hỗ trợ quyết định phản ánh một phần hàm ý này khi cộng điểm ưu tiên cho chuỗi quy mô lớn (LARGE_SERIES) trong hàng đợi phiếu khuyến nghị (mục 4.12); ngược lại, nhãn rủi ro tồn kho ở mục 4.11 dựa trên độ rộng tương đối của khoảng so với P50 nên vẫn gắn với quy mô theo chiều ngược lại.</w:t>
      </w:r>
    </w:p>
    <w:p>
      <w:pPr>
        <w:pStyle w:val="Heading2"/>
        <w:keepNext/>
      </w:pPr>
      <w:r>
        <w:t xml:space="preserve">4.8. Mức độ quan trọng của đặc trưng</w:t>
      </w:r>
    </w:p>
    <w:p>
      <w:pPr>
        <w:pStyle w:val="Heading3"/>
        <w:keepNext/>
      </w:pPr>
      <w:r>
        <w:t xml:space="preserve">4.8.1. Nguồn, thước đo và phạm vi diễn giải</w:t>
      </w:r>
    </w:p>
    <w:p>
      <w:pPr>
        <w:keepLines w:val="0"/>
        <w:spacing w:after="120"/>
        <w:ind w:firstLine="567"/>
      </w:pPr>
      <w:r>
        <w:t xml:space="preserve">Trước khi đọc thứ hạng đặc trưng, cần xác định chính xác đại lượng được đo. Lần chạy chính thức xuất hai tệp mức độ quan trọng. Tệp selected_model_feature_importance.csv chứa mức độ quan trọng theo lượng giảm hàm mất mát trung bình trên mỗi lần tách (get_score với importance_type = gain) của XGBoost, mô hình được chọn và là mô hình tạo ra mọi dự báo ở các mục trước; tỷ trọng của từng đặc trưng được tính trên tổng gain. Tệp lightgbm_feature_importance.csv chứa số lần mỗi đặc trưng được dùng làm điểm tách (split count) trên toàn bộ các cây của LightGBM, mô hình xếp thứ hai và được giữ làm mô hình đối chứng; tổng số lần tách của 29 đặc trưng là 27.900. Hai mô hình dùng chung 29 đặc trưng: 31 đặc trưng trong danh sách trừ lag_7 và lag_14, vốn chỉ dùng cho Seasonal Naive. Hai góc nhìn vì vậy khác nhau đồng thời về mô hình và thước đo, và luận văn không tách được hai nguồn khác biệt này.</w:t>
      </w:r>
    </w:p>
    <w:p>
      <w:pPr>
        <w:keepLines w:val="0"/>
        <w:spacing w:after="120"/>
        <w:ind w:firstLine="567"/>
      </w:pPr>
      <w:r>
        <w:t xml:space="preserve">Mỗi thước đo có hạn chế đã được biết đến rộng rãi. Số lần tách không phân biệt một lần tách làm giảm mạnh sai số với một lần tách chỉ tinh chỉnh nhỏ ở lá sâu, và ưu ái các đặc trưng có nhiều giá trị phân biệt, vì chúng cung cấp nhiều điểm tách ứng viên và được tái sử dụng ở nhiều độ sâu; biến nhị phân chỉ có một điểm tách khả dĩ nên thường có số đếm thấp dù có thể mang thông tin quan trọng. Với cây phát triển theo lá (leaf-wise) của LightGBM (Ke và cộng sự, 2017), num_leaves = 63 và n_estimators = 450, mỗi cây có nhiều điểm tách, nên số đếm phản ánh tần suất sử dụng. Gain (ở đây là mức giảm hàm mất mát trung bình mỗi khi đặc trưng được dùng để tách) phản ánh độ hữu ích của từng lần tách nhưng không tính đến tần suất sử dụng, nên cũng không phải thước đo đóng góp tổng; ngoài ra, với hàm mục tiêu bình phương sai số, mức giảm này bị chi phối bởi các quan sát có doanh số lớn, và gain có thể phân bổ tùy ý giữa các đặc trưng tương quan cao. Mọi thước đo toàn cục đều mô tả cách mô hình sử dụng thông tin để dự báo, không phải quan hệ nhân quả; sự phân biệt giữa mô hình để dự báo và mô hình để giải thích đã được Shmueli (2010) phân tích kỹ.</w:t>
      </w:r>
    </w:p>
    <w:p>
      <w:pPr>
        <w:pStyle w:val="Heading3"/>
        <w:keepNext/>
      </w:pPr>
      <w:r>
        <w:t xml:space="preserve">4.8.2. Thứ hạng đặc trưng theo hai góc nhìn</w:t>
      </w:r>
    </w:p>
    <w:p>
      <w:pPr>
        <w:keepLines w:val="0"/>
        <w:spacing w:after="120"/>
        <w:ind w:firstLine="567"/>
      </w:pPr>
      <w:r>
        <w:t xml:space="preserve">Bảng 4.10 liệt kê đủ 29 đặc trưng, sắp theo tỷ trọng gain của XGBoost, cùng số lần tách và tỷ trọng số lần tách của LightGBM, thứ hạng theo từng thước đo và nhóm thông tin mà đặc trưng thuộc về. Theo gain, mức độ tập trung rất cao: lag_21 chiếm 36,09% và roll_mean_7 chiếm 34,77% tổng gain, cộng lại 70,86%; thêm lag_28 (9,74%) và lag_56 (6,91%), bốn đặc trưng đầu chiếm 87,51%. Mọi đặc trưng còn lại, kể cả toàn bộ nhóm lịch, ngoại sinh, nhận diện và khuyến mãi, chỉ có tỷ trọng từ 2,00% trở xuống. Theo số lần tách, bức tranh ngược lại là phân tán: oil_price_lag16 dẫn đầu với 2.996 lần (10,74%), tiếp theo là day với 2.746 (9,84%) và weekofyear với 2.461 (8,82%); ba đặc trưng này chiếm 29,40% tổng số lần tách, còn lag_21 chỉ xếp thứ 12 và roll_mean_7 thứ 18.</w:t>
      </w:r>
    </w:p>
    <w:p>
      <w:pPr>
        <w:keepNext/>
        <w:spacing w:before="120" w:after="60"/>
        <w:ind w:firstLine="0"/>
        <w:jc w:val="center"/>
      </w:pPr>
      <w:r>
        <w:t xml:space="preserve">Bảng 4.10. Mức độ quan trọng của 29 đặc trưng: tỷ trọng gain của XGBoost (mô hình được chọn) và số lần tách của LightGBM (mô hình đối chứng)</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896"/>
        <w:gridCol w:w="1493"/>
        <w:gridCol w:w="1493"/>
        <w:gridCol w:w="1194"/>
        <w:gridCol w:w="1335"/>
        <w:gridCol w:w="1463"/>
        <w:gridCol w:w="1197"/>
      </w:tblGrid>
      <w:tr>
        <w:trPr>
          <w:tblHeader/>
          <w:cantSplit/>
        </w:trPr>
        <w:tc>
          <w:tcPr>
            <w:tcW w:type="dxa" w:w="896"/>
            <w:shd w:val="clear" w:color="auto" w:fill="D9E2F3"/>
            <w:vAlign w:val="center"/>
          </w:tcPr>
          <w:p>
            <w:pPr>
              <w:spacing w:before="20" w:after="20" w:line="260" w:lineRule="auto"/>
              <w:ind w:firstLine="0"/>
              <w:jc w:val="center"/>
            </w:pPr>
            <w:r>
              <w:rPr>
                <w:b/>
                <w:sz w:val="20"/>
                <w:szCs w:val="20"/>
              </w:rPr>
              <w:t xml:space="preserve">Hạng gain</w:t>
            </w:r>
          </w:p>
        </w:tc>
        <w:tc>
          <w:tcPr>
            <w:tcW w:type="dxa" w:w="1493"/>
            <w:shd w:val="clear" w:color="auto" w:fill="D9E2F3"/>
            <w:vAlign w:val="center"/>
          </w:tcPr>
          <w:p>
            <w:pPr>
              <w:spacing w:before="20" w:after="20" w:line="260" w:lineRule="auto"/>
              <w:ind w:firstLine="0"/>
              <w:jc w:val="center"/>
            </w:pPr>
            <w:r>
              <w:rPr>
                <w:b/>
                <w:sz w:val="20"/>
                <w:szCs w:val="20"/>
              </w:rPr>
              <w:t xml:space="preserve">Đặc trưng</w:t>
            </w:r>
          </w:p>
        </w:tc>
        <w:tc>
          <w:tcPr>
            <w:tcW w:type="dxa" w:w="1493"/>
            <w:shd w:val="clear" w:color="auto" w:fill="D9E2F3"/>
            <w:vAlign w:val="center"/>
          </w:tcPr>
          <w:p>
            <w:pPr>
              <w:spacing w:before="20" w:after="20" w:line="260" w:lineRule="auto"/>
              <w:ind w:firstLine="0"/>
              <w:jc w:val="center"/>
            </w:pPr>
            <w:r>
              <w:rPr>
                <w:b/>
                <w:sz w:val="20"/>
                <w:szCs w:val="20"/>
              </w:rPr>
              <w:t xml:space="preserve">Nhóm thông tin</w:t>
            </w:r>
          </w:p>
        </w:tc>
        <w:tc>
          <w:tcPr>
            <w:tcW w:type="dxa" w:w="1194"/>
            <w:shd w:val="clear" w:color="auto" w:fill="D9E2F3"/>
            <w:vAlign w:val="center"/>
          </w:tcPr>
          <w:p>
            <w:pPr>
              <w:spacing w:before="20" w:after="20" w:line="260" w:lineRule="auto"/>
              <w:ind w:firstLine="0"/>
              <w:jc w:val="center"/>
            </w:pPr>
            <w:r>
              <w:rPr>
                <w:b/>
                <w:sz w:val="20"/>
                <w:szCs w:val="20"/>
              </w:rPr>
              <w:t xml:space="preserve">Gain XGBoost (%)</w:t>
            </w:r>
          </w:p>
        </w:tc>
        <w:tc>
          <w:tcPr>
            <w:tcW w:type="dxa" w:w="1335"/>
            <w:shd w:val="clear" w:color="auto" w:fill="D9E2F3"/>
            <w:vAlign w:val="center"/>
          </w:tcPr>
          <w:p>
            <w:pPr>
              <w:spacing w:before="20" w:after="20" w:line="260" w:lineRule="auto"/>
              <w:ind w:firstLine="0"/>
              <w:jc w:val="center"/>
            </w:pPr>
            <w:r>
              <w:rPr>
                <w:b/>
                <w:sz w:val="20"/>
                <w:szCs w:val="20"/>
              </w:rPr>
              <w:t xml:space="preserve">Số lần tách LightGBM</w:t>
            </w:r>
          </w:p>
        </w:tc>
        <w:tc>
          <w:tcPr>
            <w:tcW w:type="dxa" w:w="1463"/>
            <w:shd w:val="clear" w:color="auto" w:fill="D9E2F3"/>
            <w:vAlign w:val="center"/>
          </w:tcPr>
          <w:p>
            <w:pPr>
              <w:spacing w:before="20" w:after="20" w:line="260" w:lineRule="auto"/>
              <w:ind w:firstLine="0"/>
              <w:jc w:val="center"/>
            </w:pPr>
            <w:r>
              <w:rPr>
                <w:b/>
                <w:sz w:val="20"/>
                <w:szCs w:val="20"/>
              </w:rPr>
              <w:t xml:space="preserve">Tỷ trọng số lần tách (%)</w:t>
            </w:r>
          </w:p>
        </w:tc>
        <w:tc>
          <w:tcPr>
            <w:tcW w:type="dxa" w:w="1197"/>
            <w:shd w:val="clear" w:color="auto" w:fill="D9E2F3"/>
            <w:vAlign w:val="center"/>
          </w:tcPr>
          <w:p>
            <w:pPr>
              <w:spacing w:before="20" w:after="20" w:line="260" w:lineRule="auto"/>
              <w:ind w:firstLine="0"/>
              <w:jc w:val="center"/>
            </w:pPr>
            <w:r>
              <w:rPr>
                <w:b/>
                <w:sz w:val="20"/>
                <w:szCs w:val="20"/>
              </w:rPr>
              <w:t xml:space="preserve">Hạng số lần tách</w:t>
            </w:r>
          </w:p>
        </w:tc>
      </w:tr>
      <w:tr>
        <w:trPr>
          <w:cantSplit/>
        </w:trPr>
        <w:tc>
          <w:tcPr>
            <w:tcW w:type="dxa" w:w="896"/>
            <w:vAlign w:val="center"/>
          </w:tcPr>
          <w:p>
            <w:pPr>
              <w:spacing w:before="20" w:after="20" w:line="260" w:lineRule="auto"/>
              <w:ind w:firstLine="0"/>
              <w:jc w:val="center"/>
            </w:pPr>
            <w:r>
              <w:rPr>
                <w:sz w:val="20"/>
                <w:szCs w:val="20"/>
              </w:rPr>
              <w:t xml:space="preserve">1</w:t>
            </w:r>
          </w:p>
        </w:tc>
        <w:tc>
          <w:tcPr>
            <w:tcW w:type="dxa" w:w="1493"/>
            <w:vAlign w:val="center"/>
          </w:tcPr>
          <w:p>
            <w:pPr>
              <w:spacing w:before="20" w:after="20" w:line="260" w:lineRule="auto"/>
              <w:ind w:firstLine="0"/>
              <w:jc w:val="left"/>
            </w:pPr>
            <w:r>
              <w:rPr>
                <w:sz w:val="20"/>
                <w:szCs w:val="20"/>
              </w:rPr>
              <w:t xml:space="preserve">lag_21</w:t>
            </w:r>
          </w:p>
        </w:tc>
        <w:tc>
          <w:tcPr>
            <w:tcW w:type="dxa" w:w="1493"/>
            <w:vAlign w:val="center"/>
          </w:tcPr>
          <w:p>
            <w:pPr>
              <w:spacing w:before="20" w:after="20" w:line="260" w:lineRule="auto"/>
              <w:ind w:firstLine="0"/>
              <w:jc w:val="left"/>
            </w:pPr>
            <w:r>
              <w:rPr>
                <w:sz w:val="20"/>
                <w:szCs w:val="20"/>
              </w:rPr>
              <w:t xml:space="preserve">Độ trễ doanh số</w:t>
            </w:r>
          </w:p>
        </w:tc>
        <w:tc>
          <w:tcPr>
            <w:tcW w:type="dxa" w:w="1194"/>
            <w:vAlign w:val="center"/>
          </w:tcPr>
          <w:p>
            <w:pPr>
              <w:spacing w:before="20" w:after="20" w:line="260" w:lineRule="auto"/>
              <w:ind w:firstLine="0"/>
              <w:jc w:val="center"/>
            </w:pPr>
            <w:r>
              <w:rPr>
                <w:sz w:val="20"/>
                <w:szCs w:val="20"/>
              </w:rPr>
              <w:t xml:space="preserve">36,09</w:t>
            </w:r>
          </w:p>
        </w:tc>
        <w:tc>
          <w:tcPr>
            <w:tcW w:type="dxa" w:w="1335"/>
            <w:vAlign w:val="center"/>
          </w:tcPr>
          <w:p>
            <w:pPr>
              <w:spacing w:before="20" w:after="20" w:line="260" w:lineRule="auto"/>
              <w:ind w:firstLine="0"/>
              <w:jc w:val="center"/>
            </w:pPr>
            <w:r>
              <w:rPr>
                <w:sz w:val="20"/>
                <w:szCs w:val="20"/>
              </w:rPr>
              <w:t xml:space="preserve">941</w:t>
            </w:r>
          </w:p>
        </w:tc>
        <w:tc>
          <w:tcPr>
            <w:tcW w:type="dxa" w:w="1463"/>
            <w:vAlign w:val="center"/>
          </w:tcPr>
          <w:p>
            <w:pPr>
              <w:spacing w:before="20" w:after="20" w:line="260" w:lineRule="auto"/>
              <w:ind w:firstLine="0"/>
              <w:jc w:val="center"/>
            </w:pPr>
            <w:r>
              <w:rPr>
                <w:sz w:val="20"/>
                <w:szCs w:val="20"/>
              </w:rPr>
              <w:t xml:space="preserve">3,37</w:t>
            </w:r>
          </w:p>
        </w:tc>
        <w:tc>
          <w:tcPr>
            <w:tcW w:type="dxa" w:w="1197"/>
            <w:vAlign w:val="center"/>
          </w:tcPr>
          <w:p>
            <w:pPr>
              <w:spacing w:before="20" w:after="20" w:line="260" w:lineRule="auto"/>
              <w:ind w:firstLine="0"/>
              <w:jc w:val="center"/>
            </w:pPr>
            <w:r>
              <w:rPr>
                <w:sz w:val="20"/>
                <w:szCs w:val="20"/>
              </w:rPr>
              <w:t xml:space="preserve">12</w:t>
            </w:r>
          </w:p>
        </w:tc>
      </w:tr>
      <w:tr>
        <w:trPr>
          <w:cantSplit/>
        </w:trPr>
        <w:tc>
          <w:tcPr>
            <w:tcW w:type="dxa" w:w="896"/>
            <w:vAlign w:val="center"/>
          </w:tcPr>
          <w:p>
            <w:pPr>
              <w:spacing w:before="20" w:after="20" w:line="260" w:lineRule="auto"/>
              <w:ind w:firstLine="0"/>
              <w:jc w:val="center"/>
            </w:pPr>
            <w:r>
              <w:rPr>
                <w:sz w:val="20"/>
                <w:szCs w:val="20"/>
              </w:rPr>
              <w:t xml:space="preserve">2</w:t>
            </w:r>
          </w:p>
        </w:tc>
        <w:tc>
          <w:tcPr>
            <w:tcW w:type="dxa" w:w="1493"/>
            <w:vAlign w:val="center"/>
          </w:tcPr>
          <w:p>
            <w:pPr>
              <w:spacing w:before="20" w:after="20" w:line="260" w:lineRule="auto"/>
              <w:ind w:firstLine="0"/>
              <w:jc w:val="left"/>
            </w:pPr>
            <w:r>
              <w:rPr>
                <w:sz w:val="20"/>
                <w:szCs w:val="20"/>
              </w:rPr>
              <w:t xml:space="preserve">roll_mean_7</w:t>
            </w:r>
          </w:p>
        </w:tc>
        <w:tc>
          <w:tcPr>
            <w:tcW w:type="dxa" w:w="1493"/>
            <w:vAlign w:val="center"/>
          </w:tcPr>
          <w:p>
            <w:pPr>
              <w:spacing w:before="20" w:after="20" w:line="260" w:lineRule="auto"/>
              <w:ind w:firstLine="0"/>
              <w:jc w:val="left"/>
            </w:pPr>
            <w:r>
              <w:rPr>
                <w:sz w:val="20"/>
                <w:szCs w:val="20"/>
              </w:rPr>
              <w:t xml:space="preserve">Thống kê trượt</w:t>
            </w:r>
          </w:p>
        </w:tc>
        <w:tc>
          <w:tcPr>
            <w:tcW w:type="dxa" w:w="1194"/>
            <w:vAlign w:val="center"/>
          </w:tcPr>
          <w:p>
            <w:pPr>
              <w:spacing w:before="20" w:after="20" w:line="260" w:lineRule="auto"/>
              <w:ind w:firstLine="0"/>
              <w:jc w:val="center"/>
            </w:pPr>
            <w:r>
              <w:rPr>
                <w:sz w:val="20"/>
                <w:szCs w:val="20"/>
              </w:rPr>
              <w:t xml:space="preserve">34,77</w:t>
            </w:r>
          </w:p>
        </w:tc>
        <w:tc>
          <w:tcPr>
            <w:tcW w:type="dxa" w:w="1335"/>
            <w:vAlign w:val="center"/>
          </w:tcPr>
          <w:p>
            <w:pPr>
              <w:spacing w:before="20" w:after="20" w:line="260" w:lineRule="auto"/>
              <w:ind w:firstLine="0"/>
              <w:jc w:val="center"/>
            </w:pPr>
            <w:r>
              <w:rPr>
                <w:sz w:val="20"/>
                <w:szCs w:val="20"/>
              </w:rPr>
              <w:t xml:space="preserve">587</w:t>
            </w:r>
          </w:p>
        </w:tc>
        <w:tc>
          <w:tcPr>
            <w:tcW w:type="dxa" w:w="1463"/>
            <w:vAlign w:val="center"/>
          </w:tcPr>
          <w:p>
            <w:pPr>
              <w:spacing w:before="20" w:after="20" w:line="260" w:lineRule="auto"/>
              <w:ind w:firstLine="0"/>
              <w:jc w:val="center"/>
            </w:pPr>
            <w:r>
              <w:rPr>
                <w:sz w:val="20"/>
                <w:szCs w:val="20"/>
              </w:rPr>
              <w:t xml:space="preserve">2,10</w:t>
            </w:r>
          </w:p>
        </w:tc>
        <w:tc>
          <w:tcPr>
            <w:tcW w:type="dxa" w:w="1197"/>
            <w:vAlign w:val="center"/>
          </w:tcPr>
          <w:p>
            <w:pPr>
              <w:spacing w:before="20" w:after="20" w:line="260" w:lineRule="auto"/>
              <w:ind w:firstLine="0"/>
              <w:jc w:val="center"/>
            </w:pPr>
            <w:r>
              <w:rPr>
                <w:sz w:val="20"/>
                <w:szCs w:val="20"/>
              </w:rPr>
              <w:t xml:space="preserve">18</w:t>
            </w:r>
          </w:p>
        </w:tc>
      </w:tr>
      <w:tr>
        <w:trPr>
          <w:cantSplit/>
        </w:trPr>
        <w:tc>
          <w:tcPr>
            <w:tcW w:type="dxa" w:w="896"/>
            <w:vAlign w:val="center"/>
          </w:tcPr>
          <w:p>
            <w:pPr>
              <w:spacing w:before="20" w:after="20" w:line="260" w:lineRule="auto"/>
              <w:ind w:firstLine="0"/>
              <w:jc w:val="center"/>
            </w:pPr>
            <w:r>
              <w:rPr>
                <w:sz w:val="20"/>
                <w:szCs w:val="20"/>
              </w:rPr>
              <w:t xml:space="preserve">3</w:t>
            </w:r>
          </w:p>
        </w:tc>
        <w:tc>
          <w:tcPr>
            <w:tcW w:type="dxa" w:w="1493"/>
            <w:vAlign w:val="center"/>
          </w:tcPr>
          <w:p>
            <w:pPr>
              <w:spacing w:before="20" w:after="20" w:line="260" w:lineRule="auto"/>
              <w:ind w:firstLine="0"/>
              <w:jc w:val="left"/>
            </w:pPr>
            <w:r>
              <w:rPr>
                <w:sz w:val="20"/>
                <w:szCs w:val="20"/>
              </w:rPr>
              <w:t xml:space="preserve">lag_28</w:t>
            </w:r>
          </w:p>
        </w:tc>
        <w:tc>
          <w:tcPr>
            <w:tcW w:type="dxa" w:w="1493"/>
            <w:vAlign w:val="center"/>
          </w:tcPr>
          <w:p>
            <w:pPr>
              <w:spacing w:before="20" w:after="20" w:line="260" w:lineRule="auto"/>
              <w:ind w:firstLine="0"/>
              <w:jc w:val="left"/>
            </w:pPr>
            <w:r>
              <w:rPr>
                <w:sz w:val="20"/>
                <w:szCs w:val="20"/>
              </w:rPr>
              <w:t xml:space="preserve">Độ trễ doanh số</w:t>
            </w:r>
          </w:p>
        </w:tc>
        <w:tc>
          <w:tcPr>
            <w:tcW w:type="dxa" w:w="1194"/>
            <w:vAlign w:val="center"/>
          </w:tcPr>
          <w:p>
            <w:pPr>
              <w:spacing w:before="20" w:after="20" w:line="260" w:lineRule="auto"/>
              <w:ind w:firstLine="0"/>
              <w:jc w:val="center"/>
            </w:pPr>
            <w:r>
              <w:rPr>
                <w:sz w:val="20"/>
                <w:szCs w:val="20"/>
              </w:rPr>
              <w:t xml:space="preserve">9,74</w:t>
            </w:r>
          </w:p>
        </w:tc>
        <w:tc>
          <w:tcPr>
            <w:tcW w:type="dxa" w:w="1335"/>
            <w:vAlign w:val="center"/>
          </w:tcPr>
          <w:p>
            <w:pPr>
              <w:spacing w:before="20" w:after="20" w:line="260" w:lineRule="auto"/>
              <w:ind w:firstLine="0"/>
              <w:jc w:val="center"/>
            </w:pPr>
            <w:r>
              <w:rPr>
                <w:sz w:val="20"/>
                <w:szCs w:val="20"/>
              </w:rPr>
              <w:t xml:space="preserve">789</w:t>
            </w:r>
          </w:p>
        </w:tc>
        <w:tc>
          <w:tcPr>
            <w:tcW w:type="dxa" w:w="1463"/>
            <w:vAlign w:val="center"/>
          </w:tcPr>
          <w:p>
            <w:pPr>
              <w:spacing w:before="20" w:after="20" w:line="260" w:lineRule="auto"/>
              <w:ind w:firstLine="0"/>
              <w:jc w:val="center"/>
            </w:pPr>
            <w:r>
              <w:rPr>
                <w:sz w:val="20"/>
                <w:szCs w:val="20"/>
              </w:rPr>
              <w:t xml:space="preserve">2,83</w:t>
            </w:r>
          </w:p>
        </w:tc>
        <w:tc>
          <w:tcPr>
            <w:tcW w:type="dxa" w:w="1197"/>
            <w:vAlign w:val="center"/>
          </w:tcPr>
          <w:p>
            <w:pPr>
              <w:spacing w:before="20" w:after="20" w:line="260" w:lineRule="auto"/>
              <w:ind w:firstLine="0"/>
              <w:jc w:val="center"/>
            </w:pPr>
            <w:r>
              <w:rPr>
                <w:sz w:val="20"/>
                <w:szCs w:val="20"/>
              </w:rPr>
              <w:t xml:space="preserve">14</w:t>
            </w:r>
          </w:p>
        </w:tc>
      </w:tr>
      <w:tr>
        <w:trPr>
          <w:cantSplit/>
        </w:trPr>
        <w:tc>
          <w:tcPr>
            <w:tcW w:type="dxa" w:w="896"/>
            <w:vAlign w:val="center"/>
          </w:tcPr>
          <w:p>
            <w:pPr>
              <w:spacing w:before="20" w:after="20" w:line="260" w:lineRule="auto"/>
              <w:ind w:firstLine="0"/>
              <w:jc w:val="center"/>
            </w:pPr>
            <w:r>
              <w:rPr>
                <w:sz w:val="20"/>
                <w:szCs w:val="20"/>
              </w:rPr>
              <w:t xml:space="preserve">4</w:t>
            </w:r>
          </w:p>
        </w:tc>
        <w:tc>
          <w:tcPr>
            <w:tcW w:type="dxa" w:w="1493"/>
            <w:vAlign w:val="center"/>
          </w:tcPr>
          <w:p>
            <w:pPr>
              <w:spacing w:before="20" w:after="20" w:line="260" w:lineRule="auto"/>
              <w:ind w:firstLine="0"/>
              <w:jc w:val="left"/>
            </w:pPr>
            <w:r>
              <w:rPr>
                <w:sz w:val="20"/>
                <w:szCs w:val="20"/>
              </w:rPr>
              <w:t xml:space="preserve">lag_56</w:t>
            </w:r>
          </w:p>
        </w:tc>
        <w:tc>
          <w:tcPr>
            <w:tcW w:type="dxa" w:w="1493"/>
            <w:vAlign w:val="center"/>
          </w:tcPr>
          <w:p>
            <w:pPr>
              <w:spacing w:before="20" w:after="20" w:line="260" w:lineRule="auto"/>
              <w:ind w:firstLine="0"/>
              <w:jc w:val="left"/>
            </w:pPr>
            <w:r>
              <w:rPr>
                <w:sz w:val="20"/>
                <w:szCs w:val="20"/>
              </w:rPr>
              <w:t xml:space="preserve">Độ trễ doanh số</w:t>
            </w:r>
          </w:p>
        </w:tc>
        <w:tc>
          <w:tcPr>
            <w:tcW w:type="dxa" w:w="1194"/>
            <w:vAlign w:val="center"/>
          </w:tcPr>
          <w:p>
            <w:pPr>
              <w:spacing w:before="20" w:after="20" w:line="260" w:lineRule="auto"/>
              <w:ind w:firstLine="0"/>
              <w:jc w:val="center"/>
            </w:pPr>
            <w:r>
              <w:rPr>
                <w:sz w:val="20"/>
                <w:szCs w:val="20"/>
              </w:rPr>
              <w:t xml:space="preserve">6,91</w:t>
            </w:r>
          </w:p>
        </w:tc>
        <w:tc>
          <w:tcPr>
            <w:tcW w:type="dxa" w:w="1335"/>
            <w:vAlign w:val="center"/>
          </w:tcPr>
          <w:p>
            <w:pPr>
              <w:spacing w:before="20" w:after="20" w:line="260" w:lineRule="auto"/>
              <w:ind w:firstLine="0"/>
              <w:jc w:val="center"/>
            </w:pPr>
            <w:r>
              <w:rPr>
                <w:sz w:val="20"/>
                <w:szCs w:val="20"/>
              </w:rPr>
              <w:t xml:space="preserve">1.374</w:t>
            </w:r>
          </w:p>
        </w:tc>
        <w:tc>
          <w:tcPr>
            <w:tcW w:type="dxa" w:w="1463"/>
            <w:vAlign w:val="center"/>
          </w:tcPr>
          <w:p>
            <w:pPr>
              <w:spacing w:before="20" w:after="20" w:line="260" w:lineRule="auto"/>
              <w:ind w:firstLine="0"/>
              <w:jc w:val="center"/>
            </w:pPr>
            <w:r>
              <w:rPr>
                <w:sz w:val="20"/>
                <w:szCs w:val="20"/>
              </w:rPr>
              <w:t xml:space="preserve">4,92</w:t>
            </w:r>
          </w:p>
        </w:tc>
        <w:tc>
          <w:tcPr>
            <w:tcW w:type="dxa" w:w="1197"/>
            <w:vAlign w:val="center"/>
          </w:tcPr>
          <w:p>
            <w:pPr>
              <w:spacing w:before="20" w:after="20" w:line="260" w:lineRule="auto"/>
              <w:ind w:firstLine="0"/>
              <w:jc w:val="center"/>
            </w:pPr>
            <w:r>
              <w:rPr>
                <w:sz w:val="20"/>
                <w:szCs w:val="20"/>
              </w:rPr>
              <w:t xml:space="preserve">6</w:t>
            </w:r>
          </w:p>
        </w:tc>
      </w:tr>
      <w:tr>
        <w:trPr>
          <w:cantSplit/>
        </w:trPr>
        <w:tc>
          <w:tcPr>
            <w:tcW w:type="dxa" w:w="896"/>
            <w:vAlign w:val="center"/>
          </w:tcPr>
          <w:p>
            <w:pPr>
              <w:spacing w:before="20" w:after="20" w:line="260" w:lineRule="auto"/>
              <w:ind w:firstLine="0"/>
              <w:jc w:val="center"/>
            </w:pPr>
            <w:r>
              <w:rPr>
                <w:sz w:val="20"/>
                <w:szCs w:val="20"/>
              </w:rPr>
              <w:t xml:space="preserve">5</w:t>
            </w:r>
          </w:p>
        </w:tc>
        <w:tc>
          <w:tcPr>
            <w:tcW w:type="dxa" w:w="1493"/>
            <w:vAlign w:val="center"/>
          </w:tcPr>
          <w:p>
            <w:pPr>
              <w:spacing w:before="20" w:after="20" w:line="260" w:lineRule="auto"/>
              <w:ind w:firstLine="0"/>
              <w:jc w:val="left"/>
            </w:pPr>
            <w:r>
              <w:rPr>
                <w:sz w:val="20"/>
                <w:szCs w:val="20"/>
              </w:rPr>
              <w:t xml:space="preserve">roll_mean_14</w:t>
            </w:r>
          </w:p>
        </w:tc>
        <w:tc>
          <w:tcPr>
            <w:tcW w:type="dxa" w:w="1493"/>
            <w:vAlign w:val="center"/>
          </w:tcPr>
          <w:p>
            <w:pPr>
              <w:spacing w:before="20" w:after="20" w:line="260" w:lineRule="auto"/>
              <w:ind w:firstLine="0"/>
              <w:jc w:val="left"/>
            </w:pPr>
            <w:r>
              <w:rPr>
                <w:sz w:val="20"/>
                <w:szCs w:val="20"/>
              </w:rPr>
              <w:t xml:space="preserve">Thống kê trượt</w:t>
            </w:r>
          </w:p>
        </w:tc>
        <w:tc>
          <w:tcPr>
            <w:tcW w:type="dxa" w:w="1194"/>
            <w:vAlign w:val="center"/>
          </w:tcPr>
          <w:p>
            <w:pPr>
              <w:spacing w:before="20" w:after="20" w:line="260" w:lineRule="auto"/>
              <w:ind w:firstLine="0"/>
              <w:jc w:val="center"/>
            </w:pPr>
            <w:r>
              <w:rPr>
                <w:sz w:val="20"/>
                <w:szCs w:val="20"/>
              </w:rPr>
              <w:t xml:space="preserve">2,00</w:t>
            </w:r>
          </w:p>
        </w:tc>
        <w:tc>
          <w:tcPr>
            <w:tcW w:type="dxa" w:w="1335"/>
            <w:vAlign w:val="center"/>
          </w:tcPr>
          <w:p>
            <w:pPr>
              <w:spacing w:before="20" w:after="20" w:line="260" w:lineRule="auto"/>
              <w:ind w:firstLine="0"/>
              <w:jc w:val="center"/>
            </w:pPr>
            <w:r>
              <w:rPr>
                <w:sz w:val="20"/>
                <w:szCs w:val="20"/>
              </w:rPr>
              <w:t xml:space="preserve">325</w:t>
            </w:r>
          </w:p>
        </w:tc>
        <w:tc>
          <w:tcPr>
            <w:tcW w:type="dxa" w:w="1463"/>
            <w:vAlign w:val="center"/>
          </w:tcPr>
          <w:p>
            <w:pPr>
              <w:spacing w:before="20" w:after="20" w:line="260" w:lineRule="auto"/>
              <w:ind w:firstLine="0"/>
              <w:jc w:val="center"/>
            </w:pPr>
            <w:r>
              <w:rPr>
                <w:sz w:val="20"/>
                <w:szCs w:val="20"/>
              </w:rPr>
              <w:t xml:space="preserve">1,16</w:t>
            </w:r>
          </w:p>
        </w:tc>
        <w:tc>
          <w:tcPr>
            <w:tcW w:type="dxa" w:w="1197"/>
            <w:vAlign w:val="center"/>
          </w:tcPr>
          <w:p>
            <w:pPr>
              <w:spacing w:before="20" w:after="20" w:line="260" w:lineRule="auto"/>
              <w:ind w:firstLine="0"/>
              <w:jc w:val="center"/>
            </w:pPr>
            <w:r>
              <w:rPr>
                <w:sz w:val="20"/>
                <w:szCs w:val="20"/>
              </w:rPr>
              <w:t xml:space="preserve">25</w:t>
            </w:r>
          </w:p>
        </w:tc>
      </w:tr>
      <w:tr>
        <w:trPr>
          <w:cantSplit/>
        </w:trPr>
        <w:tc>
          <w:tcPr>
            <w:tcW w:type="dxa" w:w="896"/>
            <w:vAlign w:val="center"/>
          </w:tcPr>
          <w:p>
            <w:pPr>
              <w:spacing w:before="20" w:after="20" w:line="260" w:lineRule="auto"/>
              <w:ind w:firstLine="0"/>
              <w:jc w:val="center"/>
            </w:pPr>
            <w:r>
              <w:rPr>
                <w:sz w:val="20"/>
                <w:szCs w:val="20"/>
              </w:rPr>
              <w:t xml:space="preserve">6</w:t>
            </w:r>
          </w:p>
        </w:tc>
        <w:tc>
          <w:tcPr>
            <w:tcW w:type="dxa" w:w="1493"/>
            <w:vAlign w:val="center"/>
          </w:tcPr>
          <w:p>
            <w:pPr>
              <w:spacing w:before="20" w:after="20" w:line="260" w:lineRule="auto"/>
              <w:ind w:firstLine="0"/>
              <w:jc w:val="left"/>
            </w:pPr>
            <w:r>
              <w:rPr>
                <w:sz w:val="20"/>
                <w:szCs w:val="20"/>
              </w:rPr>
              <w:t xml:space="preserve">roll_mean_28</w:t>
            </w:r>
          </w:p>
        </w:tc>
        <w:tc>
          <w:tcPr>
            <w:tcW w:type="dxa" w:w="1493"/>
            <w:vAlign w:val="center"/>
          </w:tcPr>
          <w:p>
            <w:pPr>
              <w:spacing w:before="20" w:after="20" w:line="260" w:lineRule="auto"/>
              <w:ind w:firstLine="0"/>
              <w:jc w:val="left"/>
            </w:pPr>
            <w:r>
              <w:rPr>
                <w:sz w:val="20"/>
                <w:szCs w:val="20"/>
              </w:rPr>
              <w:t xml:space="preserve">Thống kê trượt</w:t>
            </w:r>
          </w:p>
        </w:tc>
        <w:tc>
          <w:tcPr>
            <w:tcW w:type="dxa" w:w="1194"/>
            <w:vAlign w:val="center"/>
          </w:tcPr>
          <w:p>
            <w:pPr>
              <w:spacing w:before="20" w:after="20" w:line="260" w:lineRule="auto"/>
              <w:ind w:firstLine="0"/>
              <w:jc w:val="center"/>
            </w:pPr>
            <w:r>
              <w:rPr>
                <w:sz w:val="20"/>
                <w:szCs w:val="20"/>
              </w:rPr>
              <w:t xml:space="preserve">1,62</w:t>
            </w:r>
          </w:p>
        </w:tc>
        <w:tc>
          <w:tcPr>
            <w:tcW w:type="dxa" w:w="1335"/>
            <w:vAlign w:val="center"/>
          </w:tcPr>
          <w:p>
            <w:pPr>
              <w:spacing w:before="20" w:after="20" w:line="260" w:lineRule="auto"/>
              <w:ind w:firstLine="0"/>
              <w:jc w:val="center"/>
            </w:pPr>
            <w:r>
              <w:rPr>
                <w:sz w:val="20"/>
                <w:szCs w:val="20"/>
              </w:rPr>
              <w:t xml:space="preserve">419</w:t>
            </w:r>
          </w:p>
        </w:tc>
        <w:tc>
          <w:tcPr>
            <w:tcW w:type="dxa" w:w="1463"/>
            <w:vAlign w:val="center"/>
          </w:tcPr>
          <w:p>
            <w:pPr>
              <w:spacing w:before="20" w:after="20" w:line="260" w:lineRule="auto"/>
              <w:ind w:firstLine="0"/>
              <w:jc w:val="center"/>
            </w:pPr>
            <w:r>
              <w:rPr>
                <w:sz w:val="20"/>
                <w:szCs w:val="20"/>
              </w:rPr>
              <w:t xml:space="preserve">1,50</w:t>
            </w:r>
          </w:p>
        </w:tc>
        <w:tc>
          <w:tcPr>
            <w:tcW w:type="dxa" w:w="1197"/>
            <w:vAlign w:val="center"/>
          </w:tcPr>
          <w:p>
            <w:pPr>
              <w:spacing w:before="20" w:after="20" w:line="260" w:lineRule="auto"/>
              <w:ind w:firstLine="0"/>
              <w:jc w:val="center"/>
            </w:pPr>
            <w:r>
              <w:rPr>
                <w:sz w:val="20"/>
                <w:szCs w:val="20"/>
              </w:rPr>
              <w:t xml:space="preserve">24</w:t>
            </w:r>
          </w:p>
        </w:tc>
      </w:tr>
      <w:tr>
        <w:trPr>
          <w:cantSplit/>
        </w:trPr>
        <w:tc>
          <w:tcPr>
            <w:tcW w:type="dxa" w:w="896"/>
            <w:vAlign w:val="center"/>
          </w:tcPr>
          <w:p>
            <w:pPr>
              <w:spacing w:before="20" w:after="20" w:line="260" w:lineRule="auto"/>
              <w:ind w:firstLine="0"/>
              <w:jc w:val="center"/>
            </w:pPr>
            <w:r>
              <w:rPr>
                <w:sz w:val="20"/>
                <w:szCs w:val="20"/>
              </w:rPr>
              <w:t xml:space="preserve">7</w:t>
            </w:r>
          </w:p>
        </w:tc>
        <w:tc>
          <w:tcPr>
            <w:tcW w:type="dxa" w:w="1493"/>
            <w:vAlign w:val="center"/>
          </w:tcPr>
          <w:p>
            <w:pPr>
              <w:spacing w:before="20" w:after="20" w:line="260" w:lineRule="auto"/>
              <w:ind w:firstLine="0"/>
              <w:jc w:val="left"/>
            </w:pPr>
            <w:r>
              <w:rPr>
                <w:sz w:val="20"/>
                <w:szCs w:val="20"/>
              </w:rPr>
              <w:t xml:space="preserve">lag_42</w:t>
            </w:r>
          </w:p>
        </w:tc>
        <w:tc>
          <w:tcPr>
            <w:tcW w:type="dxa" w:w="1493"/>
            <w:vAlign w:val="center"/>
          </w:tcPr>
          <w:p>
            <w:pPr>
              <w:spacing w:before="20" w:after="20" w:line="260" w:lineRule="auto"/>
              <w:ind w:firstLine="0"/>
              <w:jc w:val="left"/>
            </w:pPr>
            <w:r>
              <w:rPr>
                <w:sz w:val="20"/>
                <w:szCs w:val="20"/>
              </w:rPr>
              <w:t xml:space="preserve">Độ trễ doanh số</w:t>
            </w:r>
          </w:p>
        </w:tc>
        <w:tc>
          <w:tcPr>
            <w:tcW w:type="dxa" w:w="1194"/>
            <w:vAlign w:val="center"/>
          </w:tcPr>
          <w:p>
            <w:pPr>
              <w:spacing w:before="20" w:after="20" w:line="260" w:lineRule="auto"/>
              <w:ind w:firstLine="0"/>
              <w:jc w:val="center"/>
            </w:pPr>
            <w:r>
              <w:rPr>
                <w:sz w:val="20"/>
                <w:szCs w:val="20"/>
              </w:rPr>
              <w:t xml:space="preserve">1,45</w:t>
            </w:r>
          </w:p>
        </w:tc>
        <w:tc>
          <w:tcPr>
            <w:tcW w:type="dxa" w:w="1335"/>
            <w:vAlign w:val="center"/>
          </w:tcPr>
          <w:p>
            <w:pPr>
              <w:spacing w:before="20" w:after="20" w:line="260" w:lineRule="auto"/>
              <w:ind w:firstLine="0"/>
              <w:jc w:val="center"/>
            </w:pPr>
            <w:r>
              <w:rPr>
                <w:sz w:val="20"/>
                <w:szCs w:val="20"/>
              </w:rPr>
              <w:t xml:space="preserve">721</w:t>
            </w:r>
          </w:p>
        </w:tc>
        <w:tc>
          <w:tcPr>
            <w:tcW w:type="dxa" w:w="1463"/>
            <w:vAlign w:val="center"/>
          </w:tcPr>
          <w:p>
            <w:pPr>
              <w:spacing w:before="20" w:after="20" w:line="260" w:lineRule="auto"/>
              <w:ind w:firstLine="0"/>
              <w:jc w:val="center"/>
            </w:pPr>
            <w:r>
              <w:rPr>
                <w:sz w:val="20"/>
                <w:szCs w:val="20"/>
              </w:rPr>
              <w:t xml:space="preserve">2,58</w:t>
            </w:r>
          </w:p>
        </w:tc>
        <w:tc>
          <w:tcPr>
            <w:tcW w:type="dxa" w:w="1197"/>
            <w:vAlign w:val="center"/>
          </w:tcPr>
          <w:p>
            <w:pPr>
              <w:spacing w:before="20" w:after="20" w:line="260" w:lineRule="auto"/>
              <w:ind w:firstLine="0"/>
              <w:jc w:val="center"/>
            </w:pPr>
            <w:r>
              <w:rPr>
                <w:sz w:val="20"/>
                <w:szCs w:val="20"/>
              </w:rPr>
              <w:t xml:space="preserve">15</w:t>
            </w:r>
          </w:p>
        </w:tc>
      </w:tr>
      <w:tr>
        <w:trPr>
          <w:cantSplit/>
        </w:trPr>
        <w:tc>
          <w:tcPr>
            <w:tcW w:type="dxa" w:w="896"/>
            <w:vAlign w:val="center"/>
          </w:tcPr>
          <w:p>
            <w:pPr>
              <w:spacing w:before="20" w:after="20" w:line="260" w:lineRule="auto"/>
              <w:ind w:firstLine="0"/>
              <w:jc w:val="center"/>
            </w:pPr>
            <w:r>
              <w:rPr>
                <w:sz w:val="20"/>
                <w:szCs w:val="20"/>
              </w:rPr>
              <w:t xml:space="preserve">8</w:t>
            </w:r>
          </w:p>
        </w:tc>
        <w:tc>
          <w:tcPr>
            <w:tcW w:type="dxa" w:w="1493"/>
            <w:vAlign w:val="center"/>
          </w:tcPr>
          <w:p>
            <w:pPr>
              <w:spacing w:before="20" w:after="20" w:line="260" w:lineRule="auto"/>
              <w:ind w:firstLine="0"/>
              <w:jc w:val="left"/>
            </w:pPr>
            <w:r>
              <w:rPr>
                <w:sz w:val="20"/>
                <w:szCs w:val="20"/>
              </w:rPr>
              <w:t xml:space="preserve">lag_35</w:t>
            </w:r>
          </w:p>
        </w:tc>
        <w:tc>
          <w:tcPr>
            <w:tcW w:type="dxa" w:w="1493"/>
            <w:vAlign w:val="center"/>
          </w:tcPr>
          <w:p>
            <w:pPr>
              <w:spacing w:before="20" w:after="20" w:line="260" w:lineRule="auto"/>
              <w:ind w:firstLine="0"/>
              <w:jc w:val="left"/>
            </w:pPr>
            <w:r>
              <w:rPr>
                <w:sz w:val="20"/>
                <w:szCs w:val="20"/>
              </w:rPr>
              <w:t xml:space="preserve">Độ trễ doanh số</w:t>
            </w:r>
          </w:p>
        </w:tc>
        <w:tc>
          <w:tcPr>
            <w:tcW w:type="dxa" w:w="1194"/>
            <w:vAlign w:val="center"/>
          </w:tcPr>
          <w:p>
            <w:pPr>
              <w:spacing w:before="20" w:after="20" w:line="260" w:lineRule="auto"/>
              <w:ind w:firstLine="0"/>
              <w:jc w:val="center"/>
            </w:pPr>
            <w:r>
              <w:rPr>
                <w:sz w:val="20"/>
                <w:szCs w:val="20"/>
              </w:rPr>
              <w:t xml:space="preserve">1,02</w:t>
            </w:r>
          </w:p>
        </w:tc>
        <w:tc>
          <w:tcPr>
            <w:tcW w:type="dxa" w:w="1335"/>
            <w:vAlign w:val="center"/>
          </w:tcPr>
          <w:p>
            <w:pPr>
              <w:spacing w:before="20" w:after="20" w:line="260" w:lineRule="auto"/>
              <w:ind w:firstLine="0"/>
              <w:jc w:val="center"/>
            </w:pPr>
            <w:r>
              <w:rPr>
                <w:sz w:val="20"/>
                <w:szCs w:val="20"/>
              </w:rPr>
              <w:t xml:space="preserve">667</w:t>
            </w:r>
          </w:p>
        </w:tc>
        <w:tc>
          <w:tcPr>
            <w:tcW w:type="dxa" w:w="1463"/>
            <w:vAlign w:val="center"/>
          </w:tcPr>
          <w:p>
            <w:pPr>
              <w:spacing w:before="20" w:after="20" w:line="260" w:lineRule="auto"/>
              <w:ind w:firstLine="0"/>
              <w:jc w:val="center"/>
            </w:pPr>
            <w:r>
              <w:rPr>
                <w:sz w:val="20"/>
                <w:szCs w:val="20"/>
              </w:rPr>
              <w:t xml:space="preserve">2,39</w:t>
            </w:r>
          </w:p>
        </w:tc>
        <w:tc>
          <w:tcPr>
            <w:tcW w:type="dxa" w:w="1197"/>
            <w:vAlign w:val="center"/>
          </w:tcPr>
          <w:p>
            <w:pPr>
              <w:spacing w:before="20" w:after="20" w:line="260" w:lineRule="auto"/>
              <w:ind w:firstLine="0"/>
              <w:jc w:val="center"/>
            </w:pPr>
            <w:r>
              <w:rPr>
                <w:sz w:val="20"/>
                <w:szCs w:val="20"/>
              </w:rPr>
              <w:t xml:space="preserve">17</w:t>
            </w:r>
          </w:p>
        </w:tc>
      </w:tr>
      <w:tr>
        <w:trPr>
          <w:cantSplit/>
        </w:trPr>
        <w:tc>
          <w:tcPr>
            <w:tcW w:type="dxa" w:w="896"/>
            <w:vAlign w:val="center"/>
          </w:tcPr>
          <w:p>
            <w:pPr>
              <w:spacing w:before="20" w:after="20" w:line="260" w:lineRule="auto"/>
              <w:ind w:firstLine="0"/>
              <w:jc w:val="center"/>
            </w:pPr>
            <w:r>
              <w:rPr>
                <w:sz w:val="20"/>
                <w:szCs w:val="20"/>
              </w:rPr>
              <w:t xml:space="preserve">9</w:t>
            </w:r>
          </w:p>
        </w:tc>
        <w:tc>
          <w:tcPr>
            <w:tcW w:type="dxa" w:w="1493"/>
            <w:vAlign w:val="center"/>
          </w:tcPr>
          <w:p>
            <w:pPr>
              <w:spacing w:before="20" w:after="20" w:line="260" w:lineRule="auto"/>
              <w:ind w:firstLine="0"/>
              <w:jc w:val="left"/>
            </w:pPr>
            <w:r>
              <w:rPr>
                <w:sz w:val="20"/>
                <w:szCs w:val="20"/>
              </w:rPr>
              <w:t xml:space="preserve">is_weekend</w:t>
            </w:r>
          </w:p>
        </w:tc>
        <w:tc>
          <w:tcPr>
            <w:tcW w:type="dxa" w:w="1493"/>
            <w:vAlign w:val="center"/>
          </w:tcPr>
          <w:p>
            <w:pPr>
              <w:spacing w:before="20" w:after="20" w:line="260" w:lineRule="auto"/>
              <w:ind w:firstLine="0"/>
              <w:jc w:val="left"/>
            </w:pPr>
            <w:r>
              <w:rPr>
                <w:sz w:val="20"/>
                <w:szCs w:val="20"/>
              </w:rPr>
              <w:t xml:space="preserve">Lịch</w:t>
            </w:r>
          </w:p>
        </w:tc>
        <w:tc>
          <w:tcPr>
            <w:tcW w:type="dxa" w:w="1194"/>
            <w:vAlign w:val="center"/>
          </w:tcPr>
          <w:p>
            <w:pPr>
              <w:spacing w:before="20" w:after="20" w:line="260" w:lineRule="auto"/>
              <w:ind w:firstLine="0"/>
              <w:jc w:val="center"/>
            </w:pPr>
            <w:r>
              <w:rPr>
                <w:sz w:val="20"/>
                <w:szCs w:val="20"/>
              </w:rPr>
              <w:t xml:space="preserve">0,61</w:t>
            </w:r>
          </w:p>
        </w:tc>
        <w:tc>
          <w:tcPr>
            <w:tcW w:type="dxa" w:w="1335"/>
            <w:vAlign w:val="center"/>
          </w:tcPr>
          <w:p>
            <w:pPr>
              <w:spacing w:before="20" w:after="20" w:line="260" w:lineRule="auto"/>
              <w:ind w:firstLine="0"/>
              <w:jc w:val="center"/>
            </w:pPr>
            <w:r>
              <w:rPr>
                <w:sz w:val="20"/>
                <w:szCs w:val="20"/>
              </w:rPr>
              <w:t xml:space="preserve">97</w:t>
            </w:r>
          </w:p>
        </w:tc>
        <w:tc>
          <w:tcPr>
            <w:tcW w:type="dxa" w:w="1463"/>
            <w:vAlign w:val="center"/>
          </w:tcPr>
          <w:p>
            <w:pPr>
              <w:spacing w:before="20" w:after="20" w:line="260" w:lineRule="auto"/>
              <w:ind w:firstLine="0"/>
              <w:jc w:val="center"/>
            </w:pPr>
            <w:r>
              <w:rPr>
                <w:sz w:val="20"/>
                <w:szCs w:val="20"/>
              </w:rPr>
              <w:t xml:space="preserve">0,35</w:t>
            </w:r>
          </w:p>
        </w:tc>
        <w:tc>
          <w:tcPr>
            <w:tcW w:type="dxa" w:w="1197"/>
            <w:vAlign w:val="center"/>
          </w:tcPr>
          <w:p>
            <w:pPr>
              <w:spacing w:before="20" w:after="20" w:line="260" w:lineRule="auto"/>
              <w:ind w:firstLine="0"/>
              <w:jc w:val="center"/>
            </w:pPr>
            <w:r>
              <w:rPr>
                <w:sz w:val="20"/>
                <w:szCs w:val="20"/>
              </w:rPr>
              <w:t xml:space="preserve">29</w:t>
            </w:r>
          </w:p>
        </w:tc>
      </w:tr>
      <w:tr>
        <w:trPr>
          <w:cantSplit/>
        </w:trPr>
        <w:tc>
          <w:tcPr>
            <w:tcW w:type="dxa" w:w="896"/>
            <w:vAlign w:val="center"/>
          </w:tcPr>
          <w:p>
            <w:pPr>
              <w:spacing w:before="20" w:after="20" w:line="260" w:lineRule="auto"/>
              <w:ind w:firstLine="0"/>
              <w:jc w:val="center"/>
            </w:pPr>
            <w:r>
              <w:rPr>
                <w:sz w:val="20"/>
                <w:szCs w:val="20"/>
              </w:rPr>
              <w:t xml:space="preserve">10</w:t>
            </w:r>
          </w:p>
        </w:tc>
        <w:tc>
          <w:tcPr>
            <w:tcW w:type="dxa" w:w="1493"/>
            <w:vAlign w:val="center"/>
          </w:tcPr>
          <w:p>
            <w:pPr>
              <w:spacing w:before="20" w:after="20" w:line="260" w:lineRule="auto"/>
              <w:ind w:firstLine="0"/>
              <w:jc w:val="left"/>
            </w:pPr>
            <w:r>
              <w:rPr>
                <w:sz w:val="20"/>
                <w:szCs w:val="20"/>
              </w:rPr>
              <w:t xml:space="preserve">month</w:t>
            </w:r>
          </w:p>
        </w:tc>
        <w:tc>
          <w:tcPr>
            <w:tcW w:type="dxa" w:w="1493"/>
            <w:vAlign w:val="center"/>
          </w:tcPr>
          <w:p>
            <w:pPr>
              <w:spacing w:before="20" w:after="20" w:line="260" w:lineRule="auto"/>
              <w:ind w:firstLine="0"/>
              <w:jc w:val="left"/>
            </w:pPr>
            <w:r>
              <w:rPr>
                <w:sz w:val="20"/>
                <w:szCs w:val="20"/>
              </w:rPr>
              <w:t xml:space="preserve">Lịch</w:t>
            </w:r>
          </w:p>
        </w:tc>
        <w:tc>
          <w:tcPr>
            <w:tcW w:type="dxa" w:w="1194"/>
            <w:vAlign w:val="center"/>
          </w:tcPr>
          <w:p>
            <w:pPr>
              <w:spacing w:before="20" w:after="20" w:line="260" w:lineRule="auto"/>
              <w:ind w:firstLine="0"/>
              <w:jc w:val="center"/>
            </w:pPr>
            <w:r>
              <w:rPr>
                <w:sz w:val="20"/>
                <w:szCs w:val="20"/>
              </w:rPr>
              <w:t xml:space="preserve">0,58</w:t>
            </w:r>
          </w:p>
        </w:tc>
        <w:tc>
          <w:tcPr>
            <w:tcW w:type="dxa" w:w="1335"/>
            <w:vAlign w:val="center"/>
          </w:tcPr>
          <w:p>
            <w:pPr>
              <w:spacing w:before="20" w:after="20" w:line="260" w:lineRule="auto"/>
              <w:ind w:firstLine="0"/>
              <w:jc w:val="center"/>
            </w:pPr>
            <w:r>
              <w:rPr>
                <w:sz w:val="20"/>
                <w:szCs w:val="20"/>
              </w:rPr>
              <w:t xml:space="preserve">1.609</w:t>
            </w:r>
          </w:p>
        </w:tc>
        <w:tc>
          <w:tcPr>
            <w:tcW w:type="dxa" w:w="1463"/>
            <w:vAlign w:val="center"/>
          </w:tcPr>
          <w:p>
            <w:pPr>
              <w:spacing w:before="20" w:after="20" w:line="260" w:lineRule="auto"/>
              <w:ind w:firstLine="0"/>
              <w:jc w:val="center"/>
            </w:pPr>
            <w:r>
              <w:rPr>
                <w:sz w:val="20"/>
                <w:szCs w:val="20"/>
              </w:rPr>
              <w:t xml:space="preserve">5,77</w:t>
            </w:r>
          </w:p>
        </w:tc>
        <w:tc>
          <w:tcPr>
            <w:tcW w:type="dxa" w:w="1197"/>
            <w:vAlign w:val="center"/>
          </w:tcPr>
          <w:p>
            <w:pPr>
              <w:spacing w:before="20" w:after="20" w:line="260" w:lineRule="auto"/>
              <w:ind w:firstLine="0"/>
              <w:jc w:val="center"/>
            </w:pPr>
            <w:r>
              <w:rPr>
                <w:sz w:val="20"/>
                <w:szCs w:val="20"/>
              </w:rPr>
              <w:t xml:space="preserve">5</w:t>
            </w:r>
          </w:p>
        </w:tc>
      </w:tr>
      <w:tr>
        <w:trPr>
          <w:cantSplit/>
        </w:trPr>
        <w:tc>
          <w:tcPr>
            <w:tcW w:type="dxa" w:w="896"/>
            <w:vAlign w:val="center"/>
          </w:tcPr>
          <w:p>
            <w:pPr>
              <w:spacing w:before="20" w:after="20" w:line="260" w:lineRule="auto"/>
              <w:ind w:firstLine="0"/>
              <w:jc w:val="center"/>
            </w:pPr>
            <w:r>
              <w:rPr>
                <w:sz w:val="20"/>
                <w:szCs w:val="20"/>
              </w:rPr>
              <w:t xml:space="preserve">11</w:t>
            </w:r>
          </w:p>
        </w:tc>
        <w:tc>
          <w:tcPr>
            <w:tcW w:type="dxa" w:w="1493"/>
            <w:vAlign w:val="center"/>
          </w:tcPr>
          <w:p>
            <w:pPr>
              <w:spacing w:before="20" w:after="20" w:line="260" w:lineRule="auto"/>
              <w:ind w:firstLine="0"/>
              <w:jc w:val="left"/>
            </w:pPr>
            <w:r>
              <w:rPr>
                <w:sz w:val="20"/>
                <w:szCs w:val="20"/>
              </w:rPr>
              <w:t xml:space="preserve">lag_16</w:t>
            </w:r>
          </w:p>
        </w:tc>
        <w:tc>
          <w:tcPr>
            <w:tcW w:type="dxa" w:w="1493"/>
            <w:vAlign w:val="center"/>
          </w:tcPr>
          <w:p>
            <w:pPr>
              <w:spacing w:before="20" w:after="20" w:line="260" w:lineRule="auto"/>
              <w:ind w:firstLine="0"/>
              <w:jc w:val="left"/>
            </w:pPr>
            <w:r>
              <w:rPr>
                <w:sz w:val="20"/>
                <w:szCs w:val="20"/>
              </w:rPr>
              <w:t xml:space="preserve">Độ trễ doanh số</w:t>
            </w:r>
          </w:p>
        </w:tc>
        <w:tc>
          <w:tcPr>
            <w:tcW w:type="dxa" w:w="1194"/>
            <w:vAlign w:val="center"/>
          </w:tcPr>
          <w:p>
            <w:pPr>
              <w:spacing w:before="20" w:after="20" w:line="260" w:lineRule="auto"/>
              <w:ind w:firstLine="0"/>
              <w:jc w:val="center"/>
            </w:pPr>
            <w:r>
              <w:rPr>
                <w:sz w:val="20"/>
                <w:szCs w:val="20"/>
              </w:rPr>
              <w:t xml:space="preserve">0,53</w:t>
            </w:r>
          </w:p>
        </w:tc>
        <w:tc>
          <w:tcPr>
            <w:tcW w:type="dxa" w:w="1335"/>
            <w:vAlign w:val="center"/>
          </w:tcPr>
          <w:p>
            <w:pPr>
              <w:spacing w:before="20" w:after="20" w:line="260" w:lineRule="auto"/>
              <w:ind w:firstLine="0"/>
              <w:jc w:val="center"/>
            </w:pPr>
            <w:r>
              <w:rPr>
                <w:sz w:val="20"/>
                <w:szCs w:val="20"/>
              </w:rPr>
              <w:t xml:space="preserve">831</w:t>
            </w:r>
          </w:p>
        </w:tc>
        <w:tc>
          <w:tcPr>
            <w:tcW w:type="dxa" w:w="1463"/>
            <w:vAlign w:val="center"/>
          </w:tcPr>
          <w:p>
            <w:pPr>
              <w:spacing w:before="20" w:after="20" w:line="260" w:lineRule="auto"/>
              <w:ind w:firstLine="0"/>
              <w:jc w:val="center"/>
            </w:pPr>
            <w:r>
              <w:rPr>
                <w:sz w:val="20"/>
                <w:szCs w:val="20"/>
              </w:rPr>
              <w:t xml:space="preserve">2,98</w:t>
            </w:r>
          </w:p>
        </w:tc>
        <w:tc>
          <w:tcPr>
            <w:tcW w:type="dxa" w:w="1197"/>
            <w:vAlign w:val="center"/>
          </w:tcPr>
          <w:p>
            <w:pPr>
              <w:spacing w:before="20" w:after="20" w:line="260" w:lineRule="auto"/>
              <w:ind w:firstLine="0"/>
              <w:jc w:val="center"/>
            </w:pPr>
            <w:r>
              <w:rPr>
                <w:sz w:val="20"/>
                <w:szCs w:val="20"/>
              </w:rPr>
              <w:t xml:space="preserve">13</w:t>
            </w:r>
          </w:p>
        </w:tc>
      </w:tr>
      <w:tr>
        <w:trPr>
          <w:cantSplit/>
        </w:trPr>
        <w:tc>
          <w:tcPr>
            <w:tcW w:type="dxa" w:w="896"/>
            <w:vAlign w:val="center"/>
          </w:tcPr>
          <w:p>
            <w:pPr>
              <w:spacing w:before="20" w:after="20" w:line="260" w:lineRule="auto"/>
              <w:ind w:firstLine="0"/>
              <w:jc w:val="center"/>
            </w:pPr>
            <w:r>
              <w:rPr>
                <w:sz w:val="20"/>
                <w:szCs w:val="20"/>
              </w:rPr>
              <w:t xml:space="preserve">12</w:t>
            </w:r>
          </w:p>
        </w:tc>
        <w:tc>
          <w:tcPr>
            <w:tcW w:type="dxa" w:w="1493"/>
            <w:vAlign w:val="center"/>
          </w:tcPr>
          <w:p>
            <w:pPr>
              <w:spacing w:before="20" w:after="20" w:line="260" w:lineRule="auto"/>
              <w:ind w:firstLine="0"/>
              <w:jc w:val="left"/>
            </w:pPr>
            <w:r>
              <w:rPr>
                <w:sz w:val="20"/>
                <w:szCs w:val="20"/>
              </w:rPr>
              <w:t xml:space="preserve">is_national_holiday</w:t>
            </w:r>
          </w:p>
        </w:tc>
        <w:tc>
          <w:tcPr>
            <w:tcW w:type="dxa" w:w="1493"/>
            <w:vAlign w:val="center"/>
          </w:tcPr>
          <w:p>
            <w:pPr>
              <w:spacing w:before="20" w:after="20" w:line="260" w:lineRule="auto"/>
              <w:ind w:firstLine="0"/>
              <w:jc w:val="left"/>
            </w:pPr>
            <w:r>
              <w:rPr>
                <w:sz w:val="20"/>
                <w:szCs w:val="20"/>
              </w:rPr>
              <w:t xml:space="preserve">Lịch</w:t>
            </w:r>
          </w:p>
        </w:tc>
        <w:tc>
          <w:tcPr>
            <w:tcW w:type="dxa" w:w="1194"/>
            <w:vAlign w:val="center"/>
          </w:tcPr>
          <w:p>
            <w:pPr>
              <w:spacing w:before="20" w:after="20" w:line="260" w:lineRule="auto"/>
              <w:ind w:firstLine="0"/>
              <w:jc w:val="center"/>
            </w:pPr>
            <w:r>
              <w:rPr>
                <w:sz w:val="20"/>
                <w:szCs w:val="20"/>
              </w:rPr>
              <w:t xml:space="preserve">0,43</w:t>
            </w:r>
          </w:p>
        </w:tc>
        <w:tc>
          <w:tcPr>
            <w:tcW w:type="dxa" w:w="1335"/>
            <w:vAlign w:val="center"/>
          </w:tcPr>
          <w:p>
            <w:pPr>
              <w:spacing w:before="20" w:after="20" w:line="260" w:lineRule="auto"/>
              <w:ind w:firstLine="0"/>
              <w:jc w:val="center"/>
            </w:pPr>
            <w:r>
              <w:rPr>
                <w:sz w:val="20"/>
                <w:szCs w:val="20"/>
              </w:rPr>
              <w:t xml:space="preserve">552</w:t>
            </w:r>
          </w:p>
        </w:tc>
        <w:tc>
          <w:tcPr>
            <w:tcW w:type="dxa" w:w="1463"/>
            <w:vAlign w:val="center"/>
          </w:tcPr>
          <w:p>
            <w:pPr>
              <w:spacing w:before="20" w:after="20" w:line="260" w:lineRule="auto"/>
              <w:ind w:firstLine="0"/>
              <w:jc w:val="center"/>
            </w:pPr>
            <w:r>
              <w:rPr>
                <w:sz w:val="20"/>
                <w:szCs w:val="20"/>
              </w:rPr>
              <w:t xml:space="preserve">1,98</w:t>
            </w:r>
          </w:p>
        </w:tc>
        <w:tc>
          <w:tcPr>
            <w:tcW w:type="dxa" w:w="1197"/>
            <w:vAlign w:val="center"/>
          </w:tcPr>
          <w:p>
            <w:pPr>
              <w:spacing w:before="20" w:after="20" w:line="260" w:lineRule="auto"/>
              <w:ind w:firstLine="0"/>
              <w:jc w:val="center"/>
            </w:pPr>
            <w:r>
              <w:rPr>
                <w:sz w:val="20"/>
                <w:szCs w:val="20"/>
              </w:rPr>
              <w:t xml:space="preserve">21</w:t>
            </w:r>
          </w:p>
        </w:tc>
      </w:tr>
      <w:tr>
        <w:trPr>
          <w:cantSplit/>
        </w:trPr>
        <w:tc>
          <w:tcPr>
            <w:tcW w:type="dxa" w:w="896"/>
            <w:vAlign w:val="center"/>
          </w:tcPr>
          <w:p>
            <w:pPr>
              <w:spacing w:before="20" w:after="20" w:line="260" w:lineRule="auto"/>
              <w:ind w:firstLine="0"/>
              <w:jc w:val="center"/>
            </w:pPr>
            <w:r>
              <w:rPr>
                <w:sz w:val="20"/>
                <w:szCs w:val="20"/>
              </w:rPr>
              <w:t xml:space="preserve">13</w:t>
            </w:r>
          </w:p>
        </w:tc>
        <w:tc>
          <w:tcPr>
            <w:tcW w:type="dxa" w:w="1493"/>
            <w:vAlign w:val="center"/>
          </w:tcPr>
          <w:p>
            <w:pPr>
              <w:spacing w:before="20" w:after="20" w:line="260" w:lineRule="auto"/>
              <w:ind w:firstLine="0"/>
              <w:jc w:val="left"/>
            </w:pPr>
            <w:r>
              <w:rPr>
                <w:sz w:val="20"/>
                <w:szCs w:val="20"/>
              </w:rPr>
              <w:t xml:space="preserve">family_code</w:t>
            </w:r>
          </w:p>
        </w:tc>
        <w:tc>
          <w:tcPr>
            <w:tcW w:type="dxa" w:w="1493"/>
            <w:vAlign w:val="center"/>
          </w:tcPr>
          <w:p>
            <w:pPr>
              <w:spacing w:before="20" w:after="20" w:line="260" w:lineRule="auto"/>
              <w:ind w:firstLine="0"/>
              <w:jc w:val="left"/>
            </w:pPr>
            <w:r>
              <w:rPr>
                <w:sz w:val="20"/>
                <w:szCs w:val="20"/>
              </w:rPr>
              <w:t xml:space="preserve">Nhận diện và siêu dữ liệu</w:t>
            </w:r>
          </w:p>
        </w:tc>
        <w:tc>
          <w:tcPr>
            <w:tcW w:type="dxa" w:w="1194"/>
            <w:vAlign w:val="center"/>
          </w:tcPr>
          <w:p>
            <w:pPr>
              <w:spacing w:before="20" w:after="20" w:line="260" w:lineRule="auto"/>
              <w:ind w:firstLine="0"/>
              <w:jc w:val="center"/>
            </w:pPr>
            <w:r>
              <w:rPr>
                <w:sz w:val="20"/>
                <w:szCs w:val="20"/>
              </w:rPr>
              <w:t xml:space="preserve">0,43</w:t>
            </w:r>
          </w:p>
        </w:tc>
        <w:tc>
          <w:tcPr>
            <w:tcW w:type="dxa" w:w="1335"/>
            <w:vAlign w:val="center"/>
          </w:tcPr>
          <w:p>
            <w:pPr>
              <w:spacing w:before="20" w:after="20" w:line="260" w:lineRule="auto"/>
              <w:ind w:firstLine="0"/>
              <w:jc w:val="center"/>
            </w:pPr>
            <w:r>
              <w:rPr>
                <w:sz w:val="20"/>
                <w:szCs w:val="20"/>
              </w:rPr>
              <w:t xml:space="preserve">1.255</w:t>
            </w:r>
          </w:p>
        </w:tc>
        <w:tc>
          <w:tcPr>
            <w:tcW w:type="dxa" w:w="1463"/>
            <w:vAlign w:val="center"/>
          </w:tcPr>
          <w:p>
            <w:pPr>
              <w:spacing w:before="20" w:after="20" w:line="260" w:lineRule="auto"/>
              <w:ind w:firstLine="0"/>
              <w:jc w:val="center"/>
            </w:pPr>
            <w:r>
              <w:rPr>
                <w:sz w:val="20"/>
                <w:szCs w:val="20"/>
              </w:rPr>
              <w:t xml:space="preserve">4,50</w:t>
            </w:r>
          </w:p>
        </w:tc>
        <w:tc>
          <w:tcPr>
            <w:tcW w:type="dxa" w:w="1197"/>
            <w:vAlign w:val="center"/>
          </w:tcPr>
          <w:p>
            <w:pPr>
              <w:spacing w:before="20" w:after="20" w:line="260" w:lineRule="auto"/>
              <w:ind w:firstLine="0"/>
              <w:jc w:val="center"/>
            </w:pPr>
            <w:r>
              <w:rPr>
                <w:sz w:val="20"/>
                <w:szCs w:val="20"/>
              </w:rPr>
              <w:t xml:space="preserve">8</w:t>
            </w:r>
          </w:p>
        </w:tc>
      </w:tr>
      <w:tr>
        <w:trPr>
          <w:cantSplit/>
        </w:trPr>
        <w:tc>
          <w:tcPr>
            <w:tcW w:type="dxa" w:w="896"/>
            <w:vAlign w:val="center"/>
          </w:tcPr>
          <w:p>
            <w:pPr>
              <w:spacing w:before="20" w:after="20" w:line="260" w:lineRule="auto"/>
              <w:ind w:firstLine="0"/>
              <w:jc w:val="center"/>
            </w:pPr>
            <w:r>
              <w:rPr>
                <w:sz w:val="20"/>
                <w:szCs w:val="20"/>
              </w:rPr>
              <w:t xml:space="preserve">14</w:t>
            </w:r>
          </w:p>
        </w:tc>
        <w:tc>
          <w:tcPr>
            <w:tcW w:type="dxa" w:w="1493"/>
            <w:vAlign w:val="center"/>
          </w:tcPr>
          <w:p>
            <w:pPr>
              <w:spacing w:before="20" w:after="20" w:line="260" w:lineRule="auto"/>
              <w:ind w:firstLine="0"/>
              <w:jc w:val="left"/>
            </w:pPr>
            <w:r>
              <w:rPr>
                <w:sz w:val="20"/>
                <w:szCs w:val="20"/>
              </w:rPr>
              <w:t xml:space="preserve">day</w:t>
            </w:r>
          </w:p>
        </w:tc>
        <w:tc>
          <w:tcPr>
            <w:tcW w:type="dxa" w:w="1493"/>
            <w:vAlign w:val="center"/>
          </w:tcPr>
          <w:p>
            <w:pPr>
              <w:spacing w:before="20" w:after="20" w:line="260" w:lineRule="auto"/>
              <w:ind w:firstLine="0"/>
              <w:jc w:val="left"/>
            </w:pPr>
            <w:r>
              <w:rPr>
                <w:sz w:val="20"/>
                <w:szCs w:val="20"/>
              </w:rPr>
              <w:t xml:space="preserve">Lịch</w:t>
            </w:r>
          </w:p>
        </w:tc>
        <w:tc>
          <w:tcPr>
            <w:tcW w:type="dxa" w:w="1194"/>
            <w:vAlign w:val="center"/>
          </w:tcPr>
          <w:p>
            <w:pPr>
              <w:spacing w:before="20" w:after="20" w:line="260" w:lineRule="auto"/>
              <w:ind w:firstLine="0"/>
              <w:jc w:val="center"/>
            </w:pPr>
            <w:r>
              <w:rPr>
                <w:sz w:val="20"/>
                <w:szCs w:val="20"/>
              </w:rPr>
              <w:t xml:space="preserve">0,40</w:t>
            </w:r>
          </w:p>
        </w:tc>
        <w:tc>
          <w:tcPr>
            <w:tcW w:type="dxa" w:w="1335"/>
            <w:vAlign w:val="center"/>
          </w:tcPr>
          <w:p>
            <w:pPr>
              <w:spacing w:before="20" w:after="20" w:line="260" w:lineRule="auto"/>
              <w:ind w:firstLine="0"/>
              <w:jc w:val="center"/>
            </w:pPr>
            <w:r>
              <w:rPr>
                <w:sz w:val="20"/>
                <w:szCs w:val="20"/>
              </w:rPr>
              <w:t xml:space="preserve">2.746</w:t>
            </w:r>
          </w:p>
        </w:tc>
        <w:tc>
          <w:tcPr>
            <w:tcW w:type="dxa" w:w="1463"/>
            <w:vAlign w:val="center"/>
          </w:tcPr>
          <w:p>
            <w:pPr>
              <w:spacing w:before="20" w:after="20" w:line="260" w:lineRule="auto"/>
              <w:ind w:firstLine="0"/>
              <w:jc w:val="center"/>
            </w:pPr>
            <w:r>
              <w:rPr>
                <w:sz w:val="20"/>
                <w:szCs w:val="20"/>
              </w:rPr>
              <w:t xml:space="preserve">9,84</w:t>
            </w:r>
          </w:p>
        </w:tc>
        <w:tc>
          <w:tcPr>
            <w:tcW w:type="dxa" w:w="1197"/>
            <w:vAlign w:val="center"/>
          </w:tcPr>
          <w:p>
            <w:pPr>
              <w:spacing w:before="20" w:after="20" w:line="260" w:lineRule="auto"/>
              <w:ind w:firstLine="0"/>
              <w:jc w:val="center"/>
            </w:pPr>
            <w:r>
              <w:rPr>
                <w:sz w:val="20"/>
                <w:szCs w:val="20"/>
              </w:rPr>
              <w:t xml:space="preserve">2</w:t>
            </w:r>
          </w:p>
        </w:tc>
      </w:tr>
      <w:tr>
        <w:trPr>
          <w:cantSplit/>
        </w:trPr>
        <w:tc>
          <w:tcPr>
            <w:tcW w:type="dxa" w:w="896"/>
            <w:vAlign w:val="center"/>
          </w:tcPr>
          <w:p>
            <w:pPr>
              <w:spacing w:before="20" w:after="20" w:line="260" w:lineRule="auto"/>
              <w:ind w:firstLine="0"/>
              <w:jc w:val="center"/>
            </w:pPr>
            <w:r>
              <w:rPr>
                <w:sz w:val="20"/>
                <w:szCs w:val="20"/>
              </w:rPr>
              <w:t xml:space="preserve">15</w:t>
            </w:r>
          </w:p>
        </w:tc>
        <w:tc>
          <w:tcPr>
            <w:tcW w:type="dxa" w:w="1493"/>
            <w:vAlign w:val="center"/>
          </w:tcPr>
          <w:p>
            <w:pPr>
              <w:spacing w:before="20" w:after="20" w:line="260" w:lineRule="auto"/>
              <w:ind w:firstLine="0"/>
              <w:jc w:val="left"/>
            </w:pPr>
            <w:r>
              <w:rPr>
                <w:sz w:val="20"/>
                <w:szCs w:val="20"/>
              </w:rPr>
              <w:t xml:space="preserve">dow</w:t>
            </w:r>
          </w:p>
        </w:tc>
        <w:tc>
          <w:tcPr>
            <w:tcW w:type="dxa" w:w="1493"/>
            <w:vAlign w:val="center"/>
          </w:tcPr>
          <w:p>
            <w:pPr>
              <w:spacing w:before="20" w:after="20" w:line="260" w:lineRule="auto"/>
              <w:ind w:firstLine="0"/>
              <w:jc w:val="left"/>
            </w:pPr>
            <w:r>
              <w:rPr>
                <w:sz w:val="20"/>
                <w:szCs w:val="20"/>
              </w:rPr>
              <w:t xml:space="preserve">Lịch</w:t>
            </w:r>
          </w:p>
        </w:tc>
        <w:tc>
          <w:tcPr>
            <w:tcW w:type="dxa" w:w="1194"/>
            <w:vAlign w:val="center"/>
          </w:tcPr>
          <w:p>
            <w:pPr>
              <w:spacing w:before="20" w:after="20" w:line="260" w:lineRule="auto"/>
              <w:ind w:firstLine="0"/>
              <w:jc w:val="center"/>
            </w:pPr>
            <w:r>
              <w:rPr>
                <w:sz w:val="20"/>
                <w:szCs w:val="20"/>
              </w:rPr>
              <w:t xml:space="preserve">0,37</w:t>
            </w:r>
          </w:p>
        </w:tc>
        <w:tc>
          <w:tcPr>
            <w:tcW w:type="dxa" w:w="1335"/>
            <w:vAlign w:val="center"/>
          </w:tcPr>
          <w:p>
            <w:pPr>
              <w:spacing w:before="20" w:after="20" w:line="260" w:lineRule="auto"/>
              <w:ind w:firstLine="0"/>
              <w:jc w:val="center"/>
            </w:pPr>
            <w:r>
              <w:rPr>
                <w:sz w:val="20"/>
                <w:szCs w:val="20"/>
              </w:rPr>
              <w:t xml:space="preserve">1.082</w:t>
            </w:r>
          </w:p>
        </w:tc>
        <w:tc>
          <w:tcPr>
            <w:tcW w:type="dxa" w:w="1463"/>
            <w:vAlign w:val="center"/>
          </w:tcPr>
          <w:p>
            <w:pPr>
              <w:spacing w:before="20" w:after="20" w:line="260" w:lineRule="auto"/>
              <w:ind w:firstLine="0"/>
              <w:jc w:val="center"/>
            </w:pPr>
            <w:r>
              <w:rPr>
                <w:sz w:val="20"/>
                <w:szCs w:val="20"/>
              </w:rPr>
              <w:t xml:space="preserve">3,88</w:t>
            </w:r>
          </w:p>
        </w:tc>
        <w:tc>
          <w:tcPr>
            <w:tcW w:type="dxa" w:w="1197"/>
            <w:vAlign w:val="center"/>
          </w:tcPr>
          <w:p>
            <w:pPr>
              <w:spacing w:before="20" w:after="20" w:line="260" w:lineRule="auto"/>
              <w:ind w:firstLine="0"/>
              <w:jc w:val="center"/>
            </w:pPr>
            <w:r>
              <w:rPr>
                <w:sz w:val="20"/>
                <w:szCs w:val="20"/>
              </w:rPr>
              <w:t xml:space="preserve">9</w:t>
            </w:r>
          </w:p>
        </w:tc>
      </w:tr>
      <w:tr>
        <w:trPr>
          <w:cantSplit/>
        </w:trPr>
        <w:tc>
          <w:tcPr>
            <w:tcW w:type="dxa" w:w="896"/>
            <w:vAlign w:val="center"/>
          </w:tcPr>
          <w:p>
            <w:pPr>
              <w:spacing w:before="20" w:after="20" w:line="260" w:lineRule="auto"/>
              <w:ind w:firstLine="0"/>
              <w:jc w:val="center"/>
            </w:pPr>
            <w:r>
              <w:rPr>
                <w:sz w:val="20"/>
                <w:szCs w:val="20"/>
              </w:rPr>
              <w:t xml:space="preserve">16</w:t>
            </w:r>
          </w:p>
        </w:tc>
        <w:tc>
          <w:tcPr>
            <w:tcW w:type="dxa" w:w="1493"/>
            <w:vAlign w:val="center"/>
          </w:tcPr>
          <w:p>
            <w:pPr>
              <w:spacing w:before="20" w:after="20" w:line="260" w:lineRule="auto"/>
              <w:ind w:firstLine="0"/>
              <w:jc w:val="left"/>
            </w:pPr>
            <w:r>
              <w:rPr>
                <w:sz w:val="20"/>
                <w:szCs w:val="20"/>
              </w:rPr>
              <w:t xml:space="preserve">weekofyear</w:t>
            </w:r>
          </w:p>
        </w:tc>
        <w:tc>
          <w:tcPr>
            <w:tcW w:type="dxa" w:w="1493"/>
            <w:vAlign w:val="center"/>
          </w:tcPr>
          <w:p>
            <w:pPr>
              <w:spacing w:before="20" w:after="20" w:line="260" w:lineRule="auto"/>
              <w:ind w:firstLine="0"/>
              <w:jc w:val="left"/>
            </w:pPr>
            <w:r>
              <w:rPr>
                <w:sz w:val="20"/>
                <w:szCs w:val="20"/>
              </w:rPr>
              <w:t xml:space="preserve">Lịch</w:t>
            </w:r>
          </w:p>
        </w:tc>
        <w:tc>
          <w:tcPr>
            <w:tcW w:type="dxa" w:w="1194"/>
            <w:vAlign w:val="center"/>
          </w:tcPr>
          <w:p>
            <w:pPr>
              <w:spacing w:before="20" w:after="20" w:line="260" w:lineRule="auto"/>
              <w:ind w:firstLine="0"/>
              <w:jc w:val="center"/>
            </w:pPr>
            <w:r>
              <w:rPr>
                <w:sz w:val="20"/>
                <w:szCs w:val="20"/>
              </w:rPr>
              <w:t xml:space="preserve">0,34</w:t>
            </w:r>
          </w:p>
        </w:tc>
        <w:tc>
          <w:tcPr>
            <w:tcW w:type="dxa" w:w="1335"/>
            <w:vAlign w:val="center"/>
          </w:tcPr>
          <w:p>
            <w:pPr>
              <w:spacing w:before="20" w:after="20" w:line="260" w:lineRule="auto"/>
              <w:ind w:firstLine="0"/>
              <w:jc w:val="center"/>
            </w:pPr>
            <w:r>
              <w:rPr>
                <w:sz w:val="20"/>
                <w:szCs w:val="20"/>
              </w:rPr>
              <w:t xml:space="preserve">2.461</w:t>
            </w:r>
          </w:p>
        </w:tc>
        <w:tc>
          <w:tcPr>
            <w:tcW w:type="dxa" w:w="1463"/>
            <w:vAlign w:val="center"/>
          </w:tcPr>
          <w:p>
            <w:pPr>
              <w:spacing w:before="20" w:after="20" w:line="260" w:lineRule="auto"/>
              <w:ind w:firstLine="0"/>
              <w:jc w:val="center"/>
            </w:pPr>
            <w:r>
              <w:rPr>
                <w:sz w:val="20"/>
                <w:szCs w:val="20"/>
              </w:rPr>
              <w:t xml:space="preserve">8,82</w:t>
            </w:r>
          </w:p>
        </w:tc>
        <w:tc>
          <w:tcPr>
            <w:tcW w:type="dxa" w:w="1197"/>
            <w:vAlign w:val="center"/>
          </w:tcPr>
          <w:p>
            <w:pPr>
              <w:spacing w:before="20" w:after="20" w:line="260" w:lineRule="auto"/>
              <w:ind w:firstLine="0"/>
              <w:jc w:val="center"/>
            </w:pPr>
            <w:r>
              <w:rPr>
                <w:sz w:val="20"/>
                <w:szCs w:val="20"/>
              </w:rPr>
              <w:t xml:space="preserve">3</w:t>
            </w:r>
          </w:p>
        </w:tc>
      </w:tr>
      <w:tr>
        <w:trPr>
          <w:cantSplit/>
        </w:trPr>
        <w:tc>
          <w:tcPr>
            <w:tcW w:type="dxa" w:w="896"/>
            <w:vAlign w:val="center"/>
          </w:tcPr>
          <w:p>
            <w:pPr>
              <w:spacing w:before="20" w:after="20" w:line="260" w:lineRule="auto"/>
              <w:ind w:firstLine="0"/>
              <w:jc w:val="center"/>
            </w:pPr>
            <w:r>
              <w:rPr>
                <w:sz w:val="20"/>
                <w:szCs w:val="20"/>
              </w:rPr>
              <w:t xml:space="preserve">17</w:t>
            </w:r>
          </w:p>
        </w:tc>
        <w:tc>
          <w:tcPr>
            <w:tcW w:type="dxa" w:w="1493"/>
            <w:vAlign w:val="center"/>
          </w:tcPr>
          <w:p>
            <w:pPr>
              <w:spacing w:before="20" w:after="20" w:line="260" w:lineRule="auto"/>
              <w:ind w:firstLine="0"/>
              <w:jc w:val="left"/>
            </w:pPr>
            <w:r>
              <w:rPr>
                <w:sz w:val="20"/>
                <w:szCs w:val="20"/>
              </w:rPr>
              <w:t xml:space="preserve">onpromotion</w:t>
            </w:r>
          </w:p>
        </w:tc>
        <w:tc>
          <w:tcPr>
            <w:tcW w:type="dxa" w:w="1493"/>
            <w:vAlign w:val="center"/>
          </w:tcPr>
          <w:p>
            <w:pPr>
              <w:spacing w:before="20" w:after="20" w:line="260" w:lineRule="auto"/>
              <w:ind w:firstLine="0"/>
              <w:jc w:val="left"/>
            </w:pPr>
            <w:r>
              <w:rPr>
                <w:sz w:val="20"/>
                <w:szCs w:val="20"/>
              </w:rPr>
              <w:t xml:space="preserve">Khuyến mãi</w:t>
            </w:r>
          </w:p>
        </w:tc>
        <w:tc>
          <w:tcPr>
            <w:tcW w:type="dxa" w:w="1194"/>
            <w:vAlign w:val="center"/>
          </w:tcPr>
          <w:p>
            <w:pPr>
              <w:spacing w:before="20" w:after="20" w:line="260" w:lineRule="auto"/>
              <w:ind w:firstLine="0"/>
              <w:jc w:val="center"/>
            </w:pPr>
            <w:r>
              <w:rPr>
                <w:sz w:val="20"/>
                <w:szCs w:val="20"/>
              </w:rPr>
              <w:t xml:space="preserve">0,34</w:t>
            </w:r>
          </w:p>
        </w:tc>
        <w:tc>
          <w:tcPr>
            <w:tcW w:type="dxa" w:w="1335"/>
            <w:vAlign w:val="center"/>
          </w:tcPr>
          <w:p>
            <w:pPr>
              <w:spacing w:before="20" w:after="20" w:line="260" w:lineRule="auto"/>
              <w:ind w:firstLine="0"/>
              <w:jc w:val="center"/>
            </w:pPr>
            <w:r>
              <w:rPr>
                <w:sz w:val="20"/>
                <w:szCs w:val="20"/>
              </w:rPr>
              <w:t xml:space="preserve">1.639</w:t>
            </w:r>
          </w:p>
        </w:tc>
        <w:tc>
          <w:tcPr>
            <w:tcW w:type="dxa" w:w="1463"/>
            <w:vAlign w:val="center"/>
          </w:tcPr>
          <w:p>
            <w:pPr>
              <w:spacing w:before="20" w:after="20" w:line="260" w:lineRule="auto"/>
              <w:ind w:firstLine="0"/>
              <w:jc w:val="center"/>
            </w:pPr>
            <w:r>
              <w:rPr>
                <w:sz w:val="20"/>
                <w:szCs w:val="20"/>
              </w:rPr>
              <w:t xml:space="preserve">5,87</w:t>
            </w:r>
          </w:p>
        </w:tc>
        <w:tc>
          <w:tcPr>
            <w:tcW w:type="dxa" w:w="1197"/>
            <w:vAlign w:val="center"/>
          </w:tcPr>
          <w:p>
            <w:pPr>
              <w:spacing w:before="20" w:after="20" w:line="260" w:lineRule="auto"/>
              <w:ind w:firstLine="0"/>
              <w:jc w:val="center"/>
            </w:pPr>
            <w:r>
              <w:rPr>
                <w:sz w:val="20"/>
                <w:szCs w:val="20"/>
              </w:rPr>
              <w:t xml:space="preserve">4</w:t>
            </w:r>
          </w:p>
        </w:tc>
      </w:tr>
      <w:tr>
        <w:trPr>
          <w:cantSplit/>
        </w:trPr>
        <w:tc>
          <w:tcPr>
            <w:tcW w:type="dxa" w:w="896"/>
            <w:vAlign w:val="center"/>
          </w:tcPr>
          <w:p>
            <w:pPr>
              <w:spacing w:before="20" w:after="20" w:line="260" w:lineRule="auto"/>
              <w:ind w:firstLine="0"/>
              <w:jc w:val="center"/>
            </w:pPr>
            <w:r>
              <w:rPr>
                <w:sz w:val="20"/>
                <w:szCs w:val="20"/>
              </w:rPr>
              <w:t xml:space="preserve">18</w:t>
            </w:r>
          </w:p>
        </w:tc>
        <w:tc>
          <w:tcPr>
            <w:tcW w:type="dxa" w:w="1493"/>
            <w:vAlign w:val="center"/>
          </w:tcPr>
          <w:p>
            <w:pPr>
              <w:spacing w:before="20" w:after="20" w:line="260" w:lineRule="auto"/>
              <w:ind w:firstLine="0"/>
              <w:jc w:val="left"/>
            </w:pPr>
            <w:r>
              <w:rPr>
                <w:sz w:val="20"/>
                <w:szCs w:val="20"/>
              </w:rPr>
              <w:t xml:space="preserve">oil_price_lag16</w:t>
            </w:r>
          </w:p>
        </w:tc>
        <w:tc>
          <w:tcPr>
            <w:tcW w:type="dxa" w:w="1493"/>
            <w:vAlign w:val="center"/>
          </w:tcPr>
          <w:p>
            <w:pPr>
              <w:spacing w:before="20" w:after="20" w:line="260" w:lineRule="auto"/>
              <w:ind w:firstLine="0"/>
              <w:jc w:val="left"/>
            </w:pPr>
            <w:r>
              <w:rPr>
                <w:sz w:val="20"/>
                <w:szCs w:val="20"/>
              </w:rPr>
              <w:t xml:space="preserve">Ngoại sinh trễ 16 ngày</w:t>
            </w:r>
          </w:p>
        </w:tc>
        <w:tc>
          <w:tcPr>
            <w:tcW w:type="dxa" w:w="1194"/>
            <w:vAlign w:val="center"/>
          </w:tcPr>
          <w:p>
            <w:pPr>
              <w:spacing w:before="20" w:after="20" w:line="260" w:lineRule="auto"/>
              <w:ind w:firstLine="0"/>
              <w:jc w:val="center"/>
            </w:pPr>
            <w:r>
              <w:rPr>
                <w:sz w:val="20"/>
                <w:szCs w:val="20"/>
              </w:rPr>
              <w:t xml:space="preserve">0,30</w:t>
            </w:r>
          </w:p>
        </w:tc>
        <w:tc>
          <w:tcPr>
            <w:tcW w:type="dxa" w:w="1335"/>
            <w:vAlign w:val="center"/>
          </w:tcPr>
          <w:p>
            <w:pPr>
              <w:spacing w:before="20" w:after="20" w:line="260" w:lineRule="auto"/>
              <w:ind w:firstLine="0"/>
              <w:jc w:val="center"/>
            </w:pPr>
            <w:r>
              <w:rPr>
                <w:sz w:val="20"/>
                <w:szCs w:val="20"/>
              </w:rPr>
              <w:t xml:space="preserve">2.996</w:t>
            </w:r>
          </w:p>
        </w:tc>
        <w:tc>
          <w:tcPr>
            <w:tcW w:type="dxa" w:w="1463"/>
            <w:vAlign w:val="center"/>
          </w:tcPr>
          <w:p>
            <w:pPr>
              <w:spacing w:before="20" w:after="20" w:line="260" w:lineRule="auto"/>
              <w:ind w:firstLine="0"/>
              <w:jc w:val="center"/>
            </w:pPr>
            <w:r>
              <w:rPr>
                <w:sz w:val="20"/>
                <w:szCs w:val="20"/>
              </w:rPr>
              <w:t xml:space="preserve">10,74</w:t>
            </w:r>
          </w:p>
        </w:tc>
        <w:tc>
          <w:tcPr>
            <w:tcW w:type="dxa" w:w="1197"/>
            <w:vAlign w:val="center"/>
          </w:tcPr>
          <w:p>
            <w:pPr>
              <w:spacing w:before="20" w:after="20" w:line="260" w:lineRule="auto"/>
              <w:ind w:firstLine="0"/>
              <w:jc w:val="center"/>
            </w:pPr>
            <w:r>
              <w:rPr>
                <w:sz w:val="20"/>
                <w:szCs w:val="20"/>
              </w:rPr>
              <w:t xml:space="preserve">1</w:t>
            </w:r>
          </w:p>
        </w:tc>
      </w:tr>
      <w:tr>
        <w:trPr>
          <w:cantSplit/>
        </w:trPr>
        <w:tc>
          <w:tcPr>
            <w:tcW w:type="dxa" w:w="896"/>
            <w:vAlign w:val="center"/>
          </w:tcPr>
          <w:p>
            <w:pPr>
              <w:spacing w:before="20" w:after="20" w:line="260" w:lineRule="auto"/>
              <w:ind w:firstLine="0"/>
              <w:jc w:val="center"/>
            </w:pPr>
            <w:r>
              <w:rPr>
                <w:sz w:val="20"/>
                <w:szCs w:val="20"/>
              </w:rPr>
              <w:t xml:space="preserve">19</w:t>
            </w:r>
          </w:p>
        </w:tc>
        <w:tc>
          <w:tcPr>
            <w:tcW w:type="dxa" w:w="1493"/>
            <w:vAlign w:val="center"/>
          </w:tcPr>
          <w:p>
            <w:pPr>
              <w:spacing w:before="20" w:after="20" w:line="260" w:lineRule="auto"/>
              <w:ind w:firstLine="0"/>
              <w:jc w:val="left"/>
            </w:pPr>
            <w:r>
              <w:rPr>
                <w:sz w:val="20"/>
                <w:szCs w:val="20"/>
              </w:rPr>
              <w:t xml:space="preserve">roll_std_14</w:t>
            </w:r>
          </w:p>
        </w:tc>
        <w:tc>
          <w:tcPr>
            <w:tcW w:type="dxa" w:w="1493"/>
            <w:vAlign w:val="center"/>
          </w:tcPr>
          <w:p>
            <w:pPr>
              <w:spacing w:before="20" w:after="20" w:line="260" w:lineRule="auto"/>
              <w:ind w:firstLine="0"/>
              <w:jc w:val="left"/>
            </w:pPr>
            <w:r>
              <w:rPr>
                <w:sz w:val="20"/>
                <w:szCs w:val="20"/>
              </w:rPr>
              <w:t xml:space="preserve">Thống kê trượt</w:t>
            </w:r>
          </w:p>
        </w:tc>
        <w:tc>
          <w:tcPr>
            <w:tcW w:type="dxa" w:w="1194"/>
            <w:vAlign w:val="center"/>
          </w:tcPr>
          <w:p>
            <w:pPr>
              <w:spacing w:before="20" w:after="20" w:line="260" w:lineRule="auto"/>
              <w:ind w:firstLine="0"/>
              <w:jc w:val="center"/>
            </w:pPr>
            <w:r>
              <w:rPr>
                <w:sz w:val="20"/>
                <w:szCs w:val="20"/>
              </w:rPr>
              <w:t xml:space="preserve">0,28</w:t>
            </w:r>
          </w:p>
        </w:tc>
        <w:tc>
          <w:tcPr>
            <w:tcW w:type="dxa" w:w="1335"/>
            <w:vAlign w:val="center"/>
          </w:tcPr>
          <w:p>
            <w:pPr>
              <w:spacing w:before="20" w:after="20" w:line="260" w:lineRule="auto"/>
              <w:ind w:firstLine="0"/>
              <w:jc w:val="center"/>
            </w:pPr>
            <w:r>
              <w:rPr>
                <w:sz w:val="20"/>
                <w:szCs w:val="20"/>
              </w:rPr>
              <w:t xml:space="preserve">528</w:t>
            </w:r>
          </w:p>
        </w:tc>
        <w:tc>
          <w:tcPr>
            <w:tcW w:type="dxa" w:w="1463"/>
            <w:vAlign w:val="center"/>
          </w:tcPr>
          <w:p>
            <w:pPr>
              <w:spacing w:before="20" w:after="20" w:line="260" w:lineRule="auto"/>
              <w:ind w:firstLine="0"/>
              <w:jc w:val="center"/>
            </w:pPr>
            <w:r>
              <w:rPr>
                <w:sz w:val="20"/>
                <w:szCs w:val="20"/>
              </w:rPr>
              <w:t xml:space="preserve">1,89</w:t>
            </w:r>
          </w:p>
        </w:tc>
        <w:tc>
          <w:tcPr>
            <w:tcW w:type="dxa" w:w="1197"/>
            <w:vAlign w:val="center"/>
          </w:tcPr>
          <w:p>
            <w:pPr>
              <w:spacing w:before="20" w:after="20" w:line="260" w:lineRule="auto"/>
              <w:ind w:firstLine="0"/>
              <w:jc w:val="center"/>
            </w:pPr>
            <w:r>
              <w:rPr>
                <w:sz w:val="20"/>
                <w:szCs w:val="20"/>
              </w:rPr>
              <w:t xml:space="preserve">22</w:t>
            </w:r>
          </w:p>
        </w:tc>
      </w:tr>
      <w:tr>
        <w:trPr>
          <w:cantSplit/>
        </w:trPr>
        <w:tc>
          <w:tcPr>
            <w:tcW w:type="dxa" w:w="896"/>
            <w:vAlign w:val="center"/>
          </w:tcPr>
          <w:p>
            <w:pPr>
              <w:spacing w:before="20" w:after="20" w:line="260" w:lineRule="auto"/>
              <w:ind w:firstLine="0"/>
              <w:jc w:val="center"/>
            </w:pPr>
            <w:r>
              <w:rPr>
                <w:sz w:val="20"/>
                <w:szCs w:val="20"/>
              </w:rPr>
              <w:t xml:space="preserve">20</w:t>
            </w:r>
          </w:p>
        </w:tc>
        <w:tc>
          <w:tcPr>
            <w:tcW w:type="dxa" w:w="1493"/>
            <w:vAlign w:val="center"/>
          </w:tcPr>
          <w:p>
            <w:pPr>
              <w:spacing w:before="20" w:after="20" w:line="260" w:lineRule="auto"/>
              <w:ind w:firstLine="0"/>
              <w:jc w:val="left"/>
            </w:pPr>
            <w:r>
              <w:rPr>
                <w:sz w:val="20"/>
                <w:szCs w:val="20"/>
              </w:rPr>
              <w:t xml:space="preserve">transactions_roll28_lag16</w:t>
            </w:r>
          </w:p>
        </w:tc>
        <w:tc>
          <w:tcPr>
            <w:tcW w:type="dxa" w:w="1493"/>
            <w:vAlign w:val="center"/>
          </w:tcPr>
          <w:p>
            <w:pPr>
              <w:spacing w:before="20" w:after="20" w:line="260" w:lineRule="auto"/>
              <w:ind w:firstLine="0"/>
              <w:jc w:val="left"/>
            </w:pPr>
            <w:r>
              <w:rPr>
                <w:sz w:val="20"/>
                <w:szCs w:val="20"/>
              </w:rPr>
              <w:t xml:space="preserve">Ngoại sinh trễ 16 ngày</w:t>
            </w:r>
          </w:p>
        </w:tc>
        <w:tc>
          <w:tcPr>
            <w:tcW w:type="dxa" w:w="1194"/>
            <w:vAlign w:val="center"/>
          </w:tcPr>
          <w:p>
            <w:pPr>
              <w:spacing w:before="20" w:after="20" w:line="260" w:lineRule="auto"/>
              <w:ind w:firstLine="0"/>
              <w:jc w:val="center"/>
            </w:pPr>
            <w:r>
              <w:rPr>
                <w:sz w:val="20"/>
                <w:szCs w:val="20"/>
              </w:rPr>
              <w:t xml:space="preserve">0,23</w:t>
            </w:r>
          </w:p>
        </w:tc>
        <w:tc>
          <w:tcPr>
            <w:tcW w:type="dxa" w:w="1335"/>
            <w:vAlign w:val="center"/>
          </w:tcPr>
          <w:p>
            <w:pPr>
              <w:spacing w:before="20" w:after="20" w:line="260" w:lineRule="auto"/>
              <w:ind w:firstLine="0"/>
              <w:jc w:val="center"/>
            </w:pPr>
            <w:r>
              <w:rPr>
                <w:sz w:val="20"/>
                <w:szCs w:val="20"/>
              </w:rPr>
              <w:t xml:space="preserve">1.341</w:t>
            </w:r>
          </w:p>
        </w:tc>
        <w:tc>
          <w:tcPr>
            <w:tcW w:type="dxa" w:w="1463"/>
            <w:vAlign w:val="center"/>
          </w:tcPr>
          <w:p>
            <w:pPr>
              <w:spacing w:before="20" w:after="20" w:line="260" w:lineRule="auto"/>
              <w:ind w:firstLine="0"/>
              <w:jc w:val="center"/>
            </w:pPr>
            <w:r>
              <w:rPr>
                <w:sz w:val="20"/>
                <w:szCs w:val="20"/>
              </w:rPr>
              <w:t xml:space="preserve">4,81</w:t>
            </w:r>
          </w:p>
        </w:tc>
        <w:tc>
          <w:tcPr>
            <w:tcW w:type="dxa" w:w="1197"/>
            <w:vAlign w:val="center"/>
          </w:tcPr>
          <w:p>
            <w:pPr>
              <w:spacing w:before="20" w:after="20" w:line="260" w:lineRule="auto"/>
              <w:ind w:firstLine="0"/>
              <w:jc w:val="center"/>
            </w:pPr>
            <w:r>
              <w:rPr>
                <w:sz w:val="20"/>
                <w:szCs w:val="20"/>
              </w:rPr>
              <w:t xml:space="preserve">7</w:t>
            </w:r>
          </w:p>
        </w:tc>
      </w:tr>
      <w:tr>
        <w:trPr>
          <w:cantSplit/>
        </w:trPr>
        <w:tc>
          <w:tcPr>
            <w:tcW w:type="dxa" w:w="896"/>
            <w:vAlign w:val="center"/>
          </w:tcPr>
          <w:p>
            <w:pPr>
              <w:spacing w:before="20" w:after="20" w:line="260" w:lineRule="auto"/>
              <w:ind w:firstLine="0"/>
              <w:jc w:val="center"/>
            </w:pPr>
            <w:r>
              <w:rPr>
                <w:sz w:val="20"/>
                <w:szCs w:val="20"/>
              </w:rPr>
              <w:t xml:space="preserve">21</w:t>
            </w:r>
          </w:p>
        </w:tc>
        <w:tc>
          <w:tcPr>
            <w:tcW w:type="dxa" w:w="1493"/>
            <w:vAlign w:val="center"/>
          </w:tcPr>
          <w:p>
            <w:pPr>
              <w:spacing w:before="20" w:after="20" w:line="260" w:lineRule="auto"/>
              <w:ind w:firstLine="0"/>
              <w:jc w:val="left"/>
            </w:pPr>
            <w:r>
              <w:rPr>
                <w:sz w:val="20"/>
                <w:szCs w:val="20"/>
              </w:rPr>
              <w:t xml:space="preserve">roll_std_7</w:t>
            </w:r>
          </w:p>
        </w:tc>
        <w:tc>
          <w:tcPr>
            <w:tcW w:type="dxa" w:w="1493"/>
            <w:vAlign w:val="center"/>
          </w:tcPr>
          <w:p>
            <w:pPr>
              <w:spacing w:before="20" w:after="20" w:line="260" w:lineRule="auto"/>
              <w:ind w:firstLine="0"/>
              <w:jc w:val="left"/>
            </w:pPr>
            <w:r>
              <w:rPr>
                <w:sz w:val="20"/>
                <w:szCs w:val="20"/>
              </w:rPr>
              <w:t xml:space="preserve">Thống kê trượt</w:t>
            </w:r>
          </w:p>
        </w:tc>
        <w:tc>
          <w:tcPr>
            <w:tcW w:type="dxa" w:w="1194"/>
            <w:vAlign w:val="center"/>
          </w:tcPr>
          <w:p>
            <w:pPr>
              <w:spacing w:before="20" w:after="20" w:line="260" w:lineRule="auto"/>
              <w:ind w:firstLine="0"/>
              <w:jc w:val="center"/>
            </w:pPr>
            <w:r>
              <w:rPr>
                <w:sz w:val="20"/>
                <w:szCs w:val="20"/>
              </w:rPr>
              <w:t xml:space="preserve">0,22</w:t>
            </w:r>
          </w:p>
        </w:tc>
        <w:tc>
          <w:tcPr>
            <w:tcW w:type="dxa" w:w="1335"/>
            <w:vAlign w:val="center"/>
          </w:tcPr>
          <w:p>
            <w:pPr>
              <w:spacing w:before="20" w:after="20" w:line="260" w:lineRule="auto"/>
              <w:ind w:firstLine="0"/>
              <w:jc w:val="center"/>
            </w:pPr>
            <w:r>
              <w:rPr>
                <w:sz w:val="20"/>
                <w:szCs w:val="20"/>
              </w:rPr>
              <w:t xml:space="preserve">560</w:t>
            </w:r>
          </w:p>
        </w:tc>
        <w:tc>
          <w:tcPr>
            <w:tcW w:type="dxa" w:w="1463"/>
            <w:vAlign w:val="center"/>
          </w:tcPr>
          <w:p>
            <w:pPr>
              <w:spacing w:before="20" w:after="20" w:line="260" w:lineRule="auto"/>
              <w:ind w:firstLine="0"/>
              <w:jc w:val="center"/>
            </w:pPr>
            <w:r>
              <w:rPr>
                <w:sz w:val="20"/>
                <w:szCs w:val="20"/>
              </w:rPr>
              <w:t xml:space="preserve">2,01</w:t>
            </w:r>
          </w:p>
        </w:tc>
        <w:tc>
          <w:tcPr>
            <w:tcW w:type="dxa" w:w="1197"/>
            <w:vAlign w:val="center"/>
          </w:tcPr>
          <w:p>
            <w:pPr>
              <w:spacing w:before="20" w:after="20" w:line="260" w:lineRule="auto"/>
              <w:ind w:firstLine="0"/>
              <w:jc w:val="center"/>
            </w:pPr>
            <w:r>
              <w:rPr>
                <w:sz w:val="20"/>
                <w:szCs w:val="20"/>
              </w:rPr>
              <w:t xml:space="preserve">20</w:t>
            </w:r>
          </w:p>
        </w:tc>
      </w:tr>
      <w:tr>
        <w:trPr>
          <w:cantSplit/>
        </w:trPr>
        <w:tc>
          <w:tcPr>
            <w:tcW w:type="dxa" w:w="896"/>
            <w:vAlign w:val="center"/>
          </w:tcPr>
          <w:p>
            <w:pPr>
              <w:spacing w:before="20" w:after="20" w:line="260" w:lineRule="auto"/>
              <w:ind w:firstLine="0"/>
              <w:jc w:val="center"/>
            </w:pPr>
            <w:r>
              <w:rPr>
                <w:sz w:val="20"/>
                <w:szCs w:val="20"/>
              </w:rPr>
              <w:t xml:space="preserve">22</w:t>
            </w:r>
          </w:p>
        </w:tc>
        <w:tc>
          <w:tcPr>
            <w:tcW w:type="dxa" w:w="1493"/>
            <w:vAlign w:val="center"/>
          </w:tcPr>
          <w:p>
            <w:pPr>
              <w:spacing w:before="20" w:after="20" w:line="260" w:lineRule="auto"/>
              <w:ind w:firstLine="0"/>
              <w:jc w:val="left"/>
            </w:pPr>
            <w:r>
              <w:rPr>
                <w:sz w:val="20"/>
                <w:szCs w:val="20"/>
              </w:rPr>
              <w:t xml:space="preserve">lag_32</w:t>
            </w:r>
          </w:p>
        </w:tc>
        <w:tc>
          <w:tcPr>
            <w:tcW w:type="dxa" w:w="1493"/>
            <w:vAlign w:val="center"/>
          </w:tcPr>
          <w:p>
            <w:pPr>
              <w:spacing w:before="20" w:after="20" w:line="260" w:lineRule="auto"/>
              <w:ind w:firstLine="0"/>
              <w:jc w:val="left"/>
            </w:pPr>
            <w:r>
              <w:rPr>
                <w:sz w:val="20"/>
                <w:szCs w:val="20"/>
              </w:rPr>
              <w:t xml:space="preserve">Độ trễ doanh số</w:t>
            </w:r>
          </w:p>
        </w:tc>
        <w:tc>
          <w:tcPr>
            <w:tcW w:type="dxa" w:w="1194"/>
            <w:vAlign w:val="center"/>
          </w:tcPr>
          <w:p>
            <w:pPr>
              <w:spacing w:before="20" w:after="20" w:line="260" w:lineRule="auto"/>
              <w:ind w:firstLine="0"/>
              <w:jc w:val="center"/>
            </w:pPr>
            <w:r>
              <w:rPr>
                <w:sz w:val="20"/>
                <w:szCs w:val="20"/>
              </w:rPr>
              <w:t xml:space="preserve">0,22</w:t>
            </w:r>
          </w:p>
        </w:tc>
        <w:tc>
          <w:tcPr>
            <w:tcW w:type="dxa" w:w="1335"/>
            <w:vAlign w:val="center"/>
          </w:tcPr>
          <w:p>
            <w:pPr>
              <w:spacing w:before="20" w:after="20" w:line="260" w:lineRule="auto"/>
              <w:ind w:firstLine="0"/>
              <w:jc w:val="center"/>
            </w:pPr>
            <w:r>
              <w:rPr>
                <w:sz w:val="20"/>
                <w:szCs w:val="20"/>
              </w:rPr>
              <w:t xml:space="preserve">708</w:t>
            </w:r>
          </w:p>
        </w:tc>
        <w:tc>
          <w:tcPr>
            <w:tcW w:type="dxa" w:w="1463"/>
            <w:vAlign w:val="center"/>
          </w:tcPr>
          <w:p>
            <w:pPr>
              <w:spacing w:before="20" w:after="20" w:line="260" w:lineRule="auto"/>
              <w:ind w:firstLine="0"/>
              <w:jc w:val="center"/>
            </w:pPr>
            <w:r>
              <w:rPr>
                <w:sz w:val="20"/>
                <w:szCs w:val="20"/>
              </w:rPr>
              <w:t xml:space="preserve">2,54</w:t>
            </w:r>
          </w:p>
        </w:tc>
        <w:tc>
          <w:tcPr>
            <w:tcW w:type="dxa" w:w="1197"/>
            <w:vAlign w:val="center"/>
          </w:tcPr>
          <w:p>
            <w:pPr>
              <w:spacing w:before="20" w:after="20" w:line="260" w:lineRule="auto"/>
              <w:ind w:firstLine="0"/>
              <w:jc w:val="center"/>
            </w:pPr>
            <w:r>
              <w:rPr>
                <w:sz w:val="20"/>
                <w:szCs w:val="20"/>
              </w:rPr>
              <w:t xml:space="preserve">16</w:t>
            </w:r>
          </w:p>
        </w:tc>
      </w:tr>
      <w:tr>
        <w:trPr>
          <w:cantSplit/>
        </w:trPr>
        <w:tc>
          <w:tcPr>
            <w:tcW w:type="dxa" w:w="896"/>
            <w:vAlign w:val="center"/>
          </w:tcPr>
          <w:p>
            <w:pPr>
              <w:spacing w:before="20" w:after="20" w:line="260" w:lineRule="auto"/>
              <w:ind w:firstLine="0"/>
              <w:jc w:val="center"/>
            </w:pPr>
            <w:r>
              <w:rPr>
                <w:sz w:val="20"/>
                <w:szCs w:val="20"/>
              </w:rPr>
              <w:t xml:space="preserve">23</w:t>
            </w:r>
          </w:p>
        </w:tc>
        <w:tc>
          <w:tcPr>
            <w:tcW w:type="dxa" w:w="1493"/>
            <w:vAlign w:val="center"/>
          </w:tcPr>
          <w:p>
            <w:pPr>
              <w:spacing w:before="20" w:after="20" w:line="260" w:lineRule="auto"/>
              <w:ind w:firstLine="0"/>
              <w:jc w:val="left"/>
            </w:pPr>
            <w:r>
              <w:rPr>
                <w:sz w:val="20"/>
                <w:szCs w:val="20"/>
              </w:rPr>
              <w:t xml:space="preserve">type_code</w:t>
            </w:r>
          </w:p>
        </w:tc>
        <w:tc>
          <w:tcPr>
            <w:tcW w:type="dxa" w:w="1493"/>
            <w:vAlign w:val="center"/>
          </w:tcPr>
          <w:p>
            <w:pPr>
              <w:spacing w:before="20" w:after="20" w:line="260" w:lineRule="auto"/>
              <w:ind w:firstLine="0"/>
              <w:jc w:val="left"/>
            </w:pPr>
            <w:r>
              <w:rPr>
                <w:sz w:val="20"/>
                <w:szCs w:val="20"/>
              </w:rPr>
              <w:t xml:space="preserve">Nhận diện và siêu dữ liệu</w:t>
            </w:r>
          </w:p>
        </w:tc>
        <w:tc>
          <w:tcPr>
            <w:tcW w:type="dxa" w:w="1194"/>
            <w:vAlign w:val="center"/>
          </w:tcPr>
          <w:p>
            <w:pPr>
              <w:spacing w:before="20" w:after="20" w:line="260" w:lineRule="auto"/>
              <w:ind w:firstLine="0"/>
              <w:jc w:val="center"/>
            </w:pPr>
            <w:r>
              <w:rPr>
                <w:sz w:val="20"/>
                <w:szCs w:val="20"/>
              </w:rPr>
              <w:t xml:space="preserve">0,20</w:t>
            </w:r>
          </w:p>
        </w:tc>
        <w:tc>
          <w:tcPr>
            <w:tcW w:type="dxa" w:w="1335"/>
            <w:vAlign w:val="center"/>
          </w:tcPr>
          <w:p>
            <w:pPr>
              <w:spacing w:before="20" w:after="20" w:line="260" w:lineRule="auto"/>
              <w:ind w:firstLine="0"/>
              <w:jc w:val="center"/>
            </w:pPr>
            <w:r>
              <w:rPr>
                <w:sz w:val="20"/>
                <w:szCs w:val="20"/>
              </w:rPr>
              <w:t xml:space="preserve">209</w:t>
            </w:r>
          </w:p>
        </w:tc>
        <w:tc>
          <w:tcPr>
            <w:tcW w:type="dxa" w:w="1463"/>
            <w:vAlign w:val="center"/>
          </w:tcPr>
          <w:p>
            <w:pPr>
              <w:spacing w:before="20" w:after="20" w:line="260" w:lineRule="auto"/>
              <w:ind w:firstLine="0"/>
              <w:jc w:val="center"/>
            </w:pPr>
            <w:r>
              <w:rPr>
                <w:sz w:val="20"/>
                <w:szCs w:val="20"/>
              </w:rPr>
              <w:t xml:space="preserve">0,75</w:t>
            </w:r>
          </w:p>
        </w:tc>
        <w:tc>
          <w:tcPr>
            <w:tcW w:type="dxa" w:w="1197"/>
            <w:vAlign w:val="center"/>
          </w:tcPr>
          <w:p>
            <w:pPr>
              <w:spacing w:before="20" w:after="20" w:line="260" w:lineRule="auto"/>
              <w:ind w:firstLine="0"/>
              <w:jc w:val="center"/>
            </w:pPr>
            <w:r>
              <w:rPr>
                <w:sz w:val="20"/>
                <w:szCs w:val="20"/>
              </w:rPr>
              <w:t xml:space="preserve">27</w:t>
            </w:r>
          </w:p>
        </w:tc>
      </w:tr>
      <w:tr>
        <w:trPr>
          <w:cantSplit/>
        </w:trPr>
        <w:tc>
          <w:tcPr>
            <w:tcW w:type="dxa" w:w="896"/>
            <w:vAlign w:val="center"/>
          </w:tcPr>
          <w:p>
            <w:pPr>
              <w:spacing w:before="20" w:after="20" w:line="260" w:lineRule="auto"/>
              <w:ind w:firstLine="0"/>
              <w:jc w:val="center"/>
            </w:pPr>
            <w:r>
              <w:rPr>
                <w:sz w:val="20"/>
                <w:szCs w:val="20"/>
              </w:rPr>
              <w:t xml:space="preserve">24</w:t>
            </w:r>
          </w:p>
        </w:tc>
        <w:tc>
          <w:tcPr>
            <w:tcW w:type="dxa" w:w="1493"/>
            <w:vAlign w:val="center"/>
          </w:tcPr>
          <w:p>
            <w:pPr>
              <w:spacing w:before="20" w:after="20" w:line="260" w:lineRule="auto"/>
              <w:ind w:firstLine="0"/>
              <w:jc w:val="left"/>
            </w:pPr>
            <w:r>
              <w:rPr>
                <w:sz w:val="20"/>
                <w:szCs w:val="20"/>
              </w:rPr>
              <w:t xml:space="preserve">roll_std_28</w:t>
            </w:r>
          </w:p>
        </w:tc>
        <w:tc>
          <w:tcPr>
            <w:tcW w:type="dxa" w:w="1493"/>
            <w:vAlign w:val="center"/>
          </w:tcPr>
          <w:p>
            <w:pPr>
              <w:spacing w:before="20" w:after="20" w:line="260" w:lineRule="auto"/>
              <w:ind w:firstLine="0"/>
              <w:jc w:val="left"/>
            </w:pPr>
            <w:r>
              <w:rPr>
                <w:sz w:val="20"/>
                <w:szCs w:val="20"/>
              </w:rPr>
              <w:t xml:space="preserve">Thống kê trượt</w:t>
            </w:r>
          </w:p>
        </w:tc>
        <w:tc>
          <w:tcPr>
            <w:tcW w:type="dxa" w:w="1194"/>
            <w:vAlign w:val="center"/>
          </w:tcPr>
          <w:p>
            <w:pPr>
              <w:spacing w:before="20" w:after="20" w:line="260" w:lineRule="auto"/>
              <w:ind w:firstLine="0"/>
              <w:jc w:val="center"/>
            </w:pPr>
            <w:r>
              <w:rPr>
                <w:sz w:val="20"/>
                <w:szCs w:val="20"/>
              </w:rPr>
              <w:t xml:space="preserve">0,20</w:t>
            </w:r>
          </w:p>
        </w:tc>
        <w:tc>
          <w:tcPr>
            <w:tcW w:type="dxa" w:w="1335"/>
            <w:vAlign w:val="center"/>
          </w:tcPr>
          <w:p>
            <w:pPr>
              <w:spacing w:before="20" w:after="20" w:line="260" w:lineRule="auto"/>
              <w:ind w:firstLine="0"/>
              <w:jc w:val="center"/>
            </w:pPr>
            <w:r>
              <w:rPr>
                <w:sz w:val="20"/>
                <w:szCs w:val="20"/>
              </w:rPr>
              <w:t xml:space="preserve">586</w:t>
            </w:r>
          </w:p>
        </w:tc>
        <w:tc>
          <w:tcPr>
            <w:tcW w:type="dxa" w:w="1463"/>
            <w:vAlign w:val="center"/>
          </w:tcPr>
          <w:p>
            <w:pPr>
              <w:spacing w:before="20" w:after="20" w:line="260" w:lineRule="auto"/>
              <w:ind w:firstLine="0"/>
              <w:jc w:val="center"/>
            </w:pPr>
            <w:r>
              <w:rPr>
                <w:sz w:val="20"/>
                <w:szCs w:val="20"/>
              </w:rPr>
              <w:t xml:space="preserve">2,10</w:t>
            </w:r>
          </w:p>
        </w:tc>
        <w:tc>
          <w:tcPr>
            <w:tcW w:type="dxa" w:w="1197"/>
            <w:vAlign w:val="center"/>
          </w:tcPr>
          <w:p>
            <w:pPr>
              <w:spacing w:before="20" w:after="20" w:line="260" w:lineRule="auto"/>
              <w:ind w:firstLine="0"/>
              <w:jc w:val="center"/>
            </w:pPr>
            <w:r>
              <w:rPr>
                <w:sz w:val="20"/>
                <w:szCs w:val="20"/>
              </w:rPr>
              <w:t xml:space="preserve">19</w:t>
            </w:r>
          </w:p>
        </w:tc>
      </w:tr>
      <w:tr>
        <w:trPr>
          <w:cantSplit/>
        </w:trPr>
        <w:tc>
          <w:tcPr>
            <w:tcW w:type="dxa" w:w="896"/>
            <w:vAlign w:val="center"/>
          </w:tcPr>
          <w:p>
            <w:pPr>
              <w:spacing w:before="20" w:after="20" w:line="260" w:lineRule="auto"/>
              <w:ind w:firstLine="0"/>
              <w:jc w:val="center"/>
            </w:pPr>
            <w:r>
              <w:rPr>
                <w:sz w:val="20"/>
                <w:szCs w:val="20"/>
              </w:rPr>
              <w:t xml:space="preserve">25</w:t>
            </w:r>
          </w:p>
        </w:tc>
        <w:tc>
          <w:tcPr>
            <w:tcW w:type="dxa" w:w="1493"/>
            <w:vAlign w:val="center"/>
          </w:tcPr>
          <w:p>
            <w:pPr>
              <w:spacing w:before="20" w:after="20" w:line="260" w:lineRule="auto"/>
              <w:ind w:firstLine="0"/>
              <w:jc w:val="left"/>
            </w:pPr>
            <w:r>
              <w:rPr>
                <w:sz w:val="20"/>
                <w:szCs w:val="20"/>
              </w:rPr>
              <w:t xml:space="preserve">store_code</w:t>
            </w:r>
          </w:p>
        </w:tc>
        <w:tc>
          <w:tcPr>
            <w:tcW w:type="dxa" w:w="1493"/>
            <w:vAlign w:val="center"/>
          </w:tcPr>
          <w:p>
            <w:pPr>
              <w:spacing w:before="20" w:after="20" w:line="260" w:lineRule="auto"/>
              <w:ind w:firstLine="0"/>
              <w:jc w:val="left"/>
            </w:pPr>
            <w:r>
              <w:rPr>
                <w:sz w:val="20"/>
                <w:szCs w:val="20"/>
              </w:rPr>
              <w:t xml:space="preserve">Nhận diện và siêu dữ liệu</w:t>
            </w:r>
          </w:p>
        </w:tc>
        <w:tc>
          <w:tcPr>
            <w:tcW w:type="dxa" w:w="1194"/>
            <w:vAlign w:val="center"/>
          </w:tcPr>
          <w:p>
            <w:pPr>
              <w:spacing w:before="20" w:after="20" w:line="260" w:lineRule="auto"/>
              <w:ind w:firstLine="0"/>
              <w:jc w:val="center"/>
            </w:pPr>
            <w:r>
              <w:rPr>
                <w:sz w:val="20"/>
                <w:szCs w:val="20"/>
              </w:rPr>
              <w:t xml:space="preserve">0,18</w:t>
            </w:r>
          </w:p>
        </w:tc>
        <w:tc>
          <w:tcPr>
            <w:tcW w:type="dxa" w:w="1335"/>
            <w:vAlign w:val="center"/>
          </w:tcPr>
          <w:p>
            <w:pPr>
              <w:spacing w:before="20" w:after="20" w:line="260" w:lineRule="auto"/>
              <w:ind w:firstLine="0"/>
              <w:jc w:val="center"/>
            </w:pPr>
            <w:r>
              <w:rPr>
                <w:sz w:val="20"/>
                <w:szCs w:val="20"/>
              </w:rPr>
              <w:t xml:space="preserve">1.021</w:t>
            </w:r>
          </w:p>
        </w:tc>
        <w:tc>
          <w:tcPr>
            <w:tcW w:type="dxa" w:w="1463"/>
            <w:vAlign w:val="center"/>
          </w:tcPr>
          <w:p>
            <w:pPr>
              <w:spacing w:before="20" w:after="20" w:line="260" w:lineRule="auto"/>
              <w:ind w:firstLine="0"/>
              <w:jc w:val="center"/>
            </w:pPr>
            <w:r>
              <w:rPr>
                <w:sz w:val="20"/>
                <w:szCs w:val="20"/>
              </w:rPr>
              <w:t xml:space="preserve">3,66</w:t>
            </w:r>
          </w:p>
        </w:tc>
        <w:tc>
          <w:tcPr>
            <w:tcW w:type="dxa" w:w="1197"/>
            <w:vAlign w:val="center"/>
          </w:tcPr>
          <w:p>
            <w:pPr>
              <w:spacing w:before="20" w:after="20" w:line="260" w:lineRule="auto"/>
              <w:ind w:firstLine="0"/>
              <w:jc w:val="center"/>
            </w:pPr>
            <w:r>
              <w:rPr>
                <w:sz w:val="20"/>
                <w:szCs w:val="20"/>
              </w:rPr>
              <w:t xml:space="preserve">10</w:t>
            </w:r>
          </w:p>
        </w:tc>
      </w:tr>
      <w:tr>
        <w:trPr>
          <w:cantSplit/>
        </w:trPr>
        <w:tc>
          <w:tcPr>
            <w:tcW w:type="dxa" w:w="896"/>
            <w:vAlign w:val="center"/>
          </w:tcPr>
          <w:p>
            <w:pPr>
              <w:spacing w:before="20" w:after="20" w:line="260" w:lineRule="auto"/>
              <w:ind w:firstLine="0"/>
              <w:jc w:val="center"/>
            </w:pPr>
            <w:r>
              <w:rPr>
                <w:sz w:val="20"/>
                <w:szCs w:val="20"/>
              </w:rPr>
              <w:t xml:space="preserve">26</w:t>
            </w:r>
          </w:p>
        </w:tc>
        <w:tc>
          <w:tcPr>
            <w:tcW w:type="dxa" w:w="1493"/>
            <w:vAlign w:val="center"/>
          </w:tcPr>
          <w:p>
            <w:pPr>
              <w:spacing w:before="20" w:after="20" w:line="260" w:lineRule="auto"/>
              <w:ind w:firstLine="0"/>
              <w:jc w:val="left"/>
            </w:pPr>
            <w:r>
              <w:rPr>
                <w:sz w:val="20"/>
                <w:szCs w:val="20"/>
              </w:rPr>
              <w:t xml:space="preserve">transactions_lag16</w:t>
            </w:r>
          </w:p>
        </w:tc>
        <w:tc>
          <w:tcPr>
            <w:tcW w:type="dxa" w:w="1493"/>
            <w:vAlign w:val="center"/>
          </w:tcPr>
          <w:p>
            <w:pPr>
              <w:spacing w:before="20" w:after="20" w:line="260" w:lineRule="auto"/>
              <w:ind w:firstLine="0"/>
              <w:jc w:val="left"/>
            </w:pPr>
            <w:r>
              <w:rPr>
                <w:sz w:val="20"/>
                <w:szCs w:val="20"/>
              </w:rPr>
              <w:t xml:space="preserve">Ngoại sinh trễ 16 ngày</w:t>
            </w:r>
          </w:p>
        </w:tc>
        <w:tc>
          <w:tcPr>
            <w:tcW w:type="dxa" w:w="1194"/>
            <w:vAlign w:val="center"/>
          </w:tcPr>
          <w:p>
            <w:pPr>
              <w:spacing w:before="20" w:after="20" w:line="260" w:lineRule="auto"/>
              <w:ind w:firstLine="0"/>
              <w:jc w:val="center"/>
            </w:pPr>
            <w:r>
              <w:rPr>
                <w:sz w:val="20"/>
                <w:szCs w:val="20"/>
              </w:rPr>
              <w:t xml:space="preserve">0,16</w:t>
            </w:r>
          </w:p>
        </w:tc>
        <w:tc>
          <w:tcPr>
            <w:tcW w:type="dxa" w:w="1335"/>
            <w:vAlign w:val="center"/>
          </w:tcPr>
          <w:p>
            <w:pPr>
              <w:spacing w:before="20" w:after="20" w:line="260" w:lineRule="auto"/>
              <w:ind w:firstLine="0"/>
              <w:jc w:val="center"/>
            </w:pPr>
            <w:r>
              <w:rPr>
                <w:sz w:val="20"/>
                <w:szCs w:val="20"/>
              </w:rPr>
              <w:t xml:space="preserve">954</w:t>
            </w:r>
          </w:p>
        </w:tc>
        <w:tc>
          <w:tcPr>
            <w:tcW w:type="dxa" w:w="1463"/>
            <w:vAlign w:val="center"/>
          </w:tcPr>
          <w:p>
            <w:pPr>
              <w:spacing w:before="20" w:after="20" w:line="260" w:lineRule="auto"/>
              <w:ind w:firstLine="0"/>
              <w:jc w:val="center"/>
            </w:pPr>
            <w:r>
              <w:rPr>
                <w:sz w:val="20"/>
                <w:szCs w:val="20"/>
              </w:rPr>
              <w:t xml:space="preserve">3,42</w:t>
            </w:r>
          </w:p>
        </w:tc>
        <w:tc>
          <w:tcPr>
            <w:tcW w:type="dxa" w:w="1197"/>
            <w:vAlign w:val="center"/>
          </w:tcPr>
          <w:p>
            <w:pPr>
              <w:spacing w:before="20" w:after="20" w:line="260" w:lineRule="auto"/>
              <w:ind w:firstLine="0"/>
              <w:jc w:val="center"/>
            </w:pPr>
            <w:r>
              <w:rPr>
                <w:sz w:val="20"/>
                <w:szCs w:val="20"/>
              </w:rPr>
              <w:t xml:space="preserve">11</w:t>
            </w:r>
          </w:p>
        </w:tc>
      </w:tr>
      <w:tr>
        <w:trPr>
          <w:cantSplit/>
        </w:trPr>
        <w:tc>
          <w:tcPr>
            <w:tcW w:type="dxa" w:w="896"/>
            <w:vAlign w:val="center"/>
          </w:tcPr>
          <w:p>
            <w:pPr>
              <w:spacing w:before="20" w:after="20" w:line="260" w:lineRule="auto"/>
              <w:ind w:firstLine="0"/>
              <w:jc w:val="center"/>
            </w:pPr>
            <w:r>
              <w:rPr>
                <w:sz w:val="20"/>
                <w:szCs w:val="20"/>
              </w:rPr>
              <w:t xml:space="preserve">27</w:t>
            </w:r>
          </w:p>
        </w:tc>
        <w:tc>
          <w:tcPr>
            <w:tcW w:type="dxa" w:w="1493"/>
            <w:vAlign w:val="center"/>
          </w:tcPr>
          <w:p>
            <w:pPr>
              <w:spacing w:before="20" w:after="20" w:line="260" w:lineRule="auto"/>
              <w:ind w:firstLine="0"/>
              <w:jc w:val="left"/>
            </w:pPr>
            <w:r>
              <w:rPr>
                <w:sz w:val="20"/>
                <w:szCs w:val="20"/>
              </w:rPr>
              <w:t xml:space="preserve">cluster</w:t>
            </w:r>
          </w:p>
        </w:tc>
        <w:tc>
          <w:tcPr>
            <w:tcW w:type="dxa" w:w="1493"/>
            <w:vAlign w:val="center"/>
          </w:tcPr>
          <w:p>
            <w:pPr>
              <w:spacing w:before="20" w:after="20" w:line="260" w:lineRule="auto"/>
              <w:ind w:firstLine="0"/>
              <w:jc w:val="left"/>
            </w:pPr>
            <w:r>
              <w:rPr>
                <w:sz w:val="20"/>
                <w:szCs w:val="20"/>
              </w:rPr>
              <w:t xml:space="preserve">Nhận diện và siêu dữ liệu</w:t>
            </w:r>
          </w:p>
        </w:tc>
        <w:tc>
          <w:tcPr>
            <w:tcW w:type="dxa" w:w="1194"/>
            <w:vAlign w:val="center"/>
          </w:tcPr>
          <w:p>
            <w:pPr>
              <w:spacing w:before="20" w:after="20" w:line="260" w:lineRule="auto"/>
              <w:ind w:firstLine="0"/>
              <w:jc w:val="center"/>
            </w:pPr>
            <w:r>
              <w:rPr>
                <w:sz w:val="20"/>
                <w:szCs w:val="20"/>
              </w:rPr>
              <w:t xml:space="preserve">0,14</w:t>
            </w:r>
          </w:p>
        </w:tc>
        <w:tc>
          <w:tcPr>
            <w:tcW w:type="dxa" w:w="1335"/>
            <w:vAlign w:val="center"/>
          </w:tcPr>
          <w:p>
            <w:pPr>
              <w:spacing w:before="20" w:after="20" w:line="260" w:lineRule="auto"/>
              <w:ind w:firstLine="0"/>
              <w:jc w:val="center"/>
            </w:pPr>
            <w:r>
              <w:rPr>
                <w:sz w:val="20"/>
                <w:szCs w:val="20"/>
              </w:rPr>
              <w:t xml:space="preserve">481</w:t>
            </w:r>
          </w:p>
        </w:tc>
        <w:tc>
          <w:tcPr>
            <w:tcW w:type="dxa" w:w="1463"/>
            <w:vAlign w:val="center"/>
          </w:tcPr>
          <w:p>
            <w:pPr>
              <w:spacing w:before="20" w:after="20" w:line="260" w:lineRule="auto"/>
              <w:ind w:firstLine="0"/>
              <w:jc w:val="center"/>
            </w:pPr>
            <w:r>
              <w:rPr>
                <w:sz w:val="20"/>
                <w:szCs w:val="20"/>
              </w:rPr>
              <w:t xml:space="preserve">1,72</w:t>
            </w:r>
          </w:p>
        </w:tc>
        <w:tc>
          <w:tcPr>
            <w:tcW w:type="dxa" w:w="1197"/>
            <w:vAlign w:val="center"/>
          </w:tcPr>
          <w:p>
            <w:pPr>
              <w:spacing w:before="20" w:after="20" w:line="260" w:lineRule="auto"/>
              <w:ind w:firstLine="0"/>
              <w:jc w:val="center"/>
            </w:pPr>
            <w:r>
              <w:rPr>
                <w:sz w:val="20"/>
                <w:szCs w:val="20"/>
              </w:rPr>
              <w:t xml:space="preserve">23</w:t>
            </w:r>
          </w:p>
        </w:tc>
      </w:tr>
      <w:tr>
        <w:trPr>
          <w:cantSplit/>
        </w:trPr>
        <w:tc>
          <w:tcPr>
            <w:tcW w:type="dxa" w:w="896"/>
            <w:vAlign w:val="center"/>
          </w:tcPr>
          <w:p>
            <w:pPr>
              <w:spacing w:before="20" w:after="20" w:line="260" w:lineRule="auto"/>
              <w:ind w:firstLine="0"/>
              <w:jc w:val="center"/>
            </w:pPr>
            <w:r>
              <w:rPr>
                <w:sz w:val="20"/>
                <w:szCs w:val="20"/>
              </w:rPr>
              <w:t xml:space="preserve">28</w:t>
            </w:r>
          </w:p>
        </w:tc>
        <w:tc>
          <w:tcPr>
            <w:tcW w:type="dxa" w:w="1493"/>
            <w:vAlign w:val="center"/>
          </w:tcPr>
          <w:p>
            <w:pPr>
              <w:spacing w:before="20" w:after="20" w:line="260" w:lineRule="auto"/>
              <w:ind w:firstLine="0"/>
              <w:jc w:val="left"/>
            </w:pPr>
            <w:r>
              <w:rPr>
                <w:sz w:val="20"/>
                <w:szCs w:val="20"/>
              </w:rPr>
              <w:t xml:space="preserve">state_code</w:t>
            </w:r>
          </w:p>
        </w:tc>
        <w:tc>
          <w:tcPr>
            <w:tcW w:type="dxa" w:w="1493"/>
            <w:vAlign w:val="center"/>
          </w:tcPr>
          <w:p>
            <w:pPr>
              <w:spacing w:before="20" w:after="20" w:line="260" w:lineRule="auto"/>
              <w:ind w:firstLine="0"/>
              <w:jc w:val="left"/>
            </w:pPr>
            <w:r>
              <w:rPr>
                <w:sz w:val="20"/>
                <w:szCs w:val="20"/>
              </w:rPr>
              <w:t xml:space="preserve">Nhận diện và siêu dữ liệu</w:t>
            </w:r>
          </w:p>
        </w:tc>
        <w:tc>
          <w:tcPr>
            <w:tcW w:type="dxa" w:w="1194"/>
            <w:vAlign w:val="center"/>
          </w:tcPr>
          <w:p>
            <w:pPr>
              <w:spacing w:before="20" w:after="20" w:line="260" w:lineRule="auto"/>
              <w:ind w:firstLine="0"/>
              <w:jc w:val="center"/>
            </w:pPr>
            <w:r>
              <w:rPr>
                <w:sz w:val="20"/>
                <w:szCs w:val="20"/>
              </w:rPr>
              <w:t xml:space="preserve">0,12</w:t>
            </w:r>
          </w:p>
        </w:tc>
        <w:tc>
          <w:tcPr>
            <w:tcW w:type="dxa" w:w="1335"/>
            <w:vAlign w:val="center"/>
          </w:tcPr>
          <w:p>
            <w:pPr>
              <w:spacing w:before="20" w:after="20" w:line="260" w:lineRule="auto"/>
              <w:ind w:firstLine="0"/>
              <w:jc w:val="center"/>
            </w:pPr>
            <w:r>
              <w:rPr>
                <w:sz w:val="20"/>
                <w:szCs w:val="20"/>
              </w:rPr>
              <w:t xml:space="preserve">163</w:t>
            </w:r>
          </w:p>
        </w:tc>
        <w:tc>
          <w:tcPr>
            <w:tcW w:type="dxa" w:w="1463"/>
            <w:vAlign w:val="center"/>
          </w:tcPr>
          <w:p>
            <w:pPr>
              <w:spacing w:before="20" w:after="20" w:line="260" w:lineRule="auto"/>
              <w:ind w:firstLine="0"/>
              <w:jc w:val="center"/>
            </w:pPr>
            <w:r>
              <w:rPr>
                <w:sz w:val="20"/>
                <w:szCs w:val="20"/>
              </w:rPr>
              <w:t xml:space="preserve">0,58</w:t>
            </w:r>
          </w:p>
        </w:tc>
        <w:tc>
          <w:tcPr>
            <w:tcW w:type="dxa" w:w="1197"/>
            <w:vAlign w:val="center"/>
          </w:tcPr>
          <w:p>
            <w:pPr>
              <w:spacing w:before="20" w:after="20" w:line="260" w:lineRule="auto"/>
              <w:ind w:firstLine="0"/>
              <w:jc w:val="center"/>
            </w:pPr>
            <w:r>
              <w:rPr>
                <w:sz w:val="20"/>
                <w:szCs w:val="20"/>
              </w:rPr>
              <w:t xml:space="preserve">28</w:t>
            </w:r>
          </w:p>
        </w:tc>
      </w:tr>
      <w:tr>
        <w:trPr>
          <w:cantSplit/>
        </w:trPr>
        <w:tc>
          <w:tcPr>
            <w:tcW w:type="dxa" w:w="896"/>
            <w:vAlign w:val="center"/>
          </w:tcPr>
          <w:p>
            <w:pPr>
              <w:spacing w:before="20" w:after="20" w:line="260" w:lineRule="auto"/>
              <w:ind w:firstLine="0"/>
              <w:jc w:val="center"/>
            </w:pPr>
            <w:r>
              <w:rPr>
                <w:sz w:val="20"/>
                <w:szCs w:val="20"/>
              </w:rPr>
              <w:t xml:space="preserve">29</w:t>
            </w:r>
          </w:p>
        </w:tc>
        <w:tc>
          <w:tcPr>
            <w:tcW w:type="dxa" w:w="1493"/>
            <w:vAlign w:val="center"/>
          </w:tcPr>
          <w:p>
            <w:pPr>
              <w:spacing w:before="20" w:after="20" w:line="260" w:lineRule="auto"/>
              <w:ind w:firstLine="0"/>
              <w:jc w:val="left"/>
            </w:pPr>
            <w:r>
              <w:rPr>
                <w:sz w:val="20"/>
                <w:szCs w:val="20"/>
              </w:rPr>
              <w:t xml:space="preserve">city_code</w:t>
            </w:r>
          </w:p>
        </w:tc>
        <w:tc>
          <w:tcPr>
            <w:tcW w:type="dxa" w:w="1493"/>
            <w:vAlign w:val="center"/>
          </w:tcPr>
          <w:p>
            <w:pPr>
              <w:spacing w:before="20" w:after="20" w:line="260" w:lineRule="auto"/>
              <w:ind w:firstLine="0"/>
              <w:jc w:val="left"/>
            </w:pPr>
            <w:r>
              <w:rPr>
                <w:sz w:val="20"/>
                <w:szCs w:val="20"/>
              </w:rPr>
              <w:t xml:space="preserve">Nhận diện và siêu dữ liệu</w:t>
            </w:r>
          </w:p>
        </w:tc>
        <w:tc>
          <w:tcPr>
            <w:tcW w:type="dxa" w:w="1194"/>
            <w:vAlign w:val="center"/>
          </w:tcPr>
          <w:p>
            <w:pPr>
              <w:spacing w:before="20" w:after="20" w:line="260" w:lineRule="auto"/>
              <w:ind w:firstLine="0"/>
              <w:jc w:val="center"/>
            </w:pPr>
            <w:r>
              <w:rPr>
                <w:sz w:val="20"/>
                <w:szCs w:val="20"/>
              </w:rPr>
              <w:t xml:space="preserve">0,11</w:t>
            </w:r>
          </w:p>
        </w:tc>
        <w:tc>
          <w:tcPr>
            <w:tcW w:type="dxa" w:w="1335"/>
            <w:vAlign w:val="center"/>
          </w:tcPr>
          <w:p>
            <w:pPr>
              <w:spacing w:before="20" w:after="20" w:line="260" w:lineRule="auto"/>
              <w:ind w:firstLine="0"/>
              <w:jc w:val="center"/>
            </w:pPr>
            <w:r>
              <w:rPr>
                <w:sz w:val="20"/>
                <w:szCs w:val="20"/>
              </w:rPr>
              <w:t xml:space="preserve">258</w:t>
            </w:r>
          </w:p>
        </w:tc>
        <w:tc>
          <w:tcPr>
            <w:tcW w:type="dxa" w:w="1463"/>
            <w:vAlign w:val="center"/>
          </w:tcPr>
          <w:p>
            <w:pPr>
              <w:spacing w:before="20" w:after="20" w:line="260" w:lineRule="auto"/>
              <w:ind w:firstLine="0"/>
              <w:jc w:val="center"/>
            </w:pPr>
            <w:r>
              <w:rPr>
                <w:sz w:val="20"/>
                <w:szCs w:val="20"/>
              </w:rPr>
              <w:t xml:space="preserve">0,92</w:t>
            </w:r>
          </w:p>
        </w:tc>
        <w:tc>
          <w:tcPr>
            <w:tcW w:type="dxa" w:w="1197"/>
            <w:vAlign w:val="center"/>
          </w:tcPr>
          <w:p>
            <w:pPr>
              <w:spacing w:before="20" w:after="20" w:line="260" w:lineRule="auto"/>
              <w:ind w:firstLine="0"/>
              <w:jc w:val="center"/>
            </w:pPr>
            <w:r>
              <w:rPr>
                <w:sz w:val="20"/>
                <w:szCs w:val="20"/>
              </w:rPr>
              <w:t xml:space="preserve">26</w:t>
            </w:r>
          </w:p>
        </w:tc>
      </w:tr>
      <w:tr>
        <w:trPr>
          <w:cantSplit/>
        </w:trPr>
        <w:tc>
          <w:tcPr>
            <w:tcW w:type="dxa" w:w="896"/>
            <w:vAlign w:val="center"/>
          </w:tcPr>
          <w:p>
            <w:pPr>
              <w:spacing w:before="20" w:after="20" w:line="260" w:lineRule="auto"/>
              <w:ind w:firstLine="0"/>
              <w:jc w:val="left"/>
            </w:pPr>
            <w:r>
              <w:rPr>
                <w:sz w:val="20"/>
                <w:szCs w:val="20"/>
              </w:rPr>
              <w:t xml:space="preserve"/>
            </w:r>
          </w:p>
        </w:tc>
        <w:tc>
          <w:tcPr>
            <w:tcW w:type="dxa" w:w="1493"/>
            <w:vAlign w:val="center"/>
          </w:tcPr>
          <w:p>
            <w:pPr>
              <w:spacing w:before="20" w:after="20" w:line="260" w:lineRule="auto"/>
              <w:ind w:firstLine="0"/>
              <w:jc w:val="left"/>
            </w:pPr>
            <w:r>
              <w:rPr>
                <w:sz w:val="20"/>
                <w:szCs w:val="20"/>
              </w:rPr>
              <w:t xml:space="preserve">Tổng 29 đặc trưng</w:t>
            </w:r>
          </w:p>
        </w:tc>
        <w:tc>
          <w:tcPr>
            <w:tcW w:type="dxa" w:w="1493"/>
            <w:vAlign w:val="center"/>
          </w:tcPr>
          <w:p>
            <w:pPr>
              <w:spacing w:before="20" w:after="20" w:line="260" w:lineRule="auto"/>
              <w:ind w:firstLine="0"/>
              <w:jc w:val="left"/>
            </w:pPr>
            <w:r>
              <w:rPr>
                <w:sz w:val="20"/>
                <w:szCs w:val="20"/>
              </w:rPr>
              <w:t xml:space="preserve"/>
            </w:r>
          </w:p>
        </w:tc>
        <w:tc>
          <w:tcPr>
            <w:tcW w:type="dxa" w:w="1194"/>
            <w:vAlign w:val="center"/>
          </w:tcPr>
          <w:p>
            <w:pPr>
              <w:spacing w:before="20" w:after="20" w:line="260" w:lineRule="auto"/>
              <w:ind w:firstLine="0"/>
              <w:jc w:val="center"/>
            </w:pPr>
            <w:r>
              <w:rPr>
                <w:sz w:val="20"/>
                <w:szCs w:val="20"/>
              </w:rPr>
              <w:t xml:space="preserve">100,00</w:t>
            </w:r>
          </w:p>
        </w:tc>
        <w:tc>
          <w:tcPr>
            <w:tcW w:type="dxa" w:w="1335"/>
            <w:vAlign w:val="center"/>
          </w:tcPr>
          <w:p>
            <w:pPr>
              <w:spacing w:before="20" w:after="20" w:line="260" w:lineRule="auto"/>
              <w:ind w:firstLine="0"/>
              <w:jc w:val="center"/>
            </w:pPr>
            <w:r>
              <w:rPr>
                <w:sz w:val="20"/>
                <w:szCs w:val="20"/>
              </w:rPr>
              <w:t xml:space="preserve">27.900</w:t>
            </w:r>
          </w:p>
        </w:tc>
        <w:tc>
          <w:tcPr>
            <w:tcW w:type="dxa" w:w="1463"/>
            <w:vAlign w:val="center"/>
          </w:tcPr>
          <w:p>
            <w:pPr>
              <w:spacing w:before="20" w:after="20" w:line="260" w:lineRule="auto"/>
              <w:ind w:firstLine="0"/>
              <w:jc w:val="center"/>
            </w:pPr>
            <w:r>
              <w:rPr>
                <w:sz w:val="20"/>
                <w:szCs w:val="20"/>
              </w:rPr>
              <w:t xml:space="preserve">100,00</w:t>
            </w:r>
          </w:p>
        </w:tc>
        <w:tc>
          <w:tcPr>
            <w:tcW w:type="dxa" w:w="1197"/>
            <w:vAlign w:val="center"/>
          </w:tcPr>
          <w:p>
            <w:pPr>
              <w:spacing w:before="20" w:after="20" w:line="260" w:lineRule="auto"/>
              <w:ind w:firstLine="0"/>
              <w:jc w:val="left"/>
            </w:pPr>
            <w:r>
              <w:rPr>
                <w:sz w:val="20"/>
                <w:szCs w:val="20"/>
              </w:rPr>
              <w:t xml:space="preserve"/>
            </w:r>
          </w:p>
        </w:tc>
      </w:tr>
    </w:tbl>
    <w:p>
      <w:pPr>
        <w:spacing w:before="40" w:after="160"/>
        <w:ind w:firstLine="0"/>
      </w:pPr>
      <w:r>
        <w:rPr>
          <w:i/>
          <w:sz w:val="22"/>
          <w:szCs w:val="22"/>
        </w:rPr>
        <w:t xml:space="preserve">Nguồn: outputs/04_model_comparison/selected_model_feature_importance.csv và lightgbm_feature_importance.csv; cột nhóm thông tin, tỷ trọng số lần tách và thứ hạng do tác giả phân loại và tính lại. Tổng tỷ trọng gain làm tròn có thể lệch nhỏ so với 100,00.</w:t>
      </w:r>
    </w:p>
    <w:p>
      <w:pPr>
        <w:keepLines w:val="0"/>
        <w:spacing w:after="120"/>
        <w:ind w:firstLine="567"/>
      </w:pPr>
      <w:r>
        <w:t xml:space="preserve">Hình 4.12 biểu diễn 20 đặc trưng có số lần tách lớn nhất của LightGBM, tức chỉ một trong hai góc nhìn; các thanh giảm dần khá đều từ oil_price_lag16 xuống roll_std_7, không có đặc trưng nào áp đảo như trong phân bố gain. Gộp theo nhóm thông tin, theo gain của XGBoost, bảy độ trễ doanh số chiếm 55,96% và sáu thống kê trượt chiếm 39,09%, tức thông tin về mức doanh số gần đây của chính chuỗi chiếm 95,05%; nhóm lịch chỉ 2,73%, nhận diện và siêu dữ liệu 1,18%, ba biến ngoại sinh 0,70% và onpromotion 0,34%. Theo số lần tách của LightGBM, nhóm lịch chiếm 30,63%, độ trễ 21,62%, ngoại sinh 18,96%, nhận diện và siêu dữ liệu 12,14%, thống kê trượt 10,77% và onpromotion 5,87%; độ trễ cộng thống kê trượt chỉ 32,39%. Hệ số Spearman giữa hai thứ hạng của 29 đặc trưng chỉ bằng 0,152 (p = 0,43): hai góc nhìn gần như không thống nhất về thứ tự.</w:t>
      </w:r>
    </w:p>
    <w:p>
      <w:pPr>
        <w:jc w:val="center"/>
      </w:pPr>
      <w:r>
        <w:drawing>
          <wp:inline xmlns:a="http://schemas.openxmlformats.org/drawingml/2006/main" xmlns:pic="http://schemas.openxmlformats.org/drawingml/2006/picture">
            <wp:extent cx="5580000" cy="4315697"/>
            <wp:docPr id="5016" name="Picture 5016"/>
            <wp:cNvGraphicFramePr>
              <a:graphicFrameLocks noChangeAspect="1"/>
            </wp:cNvGraphicFramePr>
            <a:graphic>
              <a:graphicData uri="http://schemas.openxmlformats.org/drawingml/2006/picture">
                <pic:pic>
                  <pic:nvPicPr>
                    <pic:cNvPr id="0" name="F10_feature_importance_914.png"/>
                    <pic:cNvPicPr/>
                  </pic:nvPicPr>
                  <pic:blipFill>
                    <a:blip r:embed="rId115"/>
                    <a:stretch>
                      <a:fillRect/>
                    </a:stretch>
                  </pic:blipFill>
                  <pic:spPr>
                    <a:xfrm>
                      <a:off x="0" y="0"/>
                      <a:ext cx="5580000" cy="4315697"/>
                    </a:xfrm>
                    <a:prstGeom prst="rect"/>
                  </pic:spPr>
                </pic:pic>
              </a:graphicData>
            </a:graphic>
          </wp:inline>
        </w:drawing>
      </w:r>
    </w:p>
    <w:p>
      <w:pPr>
        <w:keepNext w:val="0"/>
        <w:spacing w:after="160"/>
        <w:ind w:firstLine="0"/>
        <w:jc w:val="center"/>
      </w:pPr>
      <w:r>
        <w:t xml:space="preserve">Hình 4.12. 20 đặc trưng có số lần tách lớn nhất trong mô hình đối chứng LightGBM</w:t>
      </w:r>
    </w:p>
    <w:p>
      <w:pPr>
        <w:spacing w:before="0" w:after="160"/>
        <w:ind w:firstLine="0"/>
        <w:jc w:val="center"/>
      </w:pPr>
      <w:r>
        <w:rPr>
          <w:i/>
          <w:sz w:val="22"/>
          <w:szCs w:val="22"/>
        </w:rPr>
        <w:t xml:space="preserve">Nguồn: REPORT_READY/figures/F10_feature_importance.png</w:t>
      </w:r>
    </w:p>
    <w:p>
      <w:pPr>
        <w:keepLines w:val="0"/>
        <w:spacing w:after="120"/>
        <w:ind w:firstLine="567"/>
      </w:pPr>
      <w:r>
        <w:t xml:space="preserve">Sự tương phản này có thể được giải thích bằng cách hai thước đo vận hành, dù không tách được hoàn toàn ảnh hưởng của khác biệt mô hình. Doanh số giữa các chuỗi chênh nhau nhiều bậc độ lớn, nên những lần tách phân biệt mức doanh số là những lần tách giảm bình phương sai số nhiều nhất. lag_21 là bội số nhỏ nhất của 7 không nhỏ hơn kỳ dự báo 16 ngày, tức giá trị cùng ngày trong tuần gần gốc nhất mà mọi ngày của kỳ đều được phép dùng; roll_mean_7 là trung bình 7 ngày của chuỗi đã dịch 16 ngày, tức mức doanh số tuần gần nhất. Sau khi các lần tách đầu đã neo dự báo vào đúng quy mô, đặc trưng lịch và ngoại sinh chủ yếu tinh chỉnh ở lá sâu: được dùng thường xuyên nhưng mỗi lần giảm sai số ít. Hai trường hợp minh họa thiên lệch của số lần tách: oil_price_lag16, biến liên tục, đứng đầu theo số lần tách nhưng chỉ thứ 18 theo gain (0,30%); is_weekend, biến nhị phân, đứng cuối với 97 lần tách nhưng thứ 9 theo gain (0,61%), cao hơn day, dow và weekofyear.</w:t>
      </w:r>
    </w:p>
    <w:p>
      <w:pPr>
        <w:keepLines w:val="0"/>
        <w:spacing w:after="120"/>
        <w:ind w:firstLine="567"/>
      </w:pPr>
      <w:r>
        <w:t xml:space="preserve">Riêng oil_price_lag16 còn có một tính chất cấu trúc: giá dầu là một giá trị duy nhất cho mỗi ngày, giống nhau với mọi chuỗi, và thay đổi chậm, nên có thể được dùng như một chỉ số gián tiếp của thời kỳ bên cạnh thông tin kinh tế vĩ mô mà nó mang theo. Luận văn không có bằng chứng để tách hai vai trò này; điều khẳng định được chỉ là LightGBM dùng biến này thường xuyên còn XGBoost thu được rất ít gain từ nó. Trong nhóm độ trễ, gain tập trung ở các độ trễ là bội số của 7 (lag_21, lag_28, lag_56, lag_42, lag_35), vốn tham chiếu đúng cùng ngày trong tuần với ngày cần dự báo, trong khi lag_16 và lag_32 chỉ có 0,53% và 0,22%. Do các độ trễ và thống kê trượt tương quan cao với nhau, phân bổ gain giữa chúng không nên được diễn giải quá chi tiết; điều vững hơn là toàn nhóm thông tin về mức doanh số gần đây chiếm gần như toàn bộ gain.</w:t>
      </w:r>
    </w:p>
    <w:p>
      <w:pPr>
        <w:pStyle w:val="Heading3"/>
        <w:keepNext/>
      </w:pPr>
      <w:r>
        <w:t xml:space="preserve">4.8.3. Giới hạn diễn giải và ý nghĩa vận hành</w:t>
      </w:r>
    </w:p>
    <w:p>
      <w:pPr>
        <w:keepLines w:val="0"/>
        <w:spacing w:after="120"/>
        <w:ind w:firstLine="567"/>
      </w:pPr>
      <w:r>
        <w:t xml:space="preserve">Việc onpromotion đứng thứ tư theo số lần tách của LightGBM nhưng chỉ chiếm 0,34% gain của XGBoost cho thấy số mặt hàng khuyến mãi là tín hiệu được dùng thường xuyên để tinh chỉnh, không phải nguồn chính của mức giảm sai số. Cả hai con số đều không chứng minh rằng tăng khuyến mãi sẽ làm tăng doanh số theo một mức nào đó, và gain thấp cũng không chứng minh khuyến mãi không có tác động, vì một phần ảnh hưởng của khuyến mãi lặp lại có thể đã phản ánh qua các độ trễ. Trong dữ liệu quan sát, khuyến mãi không được gán ngẫu nhiên, nên liên hệ mô hình học được là liên hệ dự báo, không phải hiệu ứng can thiệp; ước lượng tác động nhân quả đòi hỏi khung kết quả tiềm năng và giả định về cơ chế gán can thiệp (Imbens và Rubin, 2015). Giới hạn này có hệ quả trực tiếp cho lớp kịch bản khuyến mãi ở mục 4.10. Tương tự, số lần tách cao của store_code và family_code không có nghĩa mã định danh tạo ra nhu cầu; chúng đại diện cho khác biệt không quan sát được giữa địa điểm và nhóm hàng.</w:t>
      </w:r>
    </w:p>
    <w:p>
      <w:pPr>
        <w:keepLines w:val="0"/>
        <w:spacing w:after="120"/>
        <w:ind w:firstLine="567"/>
      </w:pPr>
      <w:r>
        <w:t xml:space="preserve">Về vận hành, mức độ quan trọng của đặc trưng có ích nhất cho việc thiết kế kiểm soát chất lượng dữ liệu. Gain tập trung vào lag_21, roll_mean_7 và các độ trễ khác cho thấy chất lượng dự báo phụ thuộc trước hết vào tính đầy đủ và đúng lịch của chính lịch sử doanh số; vì vậy việc hoàn thiện lịch ngày cho mọi chuỗi, với bốn ngày 25/12 mang cờ closed để mọi độ trễ là độ trễ theo ngày lịch, là điều kiện cần giữ nguyên khi vận hành. Các biến oil_price_lag16, transactions_lag16 và transactions_roll28_lag16 phụ thuộc nguồn dữ liệu bên ngoài; theo thiết kế của nghiên cứu, giá dầu được điền tiến trên lịch ngày rồi dịch 16 ngày lịch, còn số giao dịch được dịch và lấy trung bình trượt trên lịch ngày của từng cửa hàng trước khi ghép vào bảng chuỗi, để giá trị của cửa hàng hay nhóm hàng khác không tràn sang khi điền giá trị thiếu. Nếu các nguồn này chậm cập nhật, mô hình vẫn trả về dự báo bình thường nhưng dựa trên đầu vào sai, dù với gain thấp của nhóm này, ảnh hưởng tới XGBoost nhiều khả năng hạn chế. Với onpromotion, quy trình giả định kế hoạch khuyến mãi được biết trước, nên kiểm tra tính đầy đủ và thời điểm chốt kế hoạch phải là bước bắt buộc khi triển khai.</w:t>
      </w:r>
    </w:p>
    <w:p>
      <w:pPr>
        <w:keepLines w:val="0"/>
        <w:spacing w:after="120"/>
        <w:ind w:firstLine="567"/>
      </w:pPr>
      <w:r>
        <w:t xml:space="preserve">Kết quả của mục này có thể được củng cố theo hai hướng mở rộng chưa được thực hiện. Hướng thứ nhất là mức độ quan trọng hoán vị (permutation importance) trên tập kiểm tra cuối, ít bị ảnh hưởng bởi số lượng giá trị phân biệt và cho phép so sánh hai mô hình trên cùng một thước đo, qua đó tách phần khác biệt do mô hình khỏi phần do thước đo. Hướng thứ hai là SHAP (Lundberg và Lee, 2017) để giải thích từng dự báo, chẳng hạn vì sao một chuỗi GROCERY I bị dự báo cao vào cuối tuần; khi đó phiếu khuyến nghị gửi người phê duyệt có thể chứa cả lý do của dự báo.</w:t>
      </w:r>
    </w:p>
    <w:p>
      <w:pPr>
        <w:pStyle w:val="Heading2"/>
        <w:keepNext/>
      </w:pPr>
      <w:r>
        <w:t xml:space="preserve">4.9. Kết quả dự báo xác suất P10/P50/P90</w:t>
      </w:r>
    </w:p>
    <w:p>
      <w:pPr>
        <w:pStyle w:val="Heading3"/>
        <w:keepNext/>
      </w:pPr>
      <w:r>
        <w:t xml:space="preserve">4.9.1. Cơ chế Mondrian và độ rộng theo nhóm quy mô</w:t>
      </w:r>
    </w:p>
    <w:p>
      <w:pPr>
        <w:keepLines w:val="0"/>
        <w:spacing w:after="120"/>
        <w:ind w:firstLine="567"/>
      </w:pPr>
      <w:r>
        <w:t xml:space="preserve">Như đã trình bày ở mục 3.10, vì XGBoost được chọn, lớp dự báo xác suất sử dụng khoảng phần dư split-conformal theo nhóm (Mondrian). Một mô hình XGBoost cùng cấu hình được huấn luyện trên dữ liệu trước 15/07/2017, và phần dư y − ŷ của nó được tính trên cửa sổ hiệu chỉnh 16 ngày từ 15/07/2017 đến 30/07/2017, trùng lần kiểm định thứ ba. Cửa sổ hiệu chỉnh được chia thành tối đa 10 nhóm theo các phân vị 0, 10%, …, 100% của dự báo điểm; vì các biên phân vị trùng nhau ở vùng dự báo bằng 0 được gộp, lần chạy còn 9 nhóm. Trong từng nhóm, quy trình lấy phân vị 0,1, 0,5 và 0,9 của phần dư; mỗi dòng của tập kiểm tra nhận phân vị của nhóm chứa dự báo điểm của nó theo công thức (4.5), rồi được chặn tại 0 và sắp xếp lại để P10 ≤ P50 ≤ P90.</w:t>
      </w:r>
    </w:p>
    <w:p>
      <w:pPr>
        <w:tabs>
          <w:tab w:val="center" w:pos="4535"/>
          <w:tab w:val="right" w:pos="9071"/>
        </w:tabs>
        <w:spacing w:before="60" w:after="60"/>
        <w:ind w:firstLine="0"/>
      </w:pPr>
      <w:r>
        <w:tab/>
      </w:r>
      <m:oMath xmlns:a="http://schemas.openxmlformats.org/drawingml/2006/main" xmlns:pic="http://schemas.openxmlformats.org/drawingml/2006/picture">
        <m:sSub>
          <m:e>
            <m:r>
              <m:t>P</m:t>
            </m:r>
          </m:e>
          <m:sub>
            <m:r>
              <m:t>τ</m:t>
            </m:r>
            <m:r>
              <m:rPr>
                <m:sty m:val="p"/>
              </m:rPr>
              <m:t>,</m:t>
            </m:r>
            <m:r>
              <m:t>j</m:t>
            </m:r>
          </m:sub>
        </m:sSub>
        <m:r>
          <m:rPr>
            <m:sty m:val="p"/>
          </m:rPr>
          <m:t>=</m:t>
        </m:r>
        <m:r>
          <m:rPr>
            <m:sty m:val="p"/>
          </m:rPr>
          <m:t>max</m:t>
        </m:r>
        <m:d>
          <m:dPr>
            <m:begChr m:val="("/>
            <m:sepChr m:val=""/>
            <m:endChr m:val=")"/>
            <m:grow/>
          </m:dPr>
          <m:e>
            <m:r>
              <m:t>0</m:t>
            </m:r>
            <m:r>
              <m:rPr>
                <m:sty m:val="p"/>
              </m:rPr>
              <m:t>,</m:t>
            </m:r>
            <m:r>
              <m:t> </m:t>
            </m:r>
            <m:sSub>
              <m:e>
                <m:acc>
                  <m:accPr>
                    <m:chr m:val="̂"/>
                  </m:accPr>
                  <m:e>
                    <m:r>
                      <m:t>y</m:t>
                    </m:r>
                  </m:e>
                </m:acc>
              </m:e>
              <m:sub>
                <m:r>
                  <m:t>j</m:t>
                </m:r>
              </m:sub>
            </m:sSub>
            <m:r>
              <m:rPr>
                <m:sty m:val="p"/>
              </m:rPr>
              <m:t>+</m:t>
            </m:r>
            <m:sSub>
              <m:e>
                <m:acc>
                  <m:accPr>
                    <m:chr m:val="̂"/>
                  </m:accPr>
                  <m:e>
                    <m:r>
                      <m:t>q</m:t>
                    </m:r>
                  </m:e>
                </m:acc>
              </m:e>
              <m:sub>
                <m:r>
                  <m:t>τ</m:t>
                </m:r>
              </m:sub>
            </m:sSub>
            <m:d>
              <m:dPr>
                <m:begChr m:val="("/>
                <m:sepChr m:val=""/>
                <m:endChr m:val=")"/>
                <m:grow/>
              </m:dPr>
              <m:e>
                <m:r>
                  <m:t>b</m:t>
                </m:r>
                <m:d>
                  <m:dPr>
                    <m:begChr m:val="("/>
                    <m:sepChr m:val=""/>
                    <m:endChr m:val=")"/>
                    <m:grow/>
                  </m:dPr>
                  <m:e>
                    <m:sSub>
                      <m:e>
                        <m:acc>
                          <m:accPr>
                            <m:chr m:val="̂"/>
                          </m:accPr>
                          <m:e>
                            <m:r>
                              <m:t>y</m:t>
                            </m:r>
                          </m:e>
                        </m:acc>
                      </m:e>
                      <m:sub>
                        <m:r>
                          <m:t>j</m:t>
                        </m:r>
                      </m:sub>
                    </m:sSub>
                  </m:e>
                </m:d>
              </m:e>
            </m:d>
          </m:e>
        </m:d>
        <m:r>
          <m:rPr>
            <m:sty m:val="p"/>
          </m:rPr>
          <m:t>,</m:t>
        </m:r>
        <m:r>
          <m:t>  </m:t>
        </m:r>
        <m:sSub>
          <m:e>
            <m:acc>
              <m:accPr>
                <m:chr m:val="̂"/>
              </m:accPr>
              <m:e>
                <m:r>
                  <m:t>q</m:t>
                </m:r>
              </m:e>
            </m:acc>
          </m:e>
          <m:sub>
            <m:r>
              <m:t>τ</m:t>
            </m:r>
          </m:sub>
        </m:sSub>
        <m:d>
          <m:dPr>
            <m:begChr m:val="("/>
            <m:sepChr m:val=""/>
            <m:endChr m:val=")"/>
            <m:grow/>
          </m:dPr>
          <m:e>
            <m:r>
              <m:t>b</m:t>
            </m:r>
          </m:e>
        </m:d>
        <m:r>
          <m:rPr>
            <m:sty m:val="p"/>
          </m:rPr>
          <m:t>=</m:t>
        </m:r>
        <m:sSub>
          <m:e>
            <m:r>
              <m:rPr>
                <m:sty m:val="p"/>
              </m:rPr>
              <m:t>Q</m:t>
            </m:r>
            <m:r>
              <m:rPr>
                <m:sty m:val="p"/>
              </m:rPr>
              <m:t>u</m:t>
            </m:r>
            <m:r>
              <m:rPr>
                <m:sty m:val="p"/>
              </m:rPr>
              <m:t>a</m:t>
            </m:r>
            <m:r>
              <m:rPr>
                <m:sty m:val="p"/>
              </m:rPr>
              <m:t>n</m:t>
            </m:r>
            <m:r>
              <m:rPr>
                <m:sty m:val="p"/>
              </m:rPr>
              <m:t>t</m:t>
            </m:r>
            <m:r>
              <m:rPr>
                <m:sty m:val="p"/>
              </m:rPr>
              <m:t>i</m:t>
            </m:r>
            <m:r>
              <m:rPr>
                <m:sty m:val="p"/>
              </m:rPr>
              <m:t>l</m:t>
            </m:r>
            <m:r>
              <m:rPr>
                <m:sty m:val="p"/>
              </m:rPr>
              <m:t>e</m:t>
            </m:r>
          </m:e>
          <m:sub>
            <m:r>
              <m:t>τ</m:t>
            </m:r>
          </m:sub>
        </m:sSub>
        <m:d>
          <m:dPr>
            <m:begChr m:val="{"/>
            <m:sepChr m:val=""/>
            <m:endChr m:val="}"/>
            <m:grow/>
          </m:dPr>
          <m:e>
            <m:sSub>
              <m:e>
                <m:r>
                  <m:t>y</m:t>
                </m:r>
              </m:e>
              <m:sub>
                <m:r>
                  <m:t>i</m:t>
                </m:r>
              </m:sub>
            </m:sSub>
            <m:r>
              <m:rPr>
                <m:sty m:val="p"/>
              </m:rPr>
              <m:t>−</m:t>
            </m:r>
            <m:sSub>
              <m:e>
                <m:acc>
                  <m:accPr>
                    <m:chr m:val="̂"/>
                  </m:accPr>
                  <m:e>
                    <m:r>
                      <m:t>y</m:t>
                    </m:r>
                  </m:e>
                </m:acc>
              </m:e>
              <m:sub>
                <m:r>
                  <m:t>i</m:t>
                </m:r>
              </m:sub>
            </m:sSub>
            <m:r>
              <m:rPr>
                <m:sty m:val="p"/>
              </m:rPr>
              <m:t>:</m:t>
            </m:r>
            <m:r>
              <m:t> </m:t>
            </m:r>
            <m:r>
              <m:t>i</m:t>
            </m:r>
            <m:r>
              <m:rPr>
                <m:sty m:val="p"/>
              </m:rPr>
              <m:t>∈</m:t>
            </m:r>
            <m:r>
              <m:rPr>
                <m:scr m:val="script"/>
                <m:sty m:val="p"/>
              </m:rPr>
              <m:t>C</m:t>
            </m:r>
            <m:r>
              <m:rPr>
                <m:sty m:val="p"/>
              </m:rPr>
              <m:t>,</m:t>
            </m:r>
            <m:r>
              <m:t> </m:t>
            </m:r>
            <m:r>
              <m:t>b</m:t>
            </m:r>
            <m:d>
              <m:dPr>
                <m:begChr m:val="("/>
                <m:sepChr m:val=""/>
                <m:endChr m:val=")"/>
                <m:grow/>
              </m:dPr>
              <m:e>
                <m:sSub>
                  <m:e>
                    <m:acc>
                      <m:accPr>
                        <m:chr m:val="̂"/>
                      </m:accPr>
                      <m:e>
                        <m:r>
                          <m:t>y</m:t>
                        </m:r>
                      </m:e>
                    </m:acc>
                  </m:e>
                  <m:sub>
                    <m:r>
                      <m:t>i</m:t>
                    </m:r>
                  </m:sub>
                </m:sSub>
              </m:e>
            </m:d>
            <m:r>
              <m:rPr>
                <m:sty m:val="p"/>
              </m:rPr>
              <m:t>=</m:t>
            </m:r>
            <m:r>
              <m:t>b</m:t>
            </m:r>
          </m:e>
        </m:d>
        <m:r>
          <m:rPr>
            <m:sty m:val="p"/>
          </m:rPr>
          <m:t>,</m:t>
        </m:r>
        <m:r>
          <m:t>  </m:t>
        </m:r>
        <m:r>
          <m:t>τ</m:t>
        </m:r>
        <m:r>
          <m:rPr>
            <m:sty m:val="p"/>
          </m:rPr>
          <m:t>∈</m:t>
        </m:r>
        <m:r>
          <m:rPr>
            <m:sty m:val="p"/>
          </m:rPr>
          <m:t>{</m:t>
        </m:r>
        <m:r>
          <m:t>0</m:t>
        </m:r>
        <m:r>
          <m:rPr>
            <m:sty m:val="p"/>
          </m:rPr>
          <m:t>,</m:t>
        </m:r>
        <m:r>
          <m:t>1</m:t>
        </m:r>
        <m:r>
          <m:rPr>
            <m:sty m:val="p"/>
          </m:rPr>
          <m:t>;</m:t>
        </m:r>
        <m:r>
          <m:t> </m:t>
        </m:r>
        <m:r>
          <m:t>0</m:t>
        </m:r>
        <m:r>
          <m:rPr>
            <m:sty m:val="p"/>
          </m:rPr>
          <m:t>,</m:t>
        </m:r>
        <m:r>
          <m:t>5</m:t>
        </m:r>
        <m:r>
          <m:rPr>
            <m:sty m:val="p"/>
          </m:rPr>
          <m:t>;</m:t>
        </m:r>
        <m:r>
          <m:t> </m:t>
        </m:r>
        <m:r>
          <m:t>0</m:t>
        </m:r>
        <m:r>
          <m:rPr>
            <m:sty m:val="p"/>
          </m:rPr>
          <m:t>,</m:t>
        </m:r>
        <m:r>
          <m:t>9</m:t>
        </m:r>
        <m:r>
          <m:rPr>
            <m:sty m:val="p"/>
          </m:rPr>
          <m:t>}</m:t>
        </m:r>
      </m:oMath>
      <w:r>
        <w:tab/>
        <w:t>(4.5)</w:t>
      </w:r>
    </w:p>
    <w:p>
      <w:pPr>
        <w:keepLines w:val="0"/>
        <w:spacing w:after="120"/>
        <w:ind w:firstLine="567"/>
      </w:pPr>
      <w:r>
        <w:t xml:space="preserve">Trong công thức trên, 𝒞 là tập quan sát của cửa sổ hiệu chỉnh, b(ŷ) là nhóm chứa dự báo điểm ŷ và q̂τ(b) là phân vị τ của phần dư hiệu chỉnh trong nhóm b. Bảng 4.11 trình bày biên, số quan sát hiệu chỉnh, ba phân vị phần dư và độ rộng q90 − q10 của 9 nhóm, cùng số quan sát và độ bao phủ trên tập kiểm tra cuối do tác giả tính lại. Độ rộng tăng đơn điệu và rất mạnh theo quy mô, từ 4,22 ở nhóm 1 (dự báo điểm dưới 1) lên 1.175,96 ở nhóm 9 (dự báo điểm từ 1.226,78 trở lên), tức gấp khoảng 279 lần. Ở các nhóm lớn, q90 có trị tuyệt đối lớn hơn q10 rõ rệt (nhóm 9: 767,44 so với −408,53), tức phần dư lệch về phía thực tế vượt dự báo. Phân vị 0,5 của phần dư dao động từ −9,54 đến 8,96, không có dấu nhất quán giữa các nhóm, nên P50 chỉ khác dự báo điểm một lượng nhỏ.</w:t>
      </w:r>
    </w:p>
    <w:p>
      <w:pPr>
        <w:keepNext/>
        <w:spacing w:before="120" w:after="60"/>
        <w:ind w:firstLine="0"/>
        <w:jc w:val="center"/>
      </w:pPr>
      <w:r>
        <w:t xml:space="preserve">Bảng 4.11. Các nhóm Mondrian theo dự báo điểm trên cửa sổ hiệu chỉnh: phân vị phần dư, độ rộng và độ bao phủ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824"/>
        <w:gridCol w:w="1335"/>
        <w:gridCol w:w="1009"/>
        <w:gridCol w:w="824"/>
        <w:gridCol w:w="824"/>
        <w:gridCol w:w="824"/>
        <w:gridCol w:w="1201"/>
        <w:gridCol w:w="921"/>
        <w:gridCol w:w="1309"/>
      </w:tblGrid>
      <w:tr>
        <w:trPr>
          <w:tblHeader/>
          <w:cantSplit/>
        </w:trPr>
        <w:tc>
          <w:tcPr>
            <w:tcW w:type="dxa" w:w="824"/>
            <w:shd w:val="clear" w:color="auto" w:fill="D9E2F3"/>
            <w:vAlign w:val="center"/>
          </w:tcPr>
          <w:p>
            <w:pPr>
              <w:spacing w:before="20" w:after="20" w:line="260" w:lineRule="auto"/>
              <w:ind w:firstLine="0"/>
              <w:jc w:val="center"/>
            </w:pPr>
            <w:r>
              <w:rPr>
                <w:b/>
                <w:sz w:val="20"/>
                <w:szCs w:val="20"/>
              </w:rPr>
              <w:t xml:space="preserve">Nhóm</w:t>
            </w:r>
          </w:p>
        </w:tc>
        <w:tc>
          <w:tcPr>
            <w:tcW w:type="dxa" w:w="1335"/>
            <w:shd w:val="clear" w:color="auto" w:fill="D9E2F3"/>
            <w:vAlign w:val="center"/>
          </w:tcPr>
          <w:p>
            <w:pPr>
              <w:spacing w:before="20" w:after="20" w:line="260" w:lineRule="auto"/>
              <w:ind w:firstLine="0"/>
              <w:jc w:val="center"/>
            </w:pPr>
            <w:r>
              <w:rPr>
                <w:b/>
                <w:sz w:val="20"/>
                <w:szCs w:val="20"/>
              </w:rPr>
              <w:t xml:space="preserve">Khoảng dự báo điểm</w:t>
            </w:r>
          </w:p>
        </w:tc>
        <w:tc>
          <w:tcPr>
            <w:tcW w:type="dxa" w:w="1009"/>
            <w:shd w:val="clear" w:color="auto" w:fill="D9E2F3"/>
            <w:vAlign w:val="center"/>
          </w:tcPr>
          <w:p>
            <w:pPr>
              <w:spacing w:before="20" w:after="20" w:line="260" w:lineRule="auto"/>
              <w:ind w:firstLine="0"/>
              <w:jc w:val="center"/>
            </w:pPr>
            <w:r>
              <w:rPr>
                <w:b/>
                <w:sz w:val="20"/>
                <w:szCs w:val="20"/>
              </w:rPr>
              <w:t xml:space="preserve">n hiệu chỉnh</w:t>
            </w:r>
          </w:p>
        </w:tc>
        <w:tc>
          <w:tcPr>
            <w:tcW w:type="dxa" w:w="824"/>
            <w:shd w:val="clear" w:color="auto" w:fill="D9E2F3"/>
            <w:vAlign w:val="center"/>
          </w:tcPr>
          <w:p>
            <w:pPr>
              <w:spacing w:before="20" w:after="20" w:line="260" w:lineRule="auto"/>
              <w:ind w:firstLine="0"/>
              <w:jc w:val="center"/>
            </w:pPr>
            <w:r>
              <w:rPr>
                <w:b/>
                <w:sz w:val="20"/>
                <w:szCs w:val="20"/>
              </w:rPr>
              <w:t xml:space="preserve">q10</w:t>
            </w:r>
          </w:p>
        </w:tc>
        <w:tc>
          <w:tcPr>
            <w:tcW w:type="dxa" w:w="824"/>
            <w:shd w:val="clear" w:color="auto" w:fill="D9E2F3"/>
            <w:vAlign w:val="center"/>
          </w:tcPr>
          <w:p>
            <w:pPr>
              <w:spacing w:before="20" w:after="20" w:line="260" w:lineRule="auto"/>
              <w:ind w:firstLine="0"/>
              <w:jc w:val="center"/>
            </w:pPr>
            <w:r>
              <w:rPr>
                <w:b/>
                <w:sz w:val="20"/>
                <w:szCs w:val="20"/>
              </w:rPr>
              <w:t xml:space="preserve">q50</w:t>
            </w:r>
          </w:p>
        </w:tc>
        <w:tc>
          <w:tcPr>
            <w:tcW w:type="dxa" w:w="824"/>
            <w:shd w:val="clear" w:color="auto" w:fill="D9E2F3"/>
            <w:vAlign w:val="center"/>
          </w:tcPr>
          <w:p>
            <w:pPr>
              <w:spacing w:before="20" w:after="20" w:line="260" w:lineRule="auto"/>
              <w:ind w:firstLine="0"/>
              <w:jc w:val="center"/>
            </w:pPr>
            <w:r>
              <w:rPr>
                <w:b/>
                <w:sz w:val="20"/>
                <w:szCs w:val="20"/>
              </w:rPr>
              <w:t xml:space="preserve">q90</w:t>
            </w:r>
          </w:p>
        </w:tc>
        <w:tc>
          <w:tcPr>
            <w:tcW w:type="dxa" w:w="1201"/>
            <w:shd w:val="clear" w:color="auto" w:fill="D9E2F3"/>
            <w:vAlign w:val="center"/>
          </w:tcPr>
          <w:p>
            <w:pPr>
              <w:spacing w:before="20" w:after="20" w:line="260" w:lineRule="auto"/>
              <w:ind w:firstLine="0"/>
              <w:jc w:val="center"/>
            </w:pPr>
            <w:r>
              <w:rPr>
                <w:b/>
                <w:sz w:val="20"/>
                <w:szCs w:val="20"/>
              </w:rPr>
              <w:t xml:space="preserve">Độ rộng q90 − q10</w:t>
            </w:r>
          </w:p>
        </w:tc>
        <w:tc>
          <w:tcPr>
            <w:tcW w:type="dxa" w:w="921"/>
            <w:shd w:val="clear" w:color="auto" w:fill="D9E2F3"/>
            <w:vAlign w:val="center"/>
          </w:tcPr>
          <w:p>
            <w:pPr>
              <w:spacing w:before="20" w:after="20" w:line="260" w:lineRule="auto"/>
              <w:ind w:firstLine="0"/>
              <w:jc w:val="center"/>
            </w:pPr>
            <w:r>
              <w:rPr>
                <w:b/>
                <w:sz w:val="20"/>
                <w:szCs w:val="20"/>
              </w:rPr>
              <w:t xml:space="preserve">n kiểm tra</w:t>
            </w:r>
          </w:p>
        </w:tc>
        <w:tc>
          <w:tcPr>
            <w:tcW w:type="dxa" w:w="1309"/>
            <w:shd w:val="clear" w:color="auto" w:fill="D9E2F3"/>
            <w:vAlign w:val="center"/>
          </w:tcPr>
          <w:p>
            <w:pPr>
              <w:spacing w:before="20" w:after="20" w:line="260" w:lineRule="auto"/>
              <w:ind w:firstLine="0"/>
              <w:jc w:val="center"/>
            </w:pPr>
            <w:r>
              <w:rPr>
                <w:b/>
                <w:sz w:val="20"/>
                <w:szCs w:val="20"/>
              </w:rPr>
              <w:t xml:space="preserve">Bao phủ kiểm tra (%)</w:t>
            </w:r>
          </w:p>
        </w:tc>
      </w:tr>
      <w:tr>
        <w:trPr>
          <w:cantSplit/>
        </w:trPr>
        <w:tc>
          <w:tcPr>
            <w:tcW w:type="dxa" w:w="824"/>
            <w:vAlign w:val="center"/>
          </w:tcPr>
          <w:p>
            <w:pPr>
              <w:spacing w:before="20" w:after="20" w:line="260" w:lineRule="auto"/>
              <w:ind w:firstLine="0"/>
              <w:jc w:val="center"/>
            </w:pPr>
            <w:r>
              <w:rPr>
                <w:sz w:val="20"/>
                <w:szCs w:val="20"/>
              </w:rPr>
              <w:t xml:space="preserve">1</w:t>
            </w:r>
          </w:p>
        </w:tc>
        <w:tc>
          <w:tcPr>
            <w:tcW w:type="dxa" w:w="1335"/>
            <w:vAlign w:val="center"/>
          </w:tcPr>
          <w:p>
            <w:pPr>
              <w:spacing w:before="20" w:after="20" w:line="260" w:lineRule="auto"/>
              <w:ind w:firstLine="0"/>
              <w:jc w:val="left"/>
            </w:pPr>
            <w:r>
              <w:rPr>
                <w:sz w:val="20"/>
                <w:szCs w:val="20"/>
              </w:rPr>
              <w:t xml:space="preserve">[0,00; 1,00)</w:t>
            </w:r>
          </w:p>
        </w:tc>
        <w:tc>
          <w:tcPr>
            <w:tcW w:type="dxa" w:w="1009"/>
            <w:vAlign w:val="center"/>
          </w:tcPr>
          <w:p>
            <w:pPr>
              <w:spacing w:before="20" w:after="20" w:line="260" w:lineRule="auto"/>
              <w:ind w:firstLine="0"/>
              <w:jc w:val="center"/>
            </w:pPr>
            <w:r>
              <w:rPr>
                <w:sz w:val="20"/>
                <w:szCs w:val="20"/>
              </w:rPr>
              <w:t xml:space="preserve">5.703</w:t>
            </w:r>
          </w:p>
        </w:tc>
        <w:tc>
          <w:tcPr>
            <w:tcW w:type="dxa" w:w="824"/>
            <w:vAlign w:val="center"/>
          </w:tcPr>
          <w:p>
            <w:pPr>
              <w:spacing w:before="20" w:after="20" w:line="260" w:lineRule="auto"/>
              <w:ind w:firstLine="0"/>
              <w:jc w:val="center"/>
            </w:pPr>
            <w:r>
              <w:rPr>
                <w:sz w:val="20"/>
                <w:szCs w:val="20"/>
              </w:rPr>
              <w:t xml:space="preserve">−0,22</w:t>
            </w:r>
          </w:p>
        </w:tc>
        <w:tc>
          <w:tcPr>
            <w:tcW w:type="dxa" w:w="824"/>
            <w:vAlign w:val="center"/>
          </w:tcPr>
          <w:p>
            <w:pPr>
              <w:spacing w:before="20" w:after="20" w:line="260" w:lineRule="auto"/>
              <w:ind w:firstLine="0"/>
              <w:jc w:val="center"/>
            </w:pPr>
            <w:r>
              <w:rPr>
                <w:sz w:val="20"/>
                <w:szCs w:val="20"/>
              </w:rPr>
              <w:t xml:space="preserve">0,00</w:t>
            </w:r>
          </w:p>
        </w:tc>
        <w:tc>
          <w:tcPr>
            <w:tcW w:type="dxa" w:w="824"/>
            <w:vAlign w:val="center"/>
          </w:tcPr>
          <w:p>
            <w:pPr>
              <w:spacing w:before="20" w:after="20" w:line="260" w:lineRule="auto"/>
              <w:ind w:firstLine="0"/>
              <w:jc w:val="center"/>
            </w:pPr>
            <w:r>
              <w:rPr>
                <w:sz w:val="20"/>
                <w:szCs w:val="20"/>
              </w:rPr>
              <w:t xml:space="preserve">4,00</w:t>
            </w:r>
          </w:p>
        </w:tc>
        <w:tc>
          <w:tcPr>
            <w:tcW w:type="dxa" w:w="1201"/>
            <w:vAlign w:val="center"/>
          </w:tcPr>
          <w:p>
            <w:pPr>
              <w:spacing w:before="20" w:after="20" w:line="260" w:lineRule="auto"/>
              <w:ind w:firstLine="0"/>
              <w:jc w:val="center"/>
            </w:pPr>
            <w:r>
              <w:rPr>
                <w:sz w:val="20"/>
                <w:szCs w:val="20"/>
              </w:rPr>
              <w:t xml:space="preserve">4,22</w:t>
            </w:r>
          </w:p>
        </w:tc>
        <w:tc>
          <w:tcPr>
            <w:tcW w:type="dxa" w:w="921"/>
            <w:vAlign w:val="center"/>
          </w:tcPr>
          <w:p>
            <w:pPr>
              <w:spacing w:before="20" w:after="20" w:line="260" w:lineRule="auto"/>
              <w:ind w:firstLine="0"/>
              <w:jc w:val="center"/>
            </w:pPr>
            <w:r>
              <w:rPr>
                <w:sz w:val="20"/>
                <w:szCs w:val="20"/>
              </w:rPr>
              <w:t xml:space="preserve">3.679</w:t>
            </w:r>
          </w:p>
        </w:tc>
        <w:tc>
          <w:tcPr>
            <w:tcW w:type="dxa" w:w="1309"/>
            <w:vAlign w:val="center"/>
          </w:tcPr>
          <w:p>
            <w:pPr>
              <w:spacing w:before="20" w:after="20" w:line="260" w:lineRule="auto"/>
              <w:ind w:firstLine="0"/>
              <w:jc w:val="center"/>
            </w:pPr>
            <w:r>
              <w:rPr>
                <w:sz w:val="20"/>
                <w:szCs w:val="20"/>
              </w:rPr>
              <w:t xml:space="preserve">68,55</w:t>
            </w:r>
          </w:p>
        </w:tc>
      </w:tr>
      <w:tr>
        <w:trPr>
          <w:cantSplit/>
        </w:trPr>
        <w:tc>
          <w:tcPr>
            <w:tcW w:type="dxa" w:w="824"/>
            <w:vAlign w:val="center"/>
          </w:tcPr>
          <w:p>
            <w:pPr>
              <w:spacing w:before="20" w:after="20" w:line="260" w:lineRule="auto"/>
              <w:ind w:firstLine="0"/>
              <w:jc w:val="center"/>
            </w:pPr>
            <w:r>
              <w:rPr>
                <w:sz w:val="20"/>
                <w:szCs w:val="20"/>
              </w:rPr>
              <w:t xml:space="preserve">2</w:t>
            </w:r>
          </w:p>
        </w:tc>
        <w:tc>
          <w:tcPr>
            <w:tcW w:type="dxa" w:w="1335"/>
            <w:vAlign w:val="center"/>
          </w:tcPr>
          <w:p>
            <w:pPr>
              <w:spacing w:before="20" w:after="20" w:line="260" w:lineRule="auto"/>
              <w:ind w:firstLine="0"/>
              <w:jc w:val="left"/>
            </w:pPr>
            <w:r>
              <w:rPr>
                <w:sz w:val="20"/>
                <w:szCs w:val="20"/>
              </w:rPr>
              <w:t xml:space="preserve">[1,00; 3,60)</w:t>
            </w:r>
          </w:p>
        </w:tc>
        <w:tc>
          <w:tcPr>
            <w:tcW w:type="dxa" w:w="1009"/>
            <w:vAlign w:val="center"/>
          </w:tcPr>
          <w:p>
            <w:pPr>
              <w:spacing w:before="20" w:after="20" w:line="260" w:lineRule="auto"/>
              <w:ind w:firstLine="0"/>
              <w:jc w:val="center"/>
            </w:pPr>
            <w:r>
              <w:rPr>
                <w:sz w:val="20"/>
                <w:szCs w:val="20"/>
              </w:rPr>
              <w:t xml:space="preserve">2.851</w:t>
            </w:r>
          </w:p>
        </w:tc>
        <w:tc>
          <w:tcPr>
            <w:tcW w:type="dxa" w:w="824"/>
            <w:vAlign w:val="center"/>
          </w:tcPr>
          <w:p>
            <w:pPr>
              <w:spacing w:before="20" w:after="20" w:line="260" w:lineRule="auto"/>
              <w:ind w:firstLine="0"/>
              <w:jc w:val="center"/>
            </w:pPr>
            <w:r>
              <w:rPr>
                <w:sz w:val="20"/>
                <w:szCs w:val="20"/>
              </w:rPr>
              <w:t xml:space="preserve">−1,98</w:t>
            </w:r>
          </w:p>
        </w:tc>
        <w:tc>
          <w:tcPr>
            <w:tcW w:type="dxa" w:w="824"/>
            <w:vAlign w:val="center"/>
          </w:tcPr>
          <w:p>
            <w:pPr>
              <w:spacing w:before="20" w:after="20" w:line="260" w:lineRule="auto"/>
              <w:ind w:firstLine="0"/>
              <w:jc w:val="center"/>
            </w:pPr>
            <w:r>
              <w:rPr>
                <w:sz w:val="20"/>
                <w:szCs w:val="20"/>
              </w:rPr>
              <w:t xml:space="preserve">0,73</w:t>
            </w:r>
          </w:p>
        </w:tc>
        <w:tc>
          <w:tcPr>
            <w:tcW w:type="dxa" w:w="824"/>
            <w:vAlign w:val="center"/>
          </w:tcPr>
          <w:p>
            <w:pPr>
              <w:spacing w:before="20" w:after="20" w:line="260" w:lineRule="auto"/>
              <w:ind w:firstLine="0"/>
              <w:jc w:val="center"/>
            </w:pPr>
            <w:r>
              <w:rPr>
                <w:sz w:val="20"/>
                <w:szCs w:val="20"/>
              </w:rPr>
              <w:t xml:space="preserve">6,86</w:t>
            </w:r>
          </w:p>
        </w:tc>
        <w:tc>
          <w:tcPr>
            <w:tcW w:type="dxa" w:w="1201"/>
            <w:vAlign w:val="center"/>
          </w:tcPr>
          <w:p>
            <w:pPr>
              <w:spacing w:before="20" w:after="20" w:line="260" w:lineRule="auto"/>
              <w:ind w:firstLine="0"/>
              <w:jc w:val="center"/>
            </w:pPr>
            <w:r>
              <w:rPr>
                <w:sz w:val="20"/>
                <w:szCs w:val="20"/>
              </w:rPr>
              <w:t xml:space="preserve">8,83</w:t>
            </w:r>
          </w:p>
        </w:tc>
        <w:tc>
          <w:tcPr>
            <w:tcW w:type="dxa" w:w="921"/>
            <w:vAlign w:val="center"/>
          </w:tcPr>
          <w:p>
            <w:pPr>
              <w:spacing w:before="20" w:after="20" w:line="260" w:lineRule="auto"/>
              <w:ind w:firstLine="0"/>
              <w:jc w:val="center"/>
            </w:pPr>
            <w:r>
              <w:rPr>
                <w:sz w:val="20"/>
                <w:szCs w:val="20"/>
              </w:rPr>
              <w:t xml:space="preserve">3.816</w:t>
            </w:r>
          </w:p>
        </w:tc>
        <w:tc>
          <w:tcPr>
            <w:tcW w:type="dxa" w:w="1309"/>
            <w:vAlign w:val="center"/>
          </w:tcPr>
          <w:p>
            <w:pPr>
              <w:spacing w:before="20" w:after="20" w:line="260" w:lineRule="auto"/>
              <w:ind w:firstLine="0"/>
              <w:jc w:val="center"/>
            </w:pPr>
            <w:r>
              <w:rPr>
                <w:sz w:val="20"/>
                <w:szCs w:val="20"/>
              </w:rPr>
              <w:t xml:space="preserve">75,47</w:t>
            </w:r>
          </w:p>
        </w:tc>
      </w:tr>
      <w:tr>
        <w:trPr>
          <w:cantSplit/>
        </w:trPr>
        <w:tc>
          <w:tcPr>
            <w:tcW w:type="dxa" w:w="824"/>
            <w:vAlign w:val="center"/>
          </w:tcPr>
          <w:p>
            <w:pPr>
              <w:spacing w:before="20" w:after="20" w:line="260" w:lineRule="auto"/>
              <w:ind w:firstLine="0"/>
              <w:jc w:val="center"/>
            </w:pPr>
            <w:r>
              <w:rPr>
                <w:sz w:val="20"/>
                <w:szCs w:val="20"/>
              </w:rPr>
              <w:t xml:space="preserve">3</w:t>
            </w:r>
          </w:p>
        </w:tc>
        <w:tc>
          <w:tcPr>
            <w:tcW w:type="dxa" w:w="1335"/>
            <w:vAlign w:val="center"/>
          </w:tcPr>
          <w:p>
            <w:pPr>
              <w:spacing w:before="20" w:after="20" w:line="260" w:lineRule="auto"/>
              <w:ind w:firstLine="0"/>
              <w:jc w:val="left"/>
            </w:pPr>
            <w:r>
              <w:rPr>
                <w:sz w:val="20"/>
                <w:szCs w:val="20"/>
              </w:rPr>
              <w:t xml:space="preserve">[3,60; 11,98)</w:t>
            </w:r>
          </w:p>
        </w:tc>
        <w:tc>
          <w:tcPr>
            <w:tcW w:type="dxa" w:w="1009"/>
            <w:vAlign w:val="center"/>
          </w:tcPr>
          <w:p>
            <w:pPr>
              <w:spacing w:before="20" w:after="20" w:line="260" w:lineRule="auto"/>
              <w:ind w:firstLine="0"/>
              <w:jc w:val="center"/>
            </w:pPr>
            <w:r>
              <w:rPr>
                <w:sz w:val="20"/>
                <w:szCs w:val="20"/>
              </w:rPr>
              <w:t xml:space="preserve">2.851</w:t>
            </w:r>
          </w:p>
        </w:tc>
        <w:tc>
          <w:tcPr>
            <w:tcW w:type="dxa" w:w="824"/>
            <w:vAlign w:val="center"/>
          </w:tcPr>
          <w:p>
            <w:pPr>
              <w:spacing w:before="20" w:after="20" w:line="260" w:lineRule="auto"/>
              <w:ind w:firstLine="0"/>
              <w:jc w:val="center"/>
            </w:pPr>
            <w:r>
              <w:rPr>
                <w:sz w:val="20"/>
                <w:szCs w:val="20"/>
              </w:rPr>
              <w:t xml:space="preserve">−3,57</w:t>
            </w:r>
          </w:p>
        </w:tc>
        <w:tc>
          <w:tcPr>
            <w:tcW w:type="dxa" w:w="824"/>
            <w:vAlign w:val="center"/>
          </w:tcPr>
          <w:p>
            <w:pPr>
              <w:spacing w:before="20" w:after="20" w:line="260" w:lineRule="auto"/>
              <w:ind w:firstLine="0"/>
              <w:jc w:val="center"/>
            </w:pPr>
            <w:r>
              <w:rPr>
                <w:sz w:val="20"/>
                <w:szCs w:val="20"/>
              </w:rPr>
              <w:t xml:space="preserve">2,73</w:t>
            </w:r>
          </w:p>
        </w:tc>
        <w:tc>
          <w:tcPr>
            <w:tcW w:type="dxa" w:w="824"/>
            <w:vAlign w:val="center"/>
          </w:tcPr>
          <w:p>
            <w:pPr>
              <w:spacing w:before="20" w:after="20" w:line="260" w:lineRule="auto"/>
              <w:ind w:firstLine="0"/>
              <w:jc w:val="center"/>
            </w:pPr>
            <w:r>
              <w:rPr>
                <w:sz w:val="20"/>
                <w:szCs w:val="20"/>
              </w:rPr>
              <w:t xml:space="preserve">11,25</w:t>
            </w:r>
          </w:p>
        </w:tc>
        <w:tc>
          <w:tcPr>
            <w:tcW w:type="dxa" w:w="1201"/>
            <w:vAlign w:val="center"/>
          </w:tcPr>
          <w:p>
            <w:pPr>
              <w:spacing w:before="20" w:after="20" w:line="260" w:lineRule="auto"/>
              <w:ind w:firstLine="0"/>
              <w:jc w:val="center"/>
            </w:pPr>
            <w:r>
              <w:rPr>
                <w:sz w:val="20"/>
                <w:szCs w:val="20"/>
              </w:rPr>
              <w:t xml:space="preserve">14,82</w:t>
            </w:r>
          </w:p>
        </w:tc>
        <w:tc>
          <w:tcPr>
            <w:tcW w:type="dxa" w:w="921"/>
            <w:vAlign w:val="center"/>
          </w:tcPr>
          <w:p>
            <w:pPr>
              <w:spacing w:before="20" w:after="20" w:line="260" w:lineRule="auto"/>
              <w:ind w:firstLine="0"/>
              <w:jc w:val="center"/>
            </w:pPr>
            <w:r>
              <w:rPr>
                <w:sz w:val="20"/>
                <w:szCs w:val="20"/>
              </w:rPr>
              <w:t xml:space="preserve">3.411</w:t>
            </w:r>
          </w:p>
        </w:tc>
        <w:tc>
          <w:tcPr>
            <w:tcW w:type="dxa" w:w="1309"/>
            <w:vAlign w:val="center"/>
          </w:tcPr>
          <w:p>
            <w:pPr>
              <w:spacing w:before="20" w:after="20" w:line="260" w:lineRule="auto"/>
              <w:ind w:firstLine="0"/>
              <w:jc w:val="center"/>
            </w:pPr>
            <w:r>
              <w:rPr>
                <w:sz w:val="20"/>
                <w:szCs w:val="20"/>
              </w:rPr>
              <w:t xml:space="preserve">79,54</w:t>
            </w:r>
          </w:p>
        </w:tc>
      </w:tr>
      <w:tr>
        <w:trPr>
          <w:cantSplit/>
        </w:trPr>
        <w:tc>
          <w:tcPr>
            <w:tcW w:type="dxa" w:w="824"/>
            <w:vAlign w:val="center"/>
          </w:tcPr>
          <w:p>
            <w:pPr>
              <w:spacing w:before="20" w:after="20" w:line="260" w:lineRule="auto"/>
              <w:ind w:firstLine="0"/>
              <w:jc w:val="center"/>
            </w:pPr>
            <w:r>
              <w:rPr>
                <w:sz w:val="20"/>
                <w:szCs w:val="20"/>
              </w:rPr>
              <w:t xml:space="preserve">4</w:t>
            </w:r>
          </w:p>
        </w:tc>
        <w:tc>
          <w:tcPr>
            <w:tcW w:type="dxa" w:w="1335"/>
            <w:vAlign w:val="center"/>
          </w:tcPr>
          <w:p>
            <w:pPr>
              <w:spacing w:before="20" w:after="20" w:line="260" w:lineRule="auto"/>
              <w:ind w:firstLine="0"/>
              <w:jc w:val="left"/>
            </w:pPr>
            <w:r>
              <w:rPr>
                <w:sz w:val="20"/>
                <w:szCs w:val="20"/>
              </w:rPr>
              <w:t xml:space="preserve">[11,98; 33,10)</w:t>
            </w:r>
          </w:p>
        </w:tc>
        <w:tc>
          <w:tcPr>
            <w:tcW w:type="dxa" w:w="1009"/>
            <w:vAlign w:val="center"/>
          </w:tcPr>
          <w:p>
            <w:pPr>
              <w:spacing w:before="20" w:after="20" w:line="260" w:lineRule="auto"/>
              <w:ind w:firstLine="0"/>
              <w:jc w:val="center"/>
            </w:pPr>
            <w:r>
              <w:rPr>
                <w:sz w:val="20"/>
                <w:szCs w:val="20"/>
              </w:rPr>
              <w:t xml:space="preserve">2.851</w:t>
            </w:r>
          </w:p>
        </w:tc>
        <w:tc>
          <w:tcPr>
            <w:tcW w:type="dxa" w:w="824"/>
            <w:vAlign w:val="center"/>
          </w:tcPr>
          <w:p>
            <w:pPr>
              <w:spacing w:before="20" w:after="20" w:line="260" w:lineRule="auto"/>
              <w:ind w:firstLine="0"/>
              <w:jc w:val="center"/>
            </w:pPr>
            <w:r>
              <w:rPr>
                <w:sz w:val="20"/>
                <w:szCs w:val="20"/>
              </w:rPr>
              <w:t xml:space="preserve">−14,63</w:t>
            </w:r>
          </w:p>
        </w:tc>
        <w:tc>
          <w:tcPr>
            <w:tcW w:type="dxa" w:w="824"/>
            <w:vAlign w:val="center"/>
          </w:tcPr>
          <w:p>
            <w:pPr>
              <w:spacing w:before="20" w:after="20" w:line="260" w:lineRule="auto"/>
              <w:ind w:firstLine="0"/>
              <w:jc w:val="center"/>
            </w:pPr>
            <w:r>
              <w:rPr>
                <w:sz w:val="20"/>
                <w:szCs w:val="20"/>
              </w:rPr>
              <w:t xml:space="preserve">−2,33</w:t>
            </w:r>
          </w:p>
        </w:tc>
        <w:tc>
          <w:tcPr>
            <w:tcW w:type="dxa" w:w="824"/>
            <w:vAlign w:val="center"/>
          </w:tcPr>
          <w:p>
            <w:pPr>
              <w:spacing w:before="20" w:after="20" w:line="260" w:lineRule="auto"/>
              <w:ind w:firstLine="0"/>
              <w:jc w:val="center"/>
            </w:pPr>
            <w:r>
              <w:rPr>
                <w:sz w:val="20"/>
                <w:szCs w:val="20"/>
              </w:rPr>
              <w:t xml:space="preserve">14,36</w:t>
            </w:r>
          </w:p>
        </w:tc>
        <w:tc>
          <w:tcPr>
            <w:tcW w:type="dxa" w:w="1201"/>
            <w:vAlign w:val="center"/>
          </w:tcPr>
          <w:p>
            <w:pPr>
              <w:spacing w:before="20" w:after="20" w:line="260" w:lineRule="auto"/>
              <w:ind w:firstLine="0"/>
              <w:jc w:val="center"/>
            </w:pPr>
            <w:r>
              <w:rPr>
                <w:sz w:val="20"/>
                <w:szCs w:val="20"/>
              </w:rPr>
              <w:t xml:space="preserve">28,99</w:t>
            </w:r>
          </w:p>
        </w:tc>
        <w:tc>
          <w:tcPr>
            <w:tcW w:type="dxa" w:w="921"/>
            <w:vAlign w:val="center"/>
          </w:tcPr>
          <w:p>
            <w:pPr>
              <w:spacing w:before="20" w:after="20" w:line="260" w:lineRule="auto"/>
              <w:ind w:firstLine="0"/>
              <w:jc w:val="center"/>
            </w:pPr>
            <w:r>
              <w:rPr>
                <w:sz w:val="20"/>
                <w:szCs w:val="20"/>
              </w:rPr>
              <w:t xml:space="preserve">3.237</w:t>
            </w:r>
          </w:p>
        </w:tc>
        <w:tc>
          <w:tcPr>
            <w:tcW w:type="dxa" w:w="1309"/>
            <w:vAlign w:val="center"/>
          </w:tcPr>
          <w:p>
            <w:pPr>
              <w:spacing w:before="20" w:after="20" w:line="260" w:lineRule="auto"/>
              <w:ind w:firstLine="0"/>
              <w:jc w:val="center"/>
            </w:pPr>
            <w:r>
              <w:rPr>
                <w:sz w:val="20"/>
                <w:szCs w:val="20"/>
              </w:rPr>
              <w:t xml:space="preserve">84,71</w:t>
            </w:r>
          </w:p>
        </w:tc>
      </w:tr>
      <w:tr>
        <w:trPr>
          <w:cantSplit/>
        </w:trPr>
        <w:tc>
          <w:tcPr>
            <w:tcW w:type="dxa" w:w="824"/>
            <w:vAlign w:val="center"/>
          </w:tcPr>
          <w:p>
            <w:pPr>
              <w:spacing w:before="20" w:after="20" w:line="260" w:lineRule="auto"/>
              <w:ind w:firstLine="0"/>
              <w:jc w:val="center"/>
            </w:pPr>
            <w:r>
              <w:rPr>
                <w:sz w:val="20"/>
                <w:szCs w:val="20"/>
              </w:rPr>
              <w:t xml:space="preserve">5</w:t>
            </w:r>
          </w:p>
        </w:tc>
        <w:tc>
          <w:tcPr>
            <w:tcW w:type="dxa" w:w="1335"/>
            <w:vAlign w:val="center"/>
          </w:tcPr>
          <w:p>
            <w:pPr>
              <w:spacing w:before="20" w:after="20" w:line="260" w:lineRule="auto"/>
              <w:ind w:firstLine="0"/>
              <w:jc w:val="left"/>
            </w:pPr>
            <w:r>
              <w:rPr>
                <w:sz w:val="20"/>
                <w:szCs w:val="20"/>
              </w:rPr>
              <w:t xml:space="preserve">[33,10; 82,09)</w:t>
            </w:r>
          </w:p>
        </w:tc>
        <w:tc>
          <w:tcPr>
            <w:tcW w:type="dxa" w:w="1009"/>
            <w:vAlign w:val="center"/>
          </w:tcPr>
          <w:p>
            <w:pPr>
              <w:spacing w:before="20" w:after="20" w:line="260" w:lineRule="auto"/>
              <w:ind w:firstLine="0"/>
              <w:jc w:val="center"/>
            </w:pPr>
            <w:r>
              <w:rPr>
                <w:sz w:val="20"/>
                <w:szCs w:val="20"/>
              </w:rPr>
              <w:t xml:space="preserve">2.851</w:t>
            </w:r>
          </w:p>
        </w:tc>
        <w:tc>
          <w:tcPr>
            <w:tcW w:type="dxa" w:w="824"/>
            <w:vAlign w:val="center"/>
          </w:tcPr>
          <w:p>
            <w:pPr>
              <w:spacing w:before="20" w:after="20" w:line="260" w:lineRule="auto"/>
              <w:ind w:firstLine="0"/>
              <w:jc w:val="center"/>
            </w:pPr>
            <w:r>
              <w:rPr>
                <w:sz w:val="20"/>
                <w:szCs w:val="20"/>
              </w:rPr>
              <w:t xml:space="preserve">−24,40</w:t>
            </w:r>
          </w:p>
        </w:tc>
        <w:tc>
          <w:tcPr>
            <w:tcW w:type="dxa" w:w="824"/>
            <w:vAlign w:val="center"/>
          </w:tcPr>
          <w:p>
            <w:pPr>
              <w:spacing w:before="20" w:after="20" w:line="260" w:lineRule="auto"/>
              <w:ind w:firstLine="0"/>
              <w:jc w:val="center"/>
            </w:pPr>
            <w:r>
              <w:rPr>
                <w:sz w:val="20"/>
                <w:szCs w:val="20"/>
              </w:rPr>
              <w:t xml:space="preserve">−5,37</w:t>
            </w:r>
          </w:p>
        </w:tc>
        <w:tc>
          <w:tcPr>
            <w:tcW w:type="dxa" w:w="824"/>
            <w:vAlign w:val="center"/>
          </w:tcPr>
          <w:p>
            <w:pPr>
              <w:spacing w:before="20" w:after="20" w:line="260" w:lineRule="auto"/>
              <w:ind w:firstLine="0"/>
              <w:jc w:val="center"/>
            </w:pPr>
            <w:r>
              <w:rPr>
                <w:sz w:val="20"/>
                <w:szCs w:val="20"/>
              </w:rPr>
              <w:t xml:space="preserve">21,32</w:t>
            </w:r>
          </w:p>
        </w:tc>
        <w:tc>
          <w:tcPr>
            <w:tcW w:type="dxa" w:w="1201"/>
            <w:vAlign w:val="center"/>
          </w:tcPr>
          <w:p>
            <w:pPr>
              <w:spacing w:before="20" w:after="20" w:line="260" w:lineRule="auto"/>
              <w:ind w:firstLine="0"/>
              <w:jc w:val="center"/>
            </w:pPr>
            <w:r>
              <w:rPr>
                <w:sz w:val="20"/>
                <w:szCs w:val="20"/>
              </w:rPr>
              <w:t xml:space="preserve">45,72</w:t>
            </w:r>
          </w:p>
        </w:tc>
        <w:tc>
          <w:tcPr>
            <w:tcW w:type="dxa" w:w="921"/>
            <w:vAlign w:val="center"/>
          </w:tcPr>
          <w:p>
            <w:pPr>
              <w:spacing w:before="20" w:after="20" w:line="260" w:lineRule="auto"/>
              <w:ind w:firstLine="0"/>
              <w:jc w:val="center"/>
            </w:pPr>
            <w:r>
              <w:rPr>
                <w:sz w:val="20"/>
                <w:szCs w:val="20"/>
              </w:rPr>
              <w:t xml:space="preserve">2.834</w:t>
            </w:r>
          </w:p>
        </w:tc>
        <w:tc>
          <w:tcPr>
            <w:tcW w:type="dxa" w:w="1309"/>
            <w:vAlign w:val="center"/>
          </w:tcPr>
          <w:p>
            <w:pPr>
              <w:spacing w:before="20" w:after="20" w:line="260" w:lineRule="auto"/>
              <w:ind w:firstLine="0"/>
              <w:jc w:val="center"/>
            </w:pPr>
            <w:r>
              <w:rPr>
                <w:sz w:val="20"/>
                <w:szCs w:val="20"/>
              </w:rPr>
              <w:t xml:space="preserve">73,78</w:t>
            </w:r>
          </w:p>
        </w:tc>
      </w:tr>
      <w:tr>
        <w:trPr>
          <w:cantSplit/>
        </w:trPr>
        <w:tc>
          <w:tcPr>
            <w:tcW w:type="dxa" w:w="824"/>
            <w:vAlign w:val="center"/>
          </w:tcPr>
          <w:p>
            <w:pPr>
              <w:spacing w:before="20" w:after="20" w:line="260" w:lineRule="auto"/>
              <w:ind w:firstLine="0"/>
              <w:jc w:val="center"/>
            </w:pPr>
            <w:r>
              <w:rPr>
                <w:sz w:val="20"/>
                <w:szCs w:val="20"/>
              </w:rPr>
              <w:t xml:space="preserve">6</w:t>
            </w:r>
          </w:p>
        </w:tc>
        <w:tc>
          <w:tcPr>
            <w:tcW w:type="dxa" w:w="1335"/>
            <w:vAlign w:val="center"/>
          </w:tcPr>
          <w:p>
            <w:pPr>
              <w:spacing w:before="20" w:after="20" w:line="260" w:lineRule="auto"/>
              <w:ind w:firstLine="0"/>
              <w:jc w:val="left"/>
            </w:pPr>
            <w:r>
              <w:rPr>
                <w:sz w:val="20"/>
                <w:szCs w:val="20"/>
              </w:rPr>
              <w:t xml:space="preserve">[82,09; 196,13)</w:t>
            </w:r>
          </w:p>
        </w:tc>
        <w:tc>
          <w:tcPr>
            <w:tcW w:type="dxa" w:w="1009"/>
            <w:vAlign w:val="center"/>
          </w:tcPr>
          <w:p>
            <w:pPr>
              <w:spacing w:before="20" w:after="20" w:line="260" w:lineRule="auto"/>
              <w:ind w:firstLine="0"/>
              <w:jc w:val="center"/>
            </w:pPr>
            <w:r>
              <w:rPr>
                <w:sz w:val="20"/>
                <w:szCs w:val="20"/>
              </w:rPr>
              <w:t xml:space="preserve">2.851</w:t>
            </w:r>
          </w:p>
        </w:tc>
        <w:tc>
          <w:tcPr>
            <w:tcW w:type="dxa" w:w="824"/>
            <w:vAlign w:val="center"/>
          </w:tcPr>
          <w:p>
            <w:pPr>
              <w:spacing w:before="20" w:after="20" w:line="260" w:lineRule="auto"/>
              <w:ind w:firstLine="0"/>
              <w:jc w:val="center"/>
            </w:pPr>
            <w:r>
              <w:rPr>
                <w:sz w:val="20"/>
                <w:szCs w:val="20"/>
              </w:rPr>
              <w:t xml:space="preserve">−36,94</w:t>
            </w:r>
          </w:p>
        </w:tc>
        <w:tc>
          <w:tcPr>
            <w:tcW w:type="dxa" w:w="824"/>
            <w:vAlign w:val="center"/>
          </w:tcPr>
          <w:p>
            <w:pPr>
              <w:spacing w:before="20" w:after="20" w:line="260" w:lineRule="auto"/>
              <w:ind w:firstLine="0"/>
              <w:jc w:val="center"/>
            </w:pPr>
            <w:r>
              <w:rPr>
                <w:sz w:val="20"/>
                <w:szCs w:val="20"/>
              </w:rPr>
              <w:t xml:space="preserve">0,33</w:t>
            </w:r>
          </w:p>
        </w:tc>
        <w:tc>
          <w:tcPr>
            <w:tcW w:type="dxa" w:w="824"/>
            <w:vAlign w:val="center"/>
          </w:tcPr>
          <w:p>
            <w:pPr>
              <w:spacing w:before="20" w:after="20" w:line="260" w:lineRule="auto"/>
              <w:ind w:firstLine="0"/>
              <w:jc w:val="center"/>
            </w:pPr>
            <w:r>
              <w:rPr>
                <w:sz w:val="20"/>
                <w:szCs w:val="20"/>
              </w:rPr>
              <w:t xml:space="preserve">43,96</w:t>
            </w:r>
          </w:p>
        </w:tc>
        <w:tc>
          <w:tcPr>
            <w:tcW w:type="dxa" w:w="1201"/>
            <w:vAlign w:val="center"/>
          </w:tcPr>
          <w:p>
            <w:pPr>
              <w:spacing w:before="20" w:after="20" w:line="260" w:lineRule="auto"/>
              <w:ind w:firstLine="0"/>
              <w:jc w:val="center"/>
            </w:pPr>
            <w:r>
              <w:rPr>
                <w:sz w:val="20"/>
                <w:szCs w:val="20"/>
              </w:rPr>
              <w:t xml:space="preserve">80,90</w:t>
            </w:r>
          </w:p>
        </w:tc>
        <w:tc>
          <w:tcPr>
            <w:tcW w:type="dxa" w:w="921"/>
            <w:vAlign w:val="center"/>
          </w:tcPr>
          <w:p>
            <w:pPr>
              <w:spacing w:before="20" w:after="20" w:line="260" w:lineRule="auto"/>
              <w:ind w:firstLine="0"/>
              <w:jc w:val="center"/>
            </w:pPr>
            <w:r>
              <w:rPr>
                <w:sz w:val="20"/>
                <w:szCs w:val="20"/>
              </w:rPr>
              <w:t xml:space="preserve">2.846</w:t>
            </w:r>
          </w:p>
        </w:tc>
        <w:tc>
          <w:tcPr>
            <w:tcW w:type="dxa" w:w="1309"/>
            <w:vAlign w:val="center"/>
          </w:tcPr>
          <w:p>
            <w:pPr>
              <w:spacing w:before="20" w:after="20" w:line="260" w:lineRule="auto"/>
              <w:ind w:firstLine="0"/>
              <w:jc w:val="center"/>
            </w:pPr>
            <w:r>
              <w:rPr>
                <w:sz w:val="20"/>
                <w:szCs w:val="20"/>
              </w:rPr>
              <w:t xml:space="preserve">74,10</w:t>
            </w:r>
          </w:p>
        </w:tc>
      </w:tr>
      <w:tr>
        <w:trPr>
          <w:cantSplit/>
        </w:trPr>
        <w:tc>
          <w:tcPr>
            <w:tcW w:type="dxa" w:w="824"/>
            <w:vAlign w:val="center"/>
          </w:tcPr>
          <w:p>
            <w:pPr>
              <w:spacing w:before="20" w:after="20" w:line="260" w:lineRule="auto"/>
              <w:ind w:firstLine="0"/>
              <w:jc w:val="center"/>
            </w:pPr>
            <w:r>
              <w:rPr>
                <w:sz w:val="20"/>
                <w:szCs w:val="20"/>
              </w:rPr>
              <w:t xml:space="preserve">7</w:t>
            </w:r>
          </w:p>
        </w:tc>
        <w:tc>
          <w:tcPr>
            <w:tcW w:type="dxa" w:w="1335"/>
            <w:vAlign w:val="center"/>
          </w:tcPr>
          <w:p>
            <w:pPr>
              <w:spacing w:before="20" w:after="20" w:line="260" w:lineRule="auto"/>
              <w:ind w:firstLine="0"/>
              <w:jc w:val="left"/>
            </w:pPr>
            <w:r>
              <w:rPr>
                <w:sz w:val="20"/>
                <w:szCs w:val="20"/>
              </w:rPr>
              <w:t xml:space="preserve">[196,13; 413,65)</w:t>
            </w:r>
          </w:p>
        </w:tc>
        <w:tc>
          <w:tcPr>
            <w:tcW w:type="dxa" w:w="1009"/>
            <w:vAlign w:val="center"/>
          </w:tcPr>
          <w:p>
            <w:pPr>
              <w:spacing w:before="20" w:after="20" w:line="260" w:lineRule="auto"/>
              <w:ind w:firstLine="0"/>
              <w:jc w:val="center"/>
            </w:pPr>
            <w:r>
              <w:rPr>
                <w:sz w:val="20"/>
                <w:szCs w:val="20"/>
              </w:rPr>
              <w:t xml:space="preserve">2.851</w:t>
            </w:r>
          </w:p>
        </w:tc>
        <w:tc>
          <w:tcPr>
            <w:tcW w:type="dxa" w:w="824"/>
            <w:vAlign w:val="center"/>
          </w:tcPr>
          <w:p>
            <w:pPr>
              <w:spacing w:before="20" w:after="20" w:line="260" w:lineRule="auto"/>
              <w:ind w:firstLine="0"/>
              <w:jc w:val="center"/>
            </w:pPr>
            <w:r>
              <w:rPr>
                <w:sz w:val="20"/>
                <w:szCs w:val="20"/>
              </w:rPr>
              <w:t xml:space="preserve">−57,21</w:t>
            </w:r>
          </w:p>
        </w:tc>
        <w:tc>
          <w:tcPr>
            <w:tcW w:type="dxa" w:w="824"/>
            <w:vAlign w:val="center"/>
          </w:tcPr>
          <w:p>
            <w:pPr>
              <w:spacing w:before="20" w:after="20" w:line="260" w:lineRule="auto"/>
              <w:ind w:firstLine="0"/>
              <w:jc w:val="center"/>
            </w:pPr>
            <w:r>
              <w:rPr>
                <w:sz w:val="20"/>
                <w:szCs w:val="20"/>
              </w:rPr>
              <w:t xml:space="preserve">−1,18</w:t>
            </w:r>
          </w:p>
        </w:tc>
        <w:tc>
          <w:tcPr>
            <w:tcW w:type="dxa" w:w="824"/>
            <w:vAlign w:val="center"/>
          </w:tcPr>
          <w:p>
            <w:pPr>
              <w:spacing w:before="20" w:after="20" w:line="260" w:lineRule="auto"/>
              <w:ind w:firstLine="0"/>
              <w:jc w:val="center"/>
            </w:pPr>
            <w:r>
              <w:rPr>
                <w:sz w:val="20"/>
                <w:szCs w:val="20"/>
              </w:rPr>
              <w:t xml:space="preserve">70,72</w:t>
            </w:r>
          </w:p>
        </w:tc>
        <w:tc>
          <w:tcPr>
            <w:tcW w:type="dxa" w:w="1201"/>
            <w:vAlign w:val="center"/>
          </w:tcPr>
          <w:p>
            <w:pPr>
              <w:spacing w:before="20" w:after="20" w:line="260" w:lineRule="auto"/>
              <w:ind w:firstLine="0"/>
              <w:jc w:val="center"/>
            </w:pPr>
            <w:r>
              <w:rPr>
                <w:sz w:val="20"/>
                <w:szCs w:val="20"/>
              </w:rPr>
              <w:t xml:space="preserve">127,92</w:t>
            </w:r>
          </w:p>
        </w:tc>
        <w:tc>
          <w:tcPr>
            <w:tcW w:type="dxa" w:w="921"/>
            <w:vAlign w:val="center"/>
          </w:tcPr>
          <w:p>
            <w:pPr>
              <w:spacing w:before="20" w:after="20" w:line="260" w:lineRule="auto"/>
              <w:ind w:firstLine="0"/>
              <w:jc w:val="center"/>
            </w:pPr>
            <w:r>
              <w:rPr>
                <w:sz w:val="20"/>
                <w:szCs w:val="20"/>
              </w:rPr>
              <w:t xml:space="preserve">2.866</w:t>
            </w:r>
          </w:p>
        </w:tc>
        <w:tc>
          <w:tcPr>
            <w:tcW w:type="dxa" w:w="1309"/>
            <w:vAlign w:val="center"/>
          </w:tcPr>
          <w:p>
            <w:pPr>
              <w:spacing w:before="20" w:after="20" w:line="260" w:lineRule="auto"/>
              <w:ind w:firstLine="0"/>
              <w:jc w:val="center"/>
            </w:pPr>
            <w:r>
              <w:rPr>
                <w:sz w:val="20"/>
                <w:szCs w:val="20"/>
              </w:rPr>
              <w:t xml:space="preserve">75,47</w:t>
            </w:r>
          </w:p>
        </w:tc>
      </w:tr>
      <w:tr>
        <w:trPr>
          <w:cantSplit/>
        </w:trPr>
        <w:tc>
          <w:tcPr>
            <w:tcW w:type="dxa" w:w="824"/>
            <w:vAlign w:val="center"/>
          </w:tcPr>
          <w:p>
            <w:pPr>
              <w:spacing w:before="20" w:after="20" w:line="260" w:lineRule="auto"/>
              <w:ind w:firstLine="0"/>
              <w:jc w:val="center"/>
            </w:pPr>
            <w:r>
              <w:rPr>
                <w:sz w:val="20"/>
                <w:szCs w:val="20"/>
              </w:rPr>
              <w:t xml:space="preserve">8</w:t>
            </w:r>
          </w:p>
        </w:tc>
        <w:tc>
          <w:tcPr>
            <w:tcW w:type="dxa" w:w="1335"/>
            <w:vAlign w:val="center"/>
          </w:tcPr>
          <w:p>
            <w:pPr>
              <w:spacing w:before="20" w:after="20" w:line="260" w:lineRule="auto"/>
              <w:ind w:firstLine="0"/>
              <w:jc w:val="left"/>
            </w:pPr>
            <w:r>
              <w:rPr>
                <w:sz w:val="20"/>
                <w:szCs w:val="20"/>
              </w:rPr>
              <w:t xml:space="preserve">[413,65; 1.226,78)</w:t>
            </w:r>
          </w:p>
        </w:tc>
        <w:tc>
          <w:tcPr>
            <w:tcW w:type="dxa" w:w="1009"/>
            <w:vAlign w:val="center"/>
          </w:tcPr>
          <w:p>
            <w:pPr>
              <w:spacing w:before="20" w:after="20" w:line="260" w:lineRule="auto"/>
              <w:ind w:firstLine="0"/>
              <w:jc w:val="center"/>
            </w:pPr>
            <w:r>
              <w:rPr>
                <w:sz w:val="20"/>
                <w:szCs w:val="20"/>
              </w:rPr>
              <w:t xml:space="preserve">2.851</w:t>
            </w:r>
          </w:p>
        </w:tc>
        <w:tc>
          <w:tcPr>
            <w:tcW w:type="dxa" w:w="824"/>
            <w:vAlign w:val="center"/>
          </w:tcPr>
          <w:p>
            <w:pPr>
              <w:spacing w:before="20" w:after="20" w:line="260" w:lineRule="auto"/>
              <w:ind w:firstLine="0"/>
              <w:jc w:val="center"/>
            </w:pPr>
            <w:r>
              <w:rPr>
                <w:sz w:val="20"/>
                <w:szCs w:val="20"/>
              </w:rPr>
              <w:t xml:space="preserve">−132,06</w:t>
            </w:r>
          </w:p>
        </w:tc>
        <w:tc>
          <w:tcPr>
            <w:tcW w:type="dxa" w:w="824"/>
            <w:vAlign w:val="center"/>
          </w:tcPr>
          <w:p>
            <w:pPr>
              <w:spacing w:before="20" w:after="20" w:line="260" w:lineRule="auto"/>
              <w:ind w:firstLine="0"/>
              <w:jc w:val="center"/>
            </w:pPr>
            <w:r>
              <w:rPr>
                <w:sz w:val="20"/>
                <w:szCs w:val="20"/>
              </w:rPr>
              <w:t xml:space="preserve">−9,54</w:t>
            </w:r>
          </w:p>
        </w:tc>
        <w:tc>
          <w:tcPr>
            <w:tcW w:type="dxa" w:w="824"/>
            <w:vAlign w:val="center"/>
          </w:tcPr>
          <w:p>
            <w:pPr>
              <w:spacing w:before="20" w:after="20" w:line="260" w:lineRule="auto"/>
              <w:ind w:firstLine="0"/>
              <w:jc w:val="center"/>
            </w:pPr>
            <w:r>
              <w:rPr>
                <w:sz w:val="20"/>
                <w:szCs w:val="20"/>
              </w:rPr>
              <w:t xml:space="preserve">144,36</w:t>
            </w:r>
          </w:p>
        </w:tc>
        <w:tc>
          <w:tcPr>
            <w:tcW w:type="dxa" w:w="1201"/>
            <w:vAlign w:val="center"/>
          </w:tcPr>
          <w:p>
            <w:pPr>
              <w:spacing w:before="20" w:after="20" w:line="260" w:lineRule="auto"/>
              <w:ind w:firstLine="0"/>
              <w:jc w:val="center"/>
            </w:pPr>
            <w:r>
              <w:rPr>
                <w:sz w:val="20"/>
                <w:szCs w:val="20"/>
              </w:rPr>
              <w:t xml:space="preserve">276,42</w:t>
            </w:r>
          </w:p>
        </w:tc>
        <w:tc>
          <w:tcPr>
            <w:tcW w:type="dxa" w:w="921"/>
            <w:vAlign w:val="center"/>
          </w:tcPr>
          <w:p>
            <w:pPr>
              <w:spacing w:before="20" w:after="20" w:line="260" w:lineRule="auto"/>
              <w:ind w:firstLine="0"/>
              <w:jc w:val="center"/>
            </w:pPr>
            <w:r>
              <w:rPr>
                <w:sz w:val="20"/>
                <w:szCs w:val="20"/>
              </w:rPr>
              <w:t xml:space="preserve">2.886</w:t>
            </w:r>
          </w:p>
        </w:tc>
        <w:tc>
          <w:tcPr>
            <w:tcW w:type="dxa" w:w="1309"/>
            <w:vAlign w:val="center"/>
          </w:tcPr>
          <w:p>
            <w:pPr>
              <w:spacing w:before="20" w:after="20" w:line="260" w:lineRule="auto"/>
              <w:ind w:firstLine="0"/>
              <w:jc w:val="center"/>
            </w:pPr>
            <w:r>
              <w:rPr>
                <w:sz w:val="20"/>
                <w:szCs w:val="20"/>
              </w:rPr>
              <w:t xml:space="preserve">74,12</w:t>
            </w:r>
          </w:p>
        </w:tc>
      </w:tr>
      <w:tr>
        <w:trPr>
          <w:cantSplit/>
        </w:trPr>
        <w:tc>
          <w:tcPr>
            <w:tcW w:type="dxa" w:w="824"/>
            <w:vAlign w:val="center"/>
          </w:tcPr>
          <w:p>
            <w:pPr>
              <w:spacing w:before="20" w:after="20" w:line="260" w:lineRule="auto"/>
              <w:ind w:firstLine="0"/>
              <w:jc w:val="center"/>
            </w:pPr>
            <w:r>
              <w:rPr>
                <w:sz w:val="20"/>
                <w:szCs w:val="20"/>
              </w:rPr>
              <w:t xml:space="preserve">9</w:t>
            </w:r>
          </w:p>
        </w:tc>
        <w:tc>
          <w:tcPr>
            <w:tcW w:type="dxa" w:w="1335"/>
            <w:vAlign w:val="center"/>
          </w:tcPr>
          <w:p>
            <w:pPr>
              <w:spacing w:before="20" w:after="20" w:line="260" w:lineRule="auto"/>
              <w:ind w:firstLine="0"/>
              <w:jc w:val="left"/>
            </w:pPr>
            <w:r>
              <w:rPr>
                <w:sz w:val="20"/>
                <w:szCs w:val="20"/>
              </w:rPr>
              <w:t xml:space="preserve">[1.226,78; 14.739,35)</w:t>
            </w:r>
          </w:p>
        </w:tc>
        <w:tc>
          <w:tcPr>
            <w:tcW w:type="dxa" w:w="1009"/>
            <w:vAlign w:val="center"/>
          </w:tcPr>
          <w:p>
            <w:pPr>
              <w:spacing w:before="20" w:after="20" w:line="260" w:lineRule="auto"/>
              <w:ind w:firstLine="0"/>
              <w:jc w:val="center"/>
            </w:pPr>
            <w:r>
              <w:rPr>
                <w:sz w:val="20"/>
                <w:szCs w:val="20"/>
              </w:rPr>
              <w:t xml:space="preserve">2.852</w:t>
            </w:r>
          </w:p>
        </w:tc>
        <w:tc>
          <w:tcPr>
            <w:tcW w:type="dxa" w:w="824"/>
            <w:vAlign w:val="center"/>
          </w:tcPr>
          <w:p>
            <w:pPr>
              <w:spacing w:before="20" w:after="20" w:line="260" w:lineRule="auto"/>
              <w:ind w:firstLine="0"/>
              <w:jc w:val="center"/>
            </w:pPr>
            <w:r>
              <w:rPr>
                <w:sz w:val="20"/>
                <w:szCs w:val="20"/>
              </w:rPr>
              <w:t xml:space="preserve">−408,53</w:t>
            </w:r>
          </w:p>
        </w:tc>
        <w:tc>
          <w:tcPr>
            <w:tcW w:type="dxa" w:w="824"/>
            <w:vAlign w:val="center"/>
          </w:tcPr>
          <w:p>
            <w:pPr>
              <w:spacing w:before="20" w:after="20" w:line="260" w:lineRule="auto"/>
              <w:ind w:firstLine="0"/>
              <w:jc w:val="center"/>
            </w:pPr>
            <w:r>
              <w:rPr>
                <w:sz w:val="20"/>
                <w:szCs w:val="20"/>
              </w:rPr>
              <w:t xml:space="preserve">8,96</w:t>
            </w:r>
          </w:p>
        </w:tc>
        <w:tc>
          <w:tcPr>
            <w:tcW w:type="dxa" w:w="824"/>
            <w:vAlign w:val="center"/>
          </w:tcPr>
          <w:p>
            <w:pPr>
              <w:spacing w:before="20" w:after="20" w:line="260" w:lineRule="auto"/>
              <w:ind w:firstLine="0"/>
              <w:jc w:val="center"/>
            </w:pPr>
            <w:r>
              <w:rPr>
                <w:sz w:val="20"/>
                <w:szCs w:val="20"/>
              </w:rPr>
              <w:t xml:space="preserve">767,44</w:t>
            </w:r>
          </w:p>
        </w:tc>
        <w:tc>
          <w:tcPr>
            <w:tcW w:type="dxa" w:w="1201"/>
            <w:vAlign w:val="center"/>
          </w:tcPr>
          <w:p>
            <w:pPr>
              <w:spacing w:before="20" w:after="20" w:line="260" w:lineRule="auto"/>
              <w:ind w:firstLine="0"/>
              <w:jc w:val="center"/>
            </w:pPr>
            <w:r>
              <w:rPr>
                <w:sz w:val="20"/>
                <w:szCs w:val="20"/>
              </w:rPr>
              <w:t xml:space="preserve">1.175,96</w:t>
            </w:r>
          </w:p>
        </w:tc>
        <w:tc>
          <w:tcPr>
            <w:tcW w:type="dxa" w:w="921"/>
            <w:vAlign w:val="center"/>
          </w:tcPr>
          <w:p>
            <w:pPr>
              <w:spacing w:before="20" w:after="20" w:line="260" w:lineRule="auto"/>
              <w:ind w:firstLine="0"/>
              <w:jc w:val="center"/>
            </w:pPr>
            <w:r>
              <w:rPr>
                <w:sz w:val="20"/>
                <w:szCs w:val="20"/>
              </w:rPr>
              <w:t xml:space="preserve">2.937</w:t>
            </w:r>
          </w:p>
        </w:tc>
        <w:tc>
          <w:tcPr>
            <w:tcW w:type="dxa" w:w="1309"/>
            <w:vAlign w:val="center"/>
          </w:tcPr>
          <w:p>
            <w:pPr>
              <w:spacing w:before="20" w:after="20" w:line="260" w:lineRule="auto"/>
              <w:ind w:firstLine="0"/>
              <w:jc w:val="center"/>
            </w:pPr>
            <w:r>
              <w:rPr>
                <w:sz w:val="20"/>
                <w:szCs w:val="20"/>
              </w:rPr>
              <w:t xml:space="preserve">72,80</w:t>
            </w:r>
          </w:p>
        </w:tc>
      </w:tr>
    </w:tbl>
    <w:p>
      <w:pPr>
        <w:spacing w:before="40" w:after="160"/>
        <w:ind w:firstLine="0"/>
      </w:pPr>
      <w:r>
        <w:rPr>
          <w:i/>
          <w:sz w:val="22"/>
          <w:szCs w:val="22"/>
        </w:rPr>
        <w:t xml:space="preserve">Nguồn: outputs/05_probabilistic_forecast/conformal_bins.csv (sáu cột đầu); hai cột cuối do tác giả tính lại từ probabilistic_predictions.parquet bằng cách gán mỗi dòng kiểm tra vào nhóm theo dự báo điểm. Dòng có dự báo điểm từ 14.739,35 trở lên (nếu có) được gán vào nhóm 9.</w:t>
      </w:r>
    </w:p>
    <w:p>
      <w:pPr>
        <w:keepLines w:val="0"/>
        <w:spacing w:after="120"/>
        <w:ind w:firstLine="567"/>
      </w:pPr>
      <w:r>
        <w:t xml:space="preserve">Hình 4.13 biểu diễn độ rộng trung bình của khoảng theo doanh số trung bình mỗi ngày của từng chuỗi trên hai trục logarit. Ở vùng chuỗi rất nhỏ, độ rộng trung bình tập trung quanh vài đơn vị; từ đó, đám điểm tăng gần tuyến tính trên thang log-log, tức độ rộng tăng gần tỷ lệ với quy mô. Từ vùng doanh số trung bình khoảng một nghìn đơn vị mỗi ngày trở lên, đám điểm chạm một đường nằm ngang đúng bằng độ rộng 1.175,96 của nhóm 9; vài bậc thang nhỏ hơn phía trước tương ứng với nhóm 8 và nhóm 7. Tính lại từ tệp dự báo xác suất, 139 chuỗi có dự báo điểm thuộc nhóm 9 ở cả 16 ngày, và 2.937 dòng kiểm tra của nhóm này chiếm 74,26% tổng doanh số thực tế. Hình dạng này thể hiện đúng lý do phương pháp của thiết kế: nếu dùng một bộ phân vị phần dư chung cho mọi chuỗi, độ rộng khoảng sẽ gần như bằng nhau bất kể quy mô, quá rộng cho chuỗi nhỏ và quá hẹp cho chuỗi lớn; phân nhóm theo dự báo điểm, vốn là thông tin biết tại thời điểm dự báo, cho phép độ rộng tăng theo quy mô mà không dùng tới giá trị thực tế của kỳ dự báo. Tuy vậy, bậc thang cuối cũng cho thấy giới hạn của cơ chế: trong nhóm 9, chuỗi có dự báo khoảng 1.300 và chuỗi có dự báo gấp nhiều lần nhận cùng một độ rộng tuyệt đối.</w:t>
      </w:r>
    </w:p>
    <w:p>
      <w:pPr>
        <w:jc w:val="center"/>
      </w:pPr>
      <w:r>
        <w:drawing>
          <wp:inline xmlns:a="http://schemas.openxmlformats.org/drawingml/2006/main" xmlns:pic="http://schemas.openxmlformats.org/drawingml/2006/picture">
            <wp:extent cx="5580000" cy="3688474"/>
            <wp:docPr id="5017" name="Picture 5017"/>
            <wp:cNvGraphicFramePr>
              <a:graphicFrameLocks noChangeAspect="1"/>
            </wp:cNvGraphicFramePr>
            <a:graphic>
              <a:graphicData uri="http://schemas.openxmlformats.org/drawingml/2006/picture">
                <pic:pic>
                  <pic:nvPicPr>
                    <pic:cNvPr id="0" name="F20_interval_width_vs_demand_932.png"/>
                    <pic:cNvPicPr/>
                  </pic:nvPicPr>
                  <pic:blipFill>
                    <a:blip r:embed="rId116"/>
                    <a:stretch>
                      <a:fillRect/>
                    </a:stretch>
                  </pic:blipFill>
                  <pic:spPr>
                    <a:xfrm>
                      <a:off x="0" y="0"/>
                      <a:ext cx="5580000" cy="3688474"/>
                    </a:xfrm>
                    <a:prstGeom prst="rect"/>
                  </pic:spPr>
                </pic:pic>
              </a:graphicData>
            </a:graphic>
          </wp:inline>
        </w:drawing>
      </w:r>
    </w:p>
    <w:p>
      <w:pPr>
        <w:keepNext w:val="0"/>
        <w:spacing w:after="160"/>
        <w:ind w:firstLine="0"/>
        <w:jc w:val="center"/>
      </w:pPr>
      <w:r>
        <w:t xml:space="preserve">Hình 4.13. Độ rộng trung bình của khoảng P10–P90 theo doanh số trung bình mỗi ngày của từng chuỗi trên tập kiểm tra cuối (thang logarit)</w:t>
      </w:r>
    </w:p>
    <w:p>
      <w:pPr>
        <w:spacing w:before="0" w:after="160"/>
        <w:ind w:firstLine="0"/>
        <w:jc w:val="center"/>
      </w:pPr>
      <w:r>
        <w:rPr>
          <w:i/>
          <w:sz w:val="22"/>
          <w:szCs w:val="22"/>
        </w:rPr>
        <w:t xml:space="preserve">Nguồn: REPORT_READY/figures/F20_interval_width_vs_demand.png</w:t>
      </w:r>
    </w:p>
    <w:p>
      <w:pPr>
        <w:pStyle w:val="Heading3"/>
        <w:keepNext/>
      </w:pPr>
      <w:r>
        <w:t xml:space="preserve">4.9.2. Chỉ số tổng hợp: hàm mất mát phân vị, độ bao phủ và độ rộng</w:t>
      </w:r>
    </w:p>
    <w:p>
      <w:pPr>
        <w:keepLines w:val="0"/>
        <w:spacing w:after="120"/>
        <w:ind w:firstLine="567"/>
      </w:pPr>
      <w:r>
        <w:t xml:space="preserve">Chất lượng của các phân vị được đánh giá bằng hàm mất mát phân vị (pinball loss) theo công thức (4.6) (Koenker và Bassett, 1978), cùng độ bao phủ thực nghiệm và độ rộng trung bình của khoảng P10–P90 theo công thức (4.7). Hàm mất mát phân vị là một quy tắc chấm điểm thích hợp cho phân vị (Gneiting và Raftery, 2007) và là nền tảng của cách đánh giá trong cuộc thi M5 về độ bất định (Makridakis và cộng sự, 2022b). Bảng 4.12 tổng hợp các chỉ số của lớp xác suất trên tập kiểm tra cuối, và Hình 4.14 biểu diễn hàm mất mát phân vị tại ba mức.</w:t>
      </w:r>
    </w:p>
    <w:p>
      <w:pPr>
        <w:tabs>
          <w:tab w:val="center" w:pos="4535"/>
          <w:tab w:val="right" w:pos="9071"/>
        </w:tabs>
        <w:spacing w:before="60" w:after="60"/>
        <w:ind w:firstLine="0"/>
      </w:pPr>
      <w:r>
        <w:tab/>
      </w:r>
      <m:oMath xmlns:a="http://schemas.openxmlformats.org/drawingml/2006/main" xmlns:pic="http://schemas.openxmlformats.org/drawingml/2006/picture">
        <m:sSub>
          <m:e>
            <m:r>
              <m:t>L</m:t>
            </m:r>
          </m:e>
          <m:sub>
            <m:r>
              <m:t>τ</m:t>
            </m:r>
          </m:sub>
        </m:sSub>
        <m:d>
          <m:dPr>
            <m:begChr m:val="("/>
            <m:sepChr m:val=""/>
            <m:endChr m:val=")"/>
            <m:grow/>
          </m:dPr>
          <m:e>
            <m:r>
              <m:t>y</m:t>
            </m:r>
            <m:r>
              <m:rPr>
                <m:sty m:val="p"/>
              </m:rPr>
              <m:t>,</m:t>
            </m:r>
            <m:sSub>
              <m:e>
                <m:r>
                  <m:t>q</m:t>
                </m:r>
              </m:e>
              <m:sub>
                <m:r>
                  <m:t>τ</m:t>
                </m:r>
              </m:sub>
            </m:sSub>
          </m:e>
        </m:d>
        <m:r>
          <m:rPr>
            <m:sty m:val="p"/>
          </m:rPr>
          <m:t>=</m:t>
        </m:r>
        <m:d>
          <m:dPr>
            <m:begChr m:val="{"/>
            <m:sepChr m:val=""/>
            <m:endChr m:val=""/>
            <m:grow/>
          </m:dPr>
          <m:e>
            <m:m>
              <m:mPr>
                <m:baseJc m:val="center"/>
                <m:plcHide m:val="on"/>
                <m:mcs>
                  <m:mc>
                    <m:mcPr>
                      <m:count m:val="1"/>
                      <m:mcJc m:val="left"/>
                    </m:mcPr>
                  </m:mc>
                  <m:mc>
                    <m:mcPr>
                      <m:count m:val="1"/>
                      <m:mcJc m:val="left"/>
                    </m:mcPr>
                  </m:mc>
                </m:mcs>
              </m:mPr>
              <m:mr>
                <m:e>
                  <m:r>
                    <m:t>τ</m:t>
                  </m:r>
                  <m:d>
                    <m:dPr>
                      <m:begChr m:val="("/>
                      <m:sepChr m:val=""/>
                      <m:endChr m:val=")"/>
                      <m:grow/>
                    </m:dPr>
                    <m:e>
                      <m:r>
                        <m:t>y</m:t>
                      </m:r>
                      <m:r>
                        <m:rPr>
                          <m:sty m:val="p"/>
                        </m:rPr>
                        <m:t>−</m:t>
                      </m:r>
                      <m:sSub>
                        <m:e>
                          <m:r>
                            <m:t>q</m:t>
                          </m:r>
                        </m:e>
                        <m:sub>
                          <m:r>
                            <m:t>τ</m:t>
                          </m:r>
                        </m:sub>
                      </m:sSub>
                    </m:e>
                  </m:d>
                  <m:r>
                    <m:rPr>
                      <m:sty m:val="p"/>
                    </m:rPr>
                    <m:t>,</m:t>
                  </m:r>
                </m:e>
                <m:e>
                  <m:r>
                    <m:t>y</m:t>
                  </m:r>
                  <m:r>
                    <m:rPr>
                      <m:sty m:val="p"/>
                    </m:rPr>
                    <m:t>≥</m:t>
                  </m:r>
                  <m:sSub>
                    <m:e>
                      <m:r>
                        <m:t>q</m:t>
                      </m:r>
                    </m:e>
                    <m:sub>
                      <m:r>
                        <m:t>τ</m:t>
                      </m:r>
                    </m:sub>
                  </m:sSub>
                </m:e>
              </m:mr>
              <m:mr>
                <m:e>
                  <m:d>
                    <m:dPr>
                      <m:begChr m:val="("/>
                      <m:sepChr m:val=""/>
                      <m:endChr m:val=")"/>
                      <m:grow/>
                    </m:dPr>
                    <m:e>
                      <m:r>
                        <m:t>1</m:t>
                      </m:r>
                      <m:r>
                        <m:rPr>
                          <m:sty m:val="p"/>
                        </m:rPr>
                        <m:t>−</m:t>
                      </m:r>
                      <m:r>
                        <m:t>τ</m:t>
                      </m:r>
                    </m:e>
                  </m:d>
                  <m:d>
                    <m:dPr>
                      <m:begChr m:val="("/>
                      <m:sepChr m:val=""/>
                      <m:endChr m:val=")"/>
                      <m:grow/>
                    </m:dPr>
                    <m:e>
                      <m:sSub>
                        <m:e>
                          <m:r>
                            <m:t>q</m:t>
                          </m:r>
                        </m:e>
                        <m:sub>
                          <m:r>
                            <m:t>τ</m:t>
                          </m:r>
                        </m:sub>
                      </m:sSub>
                      <m:r>
                        <m:rPr>
                          <m:sty m:val="p"/>
                        </m:rPr>
                        <m:t>−</m:t>
                      </m:r>
                      <m:r>
                        <m:t>y</m:t>
                      </m:r>
                    </m:e>
                  </m:d>
                  <m:r>
                    <m:rPr>
                      <m:sty m:val="p"/>
                    </m:rPr>
                    <m:t>,</m:t>
                  </m:r>
                </m:e>
                <m:e>
                  <m:r>
                    <m:t>y</m:t>
                  </m:r>
                  <m:r>
                    <m:rPr>
                      <m:sty m:val="p"/>
                    </m:rPr>
                    <m:t>&lt;</m:t>
                  </m:r>
                  <m:sSub>
                    <m:e>
                      <m:r>
                        <m:t>q</m:t>
                      </m:r>
                    </m:e>
                    <m:sub>
                      <m:r>
                        <m:t>τ</m:t>
                      </m:r>
                    </m:sub>
                  </m:sSub>
                </m:e>
              </m:mr>
            </m:m>
          </m:e>
        </m:d>
        <m:r>
          <m:rPr>
            <m:sty m:val="p"/>
          </m:rPr>
          <m:t>,</m:t>
        </m:r>
        <m:r>
          <m:t>  </m:t>
        </m:r>
        <m:r>
          <m:t>τ</m:t>
        </m:r>
        <m:r>
          <m:rPr>
            <m:sty m:val="p"/>
          </m:rPr>
          <m:t>∈</m:t>
        </m:r>
        <m:r>
          <m:rPr>
            <m:sty m:val="p"/>
          </m:rPr>
          <m:t>{</m:t>
        </m:r>
        <m:r>
          <m:t>0</m:t>
        </m:r>
        <m:r>
          <m:rPr>
            <m:sty m:val="p"/>
          </m:rPr>
          <m:t>,</m:t>
        </m:r>
        <m:r>
          <m:t>1</m:t>
        </m:r>
        <m:r>
          <m:rPr>
            <m:sty m:val="p"/>
          </m:rPr>
          <m:t>;</m:t>
        </m:r>
        <m:r>
          <m:t> </m:t>
        </m:r>
        <m:r>
          <m:t>0</m:t>
        </m:r>
        <m:r>
          <m:rPr>
            <m:sty m:val="p"/>
          </m:rPr>
          <m:t>,</m:t>
        </m:r>
        <m:r>
          <m:t>5</m:t>
        </m:r>
        <m:r>
          <m:rPr>
            <m:sty m:val="p"/>
          </m:rPr>
          <m:t>;</m:t>
        </m:r>
        <m:r>
          <m:t> </m:t>
        </m:r>
        <m:r>
          <m:t>0</m:t>
        </m:r>
        <m:r>
          <m:rPr>
            <m:sty m:val="p"/>
          </m:rPr>
          <m:t>,</m:t>
        </m:r>
        <m:r>
          <m:t>9</m:t>
        </m:r>
        <m:r>
          <m:rPr>
            <m:sty m:val="p"/>
          </m:rPr>
          <m:t>}</m:t>
        </m:r>
      </m:oMath>
      <w:r>
        <w:tab/>
        <w:t>(4.6)</w:t>
      </w:r>
    </w:p>
    <w:p>
      <w:pPr>
        <w:tabs>
          <w:tab w:val="center" w:pos="4535"/>
          <w:tab w:val="right" w:pos="9071"/>
        </w:tabs>
        <w:spacing w:before="60" w:after="60"/>
        <w:ind w:firstLine="0"/>
      </w:pPr>
      <w:r>
        <w:tab/>
      </w:r>
      <m:oMath xmlns:a="http://schemas.openxmlformats.org/drawingml/2006/main" xmlns:pic="http://schemas.openxmlformats.org/drawingml/2006/picture">
        <m:r>
          <m:rPr>
            <m:sty m:val="p"/>
          </m:rPr>
          <m:t>C</m:t>
        </m:r>
        <m:r>
          <m:rPr>
            <m:sty m:val="p"/>
          </m:rPr>
          <m:t>o</m:t>
        </m:r>
        <m:r>
          <m:rPr>
            <m:sty m:val="p"/>
          </m:rPr>
          <m:t>v</m:t>
        </m: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r>
              <m:rPr>
                <m:sty m:val="b"/>
              </m:rPr>
              <m:t>1</m:t>
            </m:r>
          </m:e>
        </m:nary>
        <m:d>
          <m:dPr>
            <m:begChr m:val="{"/>
            <m:sepChr m:val=""/>
            <m:endChr m:val="}"/>
            <m:grow/>
          </m:dPr>
          <m:e>
            <m:r>
              <m:t>P</m:t>
            </m:r>
            <m:sSub>
              <m:e>
                <m:r>
                  <m:t>10</m:t>
                </m:r>
              </m:e>
              <m:sub>
                <m:r>
                  <m:t>j</m:t>
                </m:r>
              </m:sub>
            </m:sSub>
            <m:r>
              <m:rPr>
                <m:sty m:val="p"/>
              </m:rPr>
              <m:t>≤</m:t>
            </m:r>
            <m:sSub>
              <m:e>
                <m:r>
                  <m:t>y</m:t>
                </m:r>
              </m:e>
              <m:sub>
                <m:r>
                  <m:t>j</m:t>
                </m:r>
              </m:sub>
            </m:sSub>
            <m:r>
              <m:rPr>
                <m:sty m:val="p"/>
              </m:rPr>
              <m:t>≤</m:t>
            </m:r>
            <m:r>
              <m:t>P</m:t>
            </m:r>
            <m:sSub>
              <m:e>
                <m:r>
                  <m:t>90</m:t>
                </m:r>
              </m:e>
              <m:sub>
                <m:r>
                  <m:t>j</m:t>
                </m:r>
              </m:sub>
            </m:sSub>
          </m:e>
        </m:d>
        <m:r>
          <m:rPr>
            <m:sty m:val="p"/>
          </m:rPr>
          <m:t>,</m:t>
        </m:r>
        <m:r>
          <m:t>  </m:t>
        </m:r>
        <m:acc>
          <m:accPr>
            <m:chr m:val="‾"/>
          </m:accPr>
          <m:e>
            <m:r>
              <m:t>W</m:t>
            </m:r>
          </m:e>
        </m:acc>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d>
              <m:dPr>
                <m:begChr m:val="("/>
                <m:sepChr m:val=""/>
                <m:endChr m:val=")"/>
                <m:grow/>
              </m:dPr>
              <m:e>
                <m:r>
                  <m:t>P</m:t>
                </m:r>
                <m:sSub>
                  <m:e>
                    <m:r>
                      <m:t>90</m:t>
                    </m:r>
                  </m:e>
                  <m:sub>
                    <m:r>
                      <m:t>j</m:t>
                    </m:r>
                  </m:sub>
                </m:sSub>
                <m:r>
                  <m:rPr>
                    <m:sty m:val="p"/>
                  </m:rPr>
                  <m:t>−</m:t>
                </m:r>
                <m:r>
                  <m:t>P</m:t>
                </m:r>
                <m:sSub>
                  <m:e>
                    <m:r>
                      <m:t>10</m:t>
                    </m:r>
                  </m:e>
                  <m:sub>
                    <m:r>
                      <m:t>j</m:t>
                    </m:r>
                  </m:sub>
                </m:sSub>
              </m:e>
            </m:d>
          </m:e>
        </m:nary>
      </m:oMath>
      <w:r>
        <w:tab/>
        <w:t>(4.7)</w:t>
      </w:r>
    </w:p>
    <w:p>
      <w:pPr>
        <w:keepNext/>
        <w:spacing w:before="120" w:after="60"/>
        <w:ind w:firstLine="0"/>
        <w:jc w:val="center"/>
      </w:pPr>
      <w:r>
        <w:t xml:space="preserve">Bảng 4.12. Các chỉ số đánh giá dự báo xác suất P10/P50/P90 của XGBoost trên tập kiểm tra cuối 16 ngày</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507"/>
        <w:gridCol w:w="1676"/>
        <w:gridCol w:w="3888"/>
      </w:tblGrid>
      <w:tr>
        <w:trPr>
          <w:tblHeader/>
          <w:cantSplit/>
        </w:trPr>
        <w:tc>
          <w:tcPr>
            <w:tcW w:type="dxa" w:w="3507"/>
            <w:shd w:val="clear" w:color="auto" w:fill="D9E2F3"/>
            <w:vAlign w:val="center"/>
          </w:tcPr>
          <w:p>
            <w:pPr>
              <w:spacing w:before="20" w:after="20" w:line="260" w:lineRule="auto"/>
              <w:ind w:firstLine="0"/>
              <w:jc w:val="center"/>
            </w:pPr>
            <w:r>
              <w:rPr>
                <w:b/>
                <w:sz w:val="20"/>
                <w:szCs w:val="20"/>
              </w:rPr>
              <w:t xml:space="preserve">Chỉ số</w:t>
            </w:r>
          </w:p>
        </w:tc>
        <w:tc>
          <w:tcPr>
            <w:tcW w:type="dxa" w:w="1676"/>
            <w:shd w:val="clear" w:color="auto" w:fill="D9E2F3"/>
            <w:vAlign w:val="center"/>
          </w:tcPr>
          <w:p>
            <w:pPr>
              <w:spacing w:before="20" w:after="20" w:line="260" w:lineRule="auto"/>
              <w:ind w:firstLine="0"/>
              <w:jc w:val="center"/>
            </w:pPr>
            <w:r>
              <w:rPr>
                <w:b/>
                <w:sz w:val="20"/>
                <w:szCs w:val="20"/>
              </w:rPr>
              <w:t xml:space="preserve">Giá trị</w:t>
            </w:r>
          </w:p>
        </w:tc>
        <w:tc>
          <w:tcPr>
            <w:tcW w:type="dxa" w:w="3888"/>
            <w:shd w:val="clear" w:color="auto" w:fill="D9E2F3"/>
            <w:vAlign w:val="center"/>
          </w:tcPr>
          <w:p>
            <w:pPr>
              <w:spacing w:before="20" w:after="20" w:line="260" w:lineRule="auto"/>
              <w:ind w:firstLine="0"/>
              <w:jc w:val="center"/>
            </w:pPr>
            <w:r>
              <w:rPr>
                <w:b/>
                <w:sz w:val="20"/>
                <w:szCs w:val="20"/>
              </w:rPr>
              <w:t xml:space="preserve">Mức tham chiếu / ghi chú</w:t>
            </w:r>
          </w:p>
        </w:tc>
      </w:tr>
      <w:tr>
        <w:trPr>
          <w:cantSplit/>
        </w:trPr>
        <w:tc>
          <w:tcPr>
            <w:tcW w:type="dxa" w:w="3507"/>
            <w:vAlign w:val="center"/>
          </w:tcPr>
          <w:p>
            <w:pPr>
              <w:spacing w:before="20" w:after="20" w:line="260" w:lineRule="auto"/>
              <w:ind w:firstLine="0"/>
              <w:jc w:val="left"/>
            </w:pPr>
            <w:r>
              <w:rPr>
                <w:sz w:val="20"/>
                <w:szCs w:val="20"/>
              </w:rPr>
              <w:t xml:space="preserve">Pinball loss P10</w:t>
            </w:r>
          </w:p>
        </w:tc>
        <w:tc>
          <w:tcPr>
            <w:tcW w:type="dxa" w:w="1676"/>
            <w:vAlign w:val="center"/>
          </w:tcPr>
          <w:p>
            <w:pPr>
              <w:spacing w:before="20" w:after="20" w:line="260" w:lineRule="auto"/>
              <w:ind w:firstLine="0"/>
              <w:jc w:val="center"/>
            </w:pPr>
            <w:r>
              <w:rPr>
                <w:sz w:val="20"/>
                <w:szCs w:val="20"/>
              </w:rPr>
              <w:t xml:space="preserve">17,850</w:t>
            </w:r>
          </w:p>
        </w:tc>
        <w:tc>
          <w:tcPr>
            <w:tcW w:type="dxa" w:w="3888"/>
            <w:vAlign w:val="center"/>
          </w:tcPr>
          <w:p>
            <w:pPr>
              <w:spacing w:before="20" w:after="20" w:line="260" w:lineRule="auto"/>
              <w:ind w:firstLine="0"/>
              <w:jc w:val="left"/>
            </w:pPr>
            <w:r>
              <w:rPr>
                <w:sz w:val="20"/>
                <w:szCs w:val="20"/>
              </w:rPr>
              <w:t xml:space="preserve">τ = 0,1; nhánh 0,9 × (P10 − y): 11,23</w:t>
            </w:r>
          </w:p>
        </w:tc>
      </w:tr>
      <w:tr>
        <w:trPr>
          <w:cantSplit/>
        </w:trPr>
        <w:tc>
          <w:tcPr>
            <w:tcW w:type="dxa" w:w="3507"/>
            <w:vAlign w:val="center"/>
          </w:tcPr>
          <w:p>
            <w:pPr>
              <w:spacing w:before="20" w:after="20" w:line="260" w:lineRule="auto"/>
              <w:ind w:firstLine="0"/>
              <w:jc w:val="left"/>
            </w:pPr>
            <w:r>
              <w:rPr>
                <w:sz w:val="20"/>
                <w:szCs w:val="20"/>
              </w:rPr>
              <w:t xml:space="preserve">Pinball loss P50</w:t>
            </w:r>
          </w:p>
        </w:tc>
        <w:tc>
          <w:tcPr>
            <w:tcW w:type="dxa" w:w="1676"/>
            <w:vAlign w:val="center"/>
          </w:tcPr>
          <w:p>
            <w:pPr>
              <w:spacing w:before="20" w:after="20" w:line="260" w:lineRule="auto"/>
              <w:ind w:firstLine="0"/>
              <w:jc w:val="center"/>
            </w:pPr>
            <w:r>
              <w:rPr>
                <w:sz w:val="20"/>
                <w:szCs w:val="20"/>
              </w:rPr>
              <w:t xml:space="preserve">33,428</w:t>
            </w:r>
          </w:p>
        </w:tc>
        <w:tc>
          <w:tcPr>
            <w:tcW w:type="dxa" w:w="3888"/>
            <w:vAlign w:val="center"/>
          </w:tcPr>
          <w:p>
            <w:pPr>
              <w:spacing w:before="20" w:after="20" w:line="260" w:lineRule="auto"/>
              <w:ind w:firstLine="0"/>
              <w:jc w:val="left"/>
            </w:pPr>
            <w:r>
              <w:rPr>
                <w:sz w:val="20"/>
                <w:szCs w:val="20"/>
              </w:rPr>
              <w:t xml:space="preserve">2 × 33,428 = 66,855 = MAE của P50</w:t>
            </w:r>
          </w:p>
        </w:tc>
      </w:tr>
      <w:tr>
        <w:trPr>
          <w:cantSplit/>
        </w:trPr>
        <w:tc>
          <w:tcPr>
            <w:tcW w:type="dxa" w:w="3507"/>
            <w:vAlign w:val="center"/>
          </w:tcPr>
          <w:p>
            <w:pPr>
              <w:spacing w:before="20" w:after="20" w:line="260" w:lineRule="auto"/>
              <w:ind w:firstLine="0"/>
              <w:jc w:val="left"/>
            </w:pPr>
            <w:r>
              <w:rPr>
                <w:sz w:val="20"/>
                <w:szCs w:val="20"/>
              </w:rPr>
              <w:t xml:space="preserve">Pinball loss P90</w:t>
            </w:r>
          </w:p>
        </w:tc>
        <w:tc>
          <w:tcPr>
            <w:tcW w:type="dxa" w:w="1676"/>
            <w:vAlign w:val="center"/>
          </w:tcPr>
          <w:p>
            <w:pPr>
              <w:spacing w:before="20" w:after="20" w:line="260" w:lineRule="auto"/>
              <w:ind w:firstLine="0"/>
              <w:jc w:val="center"/>
            </w:pPr>
            <w:r>
              <w:rPr>
                <w:sz w:val="20"/>
                <w:szCs w:val="20"/>
              </w:rPr>
              <w:t xml:space="preserve">20,960</w:t>
            </w:r>
          </w:p>
        </w:tc>
        <w:tc>
          <w:tcPr>
            <w:tcW w:type="dxa" w:w="3888"/>
            <w:vAlign w:val="center"/>
          </w:tcPr>
          <w:p>
            <w:pPr>
              <w:spacing w:before="20" w:after="20" w:line="260" w:lineRule="auto"/>
              <w:ind w:firstLine="0"/>
              <w:jc w:val="left"/>
            </w:pPr>
            <w:r>
              <w:rPr>
                <w:sz w:val="20"/>
                <w:szCs w:val="20"/>
              </w:rPr>
              <w:t xml:space="preserve">τ = 0,9; nhánh 0,1 × (P90 − y): 13,58</w:t>
            </w:r>
          </w:p>
        </w:tc>
      </w:tr>
      <w:tr>
        <w:trPr>
          <w:cantSplit/>
        </w:trPr>
        <w:tc>
          <w:tcPr>
            <w:tcW w:type="dxa" w:w="3507"/>
            <w:vAlign w:val="center"/>
          </w:tcPr>
          <w:p>
            <w:pPr>
              <w:spacing w:before="20" w:after="20" w:line="260" w:lineRule="auto"/>
              <w:ind w:firstLine="0"/>
              <w:jc w:val="left"/>
            </w:pPr>
            <w:r>
              <w:rPr>
                <w:sz w:val="20"/>
                <w:szCs w:val="20"/>
              </w:rPr>
              <w:t xml:space="preserve">MAE của dự báo điểm</w:t>
            </w:r>
          </w:p>
        </w:tc>
        <w:tc>
          <w:tcPr>
            <w:tcW w:type="dxa" w:w="1676"/>
            <w:vAlign w:val="center"/>
          </w:tcPr>
          <w:p>
            <w:pPr>
              <w:spacing w:before="20" w:after="20" w:line="260" w:lineRule="auto"/>
              <w:ind w:firstLine="0"/>
              <w:jc w:val="center"/>
            </w:pPr>
            <w:r>
              <w:rPr>
                <w:sz w:val="20"/>
                <w:szCs w:val="20"/>
              </w:rPr>
              <w:t xml:space="preserve">66,927</w:t>
            </w:r>
          </w:p>
        </w:tc>
        <w:tc>
          <w:tcPr>
            <w:tcW w:type="dxa" w:w="3888"/>
            <w:vAlign w:val="center"/>
          </w:tcPr>
          <w:p>
            <w:pPr>
              <w:spacing w:before="20" w:after="20" w:line="260" w:lineRule="auto"/>
              <w:ind w:firstLine="0"/>
              <w:jc w:val="left"/>
            </w:pPr>
            <w:r>
              <w:rPr>
                <w:sz w:val="20"/>
                <w:szCs w:val="20"/>
              </w:rPr>
              <w:t xml:space="preserve">P50 = dự báo điểm + q50 của nhóm</w:t>
            </w:r>
          </w:p>
        </w:tc>
      </w:tr>
      <w:tr>
        <w:trPr>
          <w:cantSplit/>
        </w:trPr>
        <w:tc>
          <w:tcPr>
            <w:tcW w:type="dxa" w:w="3507"/>
            <w:vAlign w:val="center"/>
          </w:tcPr>
          <w:p>
            <w:pPr>
              <w:spacing w:before="20" w:after="20" w:line="260" w:lineRule="auto"/>
              <w:ind w:firstLine="0"/>
              <w:jc w:val="left"/>
            </w:pPr>
            <w:r>
              <w:rPr>
                <w:sz w:val="20"/>
                <w:szCs w:val="20"/>
              </w:rPr>
              <w:t xml:space="preserve">Độ bao phủ P10–P90</w:t>
            </w:r>
          </w:p>
        </w:tc>
        <w:tc>
          <w:tcPr>
            <w:tcW w:type="dxa" w:w="1676"/>
            <w:vAlign w:val="center"/>
          </w:tcPr>
          <w:p>
            <w:pPr>
              <w:spacing w:before="20" w:after="20" w:line="260" w:lineRule="auto"/>
              <w:ind w:firstLine="0"/>
              <w:jc w:val="center"/>
            </w:pPr>
            <w:r>
              <w:rPr>
                <w:sz w:val="20"/>
                <w:szCs w:val="20"/>
              </w:rPr>
              <w:t xml:space="preserve">75,40%</w:t>
            </w:r>
          </w:p>
        </w:tc>
        <w:tc>
          <w:tcPr>
            <w:tcW w:type="dxa" w:w="3888"/>
            <w:vAlign w:val="center"/>
          </w:tcPr>
          <w:p>
            <w:pPr>
              <w:spacing w:before="20" w:after="20" w:line="260" w:lineRule="auto"/>
              <w:ind w:firstLine="0"/>
              <w:jc w:val="left"/>
            </w:pPr>
            <w:r>
              <w:rPr>
                <w:sz w:val="20"/>
                <w:szCs w:val="20"/>
              </w:rPr>
              <w:t xml:space="preserve">Danh nghĩa 80%</w:t>
            </w:r>
          </w:p>
        </w:tc>
      </w:tr>
      <w:tr>
        <w:trPr>
          <w:cantSplit/>
        </w:trPr>
        <w:tc>
          <w:tcPr>
            <w:tcW w:type="dxa" w:w="3507"/>
            <w:vAlign w:val="center"/>
          </w:tcPr>
          <w:p>
            <w:pPr>
              <w:spacing w:before="20" w:after="20" w:line="260" w:lineRule="auto"/>
              <w:ind w:firstLine="0"/>
              <w:jc w:val="left"/>
            </w:pPr>
            <w:r>
              <w:rPr>
                <w:sz w:val="20"/>
                <w:szCs w:val="20"/>
              </w:rPr>
              <w:t xml:space="preserve">Độ rộng trung bình P10–P90</w:t>
            </w:r>
          </w:p>
        </w:tc>
        <w:tc>
          <w:tcPr>
            <w:tcW w:type="dxa" w:w="1676"/>
            <w:vAlign w:val="center"/>
          </w:tcPr>
          <w:p>
            <w:pPr>
              <w:spacing w:before="20" w:after="20" w:line="260" w:lineRule="auto"/>
              <w:ind w:firstLine="0"/>
              <w:jc w:val="center"/>
            </w:pPr>
            <w:r>
              <w:rPr>
                <w:sz w:val="20"/>
                <w:szCs w:val="20"/>
              </w:rPr>
              <w:t xml:space="preserve">181,307</w:t>
            </w:r>
          </w:p>
        </w:tc>
        <w:tc>
          <w:tcPr>
            <w:tcW w:type="dxa" w:w="3888"/>
            <w:vAlign w:val="center"/>
          </w:tcPr>
          <w:p>
            <w:pPr>
              <w:spacing w:before="20" w:after="20" w:line="260" w:lineRule="auto"/>
              <w:ind w:firstLine="0"/>
              <w:jc w:val="left"/>
            </w:pPr>
            <w:r>
              <w:rPr>
                <w:sz w:val="20"/>
                <w:szCs w:val="20"/>
              </w:rPr>
              <w:t xml:space="preserve">Trung vị theo dòng 45,72</w:t>
            </w:r>
          </w:p>
        </w:tc>
      </w:tr>
      <w:tr>
        <w:trPr>
          <w:cantSplit/>
        </w:trPr>
        <w:tc>
          <w:tcPr>
            <w:tcW w:type="dxa" w:w="3507"/>
            <w:vAlign w:val="center"/>
          </w:tcPr>
          <w:p>
            <w:pPr>
              <w:spacing w:before="20" w:after="20" w:line="260" w:lineRule="auto"/>
              <w:ind w:firstLine="0"/>
              <w:jc w:val="left"/>
            </w:pPr>
            <w:r>
              <w:rPr>
                <w:sz w:val="20"/>
                <w:szCs w:val="20"/>
              </w:rPr>
              <w:t xml:space="preserve">Tỷ lệ thực tế &lt; P10</w:t>
            </w:r>
          </w:p>
        </w:tc>
        <w:tc>
          <w:tcPr>
            <w:tcW w:type="dxa" w:w="1676"/>
            <w:vAlign w:val="center"/>
          </w:tcPr>
          <w:p>
            <w:pPr>
              <w:spacing w:before="20" w:after="20" w:line="260" w:lineRule="auto"/>
              <w:ind w:firstLine="0"/>
              <w:jc w:val="center"/>
            </w:pPr>
            <w:r>
              <w:rPr>
                <w:sz w:val="20"/>
                <w:szCs w:val="20"/>
              </w:rPr>
              <w:t xml:space="preserve">17,35%</w:t>
            </w:r>
          </w:p>
        </w:tc>
        <w:tc>
          <w:tcPr>
            <w:tcW w:type="dxa" w:w="3888"/>
            <w:vAlign w:val="center"/>
          </w:tcPr>
          <w:p>
            <w:pPr>
              <w:spacing w:before="20" w:after="20" w:line="260" w:lineRule="auto"/>
              <w:ind w:firstLine="0"/>
              <w:jc w:val="left"/>
            </w:pPr>
            <w:r>
              <w:rPr>
                <w:sz w:val="20"/>
                <w:szCs w:val="20"/>
              </w:rPr>
              <w:t xml:space="preserve">Danh nghĩa 10%</w:t>
            </w:r>
          </w:p>
        </w:tc>
      </w:tr>
      <w:tr>
        <w:trPr>
          <w:cantSplit/>
        </w:trPr>
        <w:tc>
          <w:tcPr>
            <w:tcW w:type="dxa" w:w="3507"/>
            <w:vAlign w:val="center"/>
          </w:tcPr>
          <w:p>
            <w:pPr>
              <w:spacing w:before="20" w:after="20" w:line="260" w:lineRule="auto"/>
              <w:ind w:firstLine="0"/>
              <w:jc w:val="left"/>
            </w:pPr>
            <w:r>
              <w:rPr>
                <w:sz w:val="20"/>
                <w:szCs w:val="20"/>
              </w:rPr>
              <w:t xml:space="preserve">Tỷ lệ thực tế &gt; P90</w:t>
            </w:r>
          </w:p>
        </w:tc>
        <w:tc>
          <w:tcPr>
            <w:tcW w:type="dxa" w:w="1676"/>
            <w:vAlign w:val="center"/>
          </w:tcPr>
          <w:p>
            <w:pPr>
              <w:spacing w:before="20" w:after="20" w:line="260" w:lineRule="auto"/>
              <w:ind w:firstLine="0"/>
              <w:jc w:val="center"/>
            </w:pPr>
            <w:r>
              <w:rPr>
                <w:sz w:val="20"/>
                <w:szCs w:val="20"/>
              </w:rPr>
              <w:t xml:space="preserve">7,25%</w:t>
            </w:r>
          </w:p>
        </w:tc>
        <w:tc>
          <w:tcPr>
            <w:tcW w:type="dxa" w:w="3888"/>
            <w:vAlign w:val="center"/>
          </w:tcPr>
          <w:p>
            <w:pPr>
              <w:spacing w:before="20" w:after="20" w:line="260" w:lineRule="auto"/>
              <w:ind w:firstLine="0"/>
              <w:jc w:val="left"/>
            </w:pPr>
            <w:r>
              <w:rPr>
                <w:sz w:val="20"/>
                <w:szCs w:val="20"/>
              </w:rPr>
              <w:t xml:space="preserve">Danh nghĩa 10%</w:t>
            </w:r>
          </w:p>
        </w:tc>
      </w:tr>
      <w:tr>
        <w:trPr>
          <w:cantSplit/>
        </w:trPr>
        <w:tc>
          <w:tcPr>
            <w:tcW w:type="dxa" w:w="3507"/>
            <w:vAlign w:val="center"/>
          </w:tcPr>
          <w:p>
            <w:pPr>
              <w:spacing w:before="20" w:after="20" w:line="260" w:lineRule="auto"/>
              <w:ind w:firstLine="0"/>
              <w:jc w:val="left"/>
            </w:pPr>
            <w:r>
              <w:rPr>
                <w:sz w:val="20"/>
                <w:szCs w:val="20"/>
              </w:rPr>
              <w:t xml:space="preserve">Tỷ lệ dòng P10 bị chặn tại 0</w:t>
            </w:r>
          </w:p>
        </w:tc>
        <w:tc>
          <w:tcPr>
            <w:tcW w:type="dxa" w:w="1676"/>
            <w:vAlign w:val="center"/>
          </w:tcPr>
          <w:p>
            <w:pPr>
              <w:spacing w:before="20" w:after="20" w:line="260" w:lineRule="auto"/>
              <w:ind w:firstLine="0"/>
              <w:jc w:val="center"/>
            </w:pPr>
            <w:r>
              <w:rPr>
                <w:sz w:val="20"/>
                <w:szCs w:val="20"/>
              </w:rPr>
              <w:t xml:space="preserve">16,51%</w:t>
            </w:r>
          </w:p>
        </w:tc>
        <w:tc>
          <w:tcPr>
            <w:tcW w:type="dxa" w:w="3888"/>
            <w:vAlign w:val="center"/>
          </w:tcPr>
          <w:p>
            <w:pPr>
              <w:spacing w:before="20" w:after="20" w:line="260" w:lineRule="auto"/>
              <w:ind w:firstLine="0"/>
              <w:jc w:val="left"/>
            </w:pPr>
            <w:r>
              <w:rPr>
                <w:sz w:val="20"/>
                <w:szCs w:val="20"/>
              </w:rPr>
              <w:t xml:space="preserve">Bao phủ trên các dòng này 93,63%</w:t>
            </w:r>
          </w:p>
        </w:tc>
      </w:tr>
      <w:tr>
        <w:trPr>
          <w:cantSplit/>
        </w:trPr>
        <w:tc>
          <w:tcPr>
            <w:tcW w:type="dxa" w:w="3507"/>
            <w:vAlign w:val="center"/>
          </w:tcPr>
          <w:p>
            <w:pPr>
              <w:spacing w:before="20" w:after="20" w:line="260" w:lineRule="auto"/>
              <w:ind w:firstLine="0"/>
              <w:jc w:val="left"/>
            </w:pPr>
            <w:r>
              <w:rPr>
                <w:sz w:val="20"/>
                <w:szCs w:val="20"/>
              </w:rPr>
              <w:t xml:space="preserve">Tỷ lệ dòng thực tế = 0</w:t>
            </w:r>
          </w:p>
        </w:tc>
        <w:tc>
          <w:tcPr>
            <w:tcW w:type="dxa" w:w="1676"/>
            <w:vAlign w:val="center"/>
          </w:tcPr>
          <w:p>
            <w:pPr>
              <w:spacing w:before="20" w:after="20" w:line="260" w:lineRule="auto"/>
              <w:ind w:firstLine="0"/>
              <w:jc w:val="center"/>
            </w:pPr>
            <w:r>
              <w:rPr>
                <w:sz w:val="20"/>
                <w:szCs w:val="20"/>
              </w:rPr>
              <w:t xml:space="preserve">14,58%</w:t>
            </w:r>
          </w:p>
        </w:tc>
        <w:tc>
          <w:tcPr>
            <w:tcW w:type="dxa" w:w="3888"/>
            <w:vAlign w:val="center"/>
          </w:tcPr>
          <w:p>
            <w:pPr>
              <w:spacing w:before="20" w:after="20" w:line="260" w:lineRule="auto"/>
              <w:ind w:firstLine="0"/>
              <w:jc w:val="left"/>
            </w:pPr>
            <w:r>
              <w:rPr>
                <w:sz w:val="20"/>
                <w:szCs w:val="20"/>
              </w:rPr>
              <w:t xml:space="preserve">Bao phủ trên các dòng này 59,48%</w:t>
            </w:r>
          </w:p>
        </w:tc>
      </w:tr>
      <w:tr>
        <w:trPr>
          <w:cantSplit/>
        </w:trPr>
        <w:tc>
          <w:tcPr>
            <w:tcW w:type="dxa" w:w="3507"/>
            <w:vAlign w:val="center"/>
          </w:tcPr>
          <w:p>
            <w:pPr>
              <w:spacing w:before="20" w:after="20" w:line="260" w:lineRule="auto"/>
              <w:ind w:firstLine="0"/>
              <w:jc w:val="left"/>
            </w:pPr>
            <w:r>
              <w:rPr>
                <w:sz w:val="20"/>
                <w:szCs w:val="20"/>
              </w:rPr>
              <w:t xml:space="preserve">Độ bao phủ khi P10 &gt; 0 (n = 23.806)</w:t>
            </w:r>
          </w:p>
        </w:tc>
        <w:tc>
          <w:tcPr>
            <w:tcW w:type="dxa" w:w="1676"/>
            <w:vAlign w:val="center"/>
          </w:tcPr>
          <w:p>
            <w:pPr>
              <w:spacing w:before="20" w:after="20" w:line="260" w:lineRule="auto"/>
              <w:ind w:firstLine="0"/>
              <w:jc w:val="center"/>
            </w:pPr>
            <w:r>
              <w:rPr>
                <w:sz w:val="20"/>
                <w:szCs w:val="20"/>
              </w:rPr>
              <w:t xml:space="preserve">71,79%</w:t>
            </w:r>
          </w:p>
        </w:tc>
        <w:tc>
          <w:tcPr>
            <w:tcW w:type="dxa" w:w="3888"/>
            <w:vAlign w:val="center"/>
          </w:tcPr>
          <w:p>
            <w:pPr>
              <w:spacing w:before="20" w:after="20" w:line="260" w:lineRule="auto"/>
              <w:ind w:firstLine="0"/>
              <w:jc w:val="left"/>
            </w:pPr>
            <w:r>
              <w:rPr>
                <w:sz w:val="20"/>
                <w:szCs w:val="20"/>
              </w:rPr>
              <w:t xml:space="preserve">Danh nghĩa 80%</w:t>
            </w:r>
          </w:p>
        </w:tc>
      </w:tr>
      <w:tr>
        <w:trPr>
          <w:cantSplit/>
        </w:trPr>
        <w:tc>
          <w:tcPr>
            <w:tcW w:type="dxa" w:w="3507"/>
            <w:vAlign w:val="center"/>
          </w:tcPr>
          <w:p>
            <w:pPr>
              <w:spacing w:before="20" w:after="20" w:line="260" w:lineRule="auto"/>
              <w:ind w:firstLine="0"/>
              <w:jc w:val="left"/>
            </w:pPr>
            <w:r>
              <w:rPr>
                <w:sz w:val="20"/>
                <w:szCs w:val="20"/>
              </w:rPr>
              <w:t xml:space="preserve">Số nhóm sản phẩm có bao phủ ≥ 80%</w:t>
            </w:r>
          </w:p>
        </w:tc>
        <w:tc>
          <w:tcPr>
            <w:tcW w:type="dxa" w:w="1676"/>
            <w:vAlign w:val="center"/>
          </w:tcPr>
          <w:p>
            <w:pPr>
              <w:spacing w:before="20" w:after="20" w:line="260" w:lineRule="auto"/>
              <w:ind w:firstLine="0"/>
              <w:jc w:val="center"/>
            </w:pPr>
            <w:r>
              <w:rPr>
                <w:sz w:val="20"/>
                <w:szCs w:val="20"/>
              </w:rPr>
              <w:t xml:space="preserve">11/33</w:t>
            </w:r>
          </w:p>
        </w:tc>
        <w:tc>
          <w:tcPr>
            <w:tcW w:type="dxa" w:w="3888"/>
            <w:vAlign w:val="center"/>
          </w:tcPr>
          <w:p>
            <w:pPr>
              <w:spacing w:before="20" w:after="20" w:line="260" w:lineRule="auto"/>
              <w:ind w:firstLine="0"/>
              <w:jc w:val="left"/>
            </w:pPr>
            <w:r>
              <w:rPr>
                <w:sz w:val="20"/>
                <w:szCs w:val="20"/>
              </w:rPr>
              <w:t xml:space="preserve">3 nhóm dưới 60%</w:t>
            </w:r>
          </w:p>
        </w:tc>
      </w:tr>
      <w:tr>
        <w:trPr>
          <w:cantSplit/>
        </w:trPr>
        <w:tc>
          <w:tcPr>
            <w:tcW w:type="dxa" w:w="3507"/>
            <w:vAlign w:val="center"/>
          </w:tcPr>
          <w:p>
            <w:pPr>
              <w:spacing w:before="20" w:after="20" w:line="260" w:lineRule="auto"/>
              <w:ind w:firstLine="0"/>
              <w:jc w:val="left"/>
            </w:pPr>
            <w:r>
              <w:rPr>
                <w:sz w:val="20"/>
                <w:szCs w:val="20"/>
              </w:rPr>
              <w:t xml:space="preserve">Độ bao phủ theo chuỗi: trung vị</w:t>
            </w:r>
          </w:p>
        </w:tc>
        <w:tc>
          <w:tcPr>
            <w:tcW w:type="dxa" w:w="1676"/>
            <w:vAlign w:val="center"/>
          </w:tcPr>
          <w:p>
            <w:pPr>
              <w:spacing w:before="20" w:after="20" w:line="260" w:lineRule="auto"/>
              <w:ind w:firstLine="0"/>
              <w:jc w:val="center"/>
            </w:pPr>
            <w:r>
              <w:rPr>
                <w:sz w:val="20"/>
                <w:szCs w:val="20"/>
              </w:rPr>
              <w:t xml:space="preserve">81,25%</w:t>
            </w:r>
          </w:p>
        </w:tc>
        <w:tc>
          <w:tcPr>
            <w:tcW w:type="dxa" w:w="3888"/>
            <w:vAlign w:val="center"/>
          </w:tcPr>
          <w:p>
            <w:pPr>
              <w:spacing w:before="20" w:after="20" w:line="260" w:lineRule="auto"/>
              <w:ind w:firstLine="0"/>
              <w:jc w:val="left"/>
            </w:pPr>
            <w:r>
              <w:rPr>
                <w:sz w:val="20"/>
                <w:szCs w:val="20"/>
              </w:rPr>
              <w:t xml:space="preserve">950 chuỗi ≥ 80%; 148 chuỗi 100%; 3 chuỗi 0%</w:t>
            </w:r>
          </w:p>
        </w:tc>
      </w:tr>
    </w:tbl>
    <w:p>
      <w:pPr>
        <w:spacing w:before="40" w:after="160"/>
        <w:ind w:firstLine="0"/>
      </w:pPr>
      <w:r>
        <w:rPr>
          <w:i/>
          <w:sz w:val="22"/>
          <w:szCs w:val="22"/>
        </w:rPr>
        <w:t xml:space="preserve">Nguồn: REPORT_READY/tables/12_probabilistic_metrics.csv, 13_probabilistic_by_family.csv; outputs/05_probabilistic_forecast/probabilistic_predictions.parquet và outputs/11_forecast_diagnostics/error_by_series.csv (một số dòng do tác giả tính lại, xem phần số liệu phái sinh). Hai giá trị phân rã theo nhánh của hàm mất mát do tác giả tính lại.</w:t>
      </w:r>
    </w:p>
    <w:p>
      <w:pPr>
        <w:jc w:val="center"/>
      </w:pPr>
      <w:r>
        <w:drawing>
          <wp:inline xmlns:a="http://schemas.openxmlformats.org/drawingml/2006/main" xmlns:pic="http://schemas.openxmlformats.org/drawingml/2006/picture">
            <wp:extent cx="5580000" cy="3410000"/>
            <wp:docPr id="5018" name="Picture 5018"/>
            <wp:cNvGraphicFramePr>
              <a:graphicFrameLocks noChangeAspect="1"/>
            </wp:cNvGraphicFramePr>
            <a:graphic>
              <a:graphicData uri="http://schemas.openxmlformats.org/drawingml/2006/picture">
                <pic:pic>
                  <pic:nvPicPr>
                    <pic:cNvPr id="0" name="F18_pinball_loss_942.png"/>
                    <pic:cNvPicPr/>
                  </pic:nvPicPr>
                  <pic:blipFill>
                    <a:blip r:embed="rId117"/>
                    <a:stretch>
                      <a:fillRect/>
                    </a:stretch>
                  </pic:blipFill>
                  <pic:spPr>
                    <a:xfrm>
                      <a:off x="0" y="0"/>
                      <a:ext cx="5580000" cy="3410000"/>
                    </a:xfrm>
                    <a:prstGeom prst="rect"/>
                  </pic:spPr>
                </pic:pic>
              </a:graphicData>
            </a:graphic>
          </wp:inline>
        </w:drawing>
      </w:r>
    </w:p>
    <w:p>
      <w:pPr>
        <w:keepNext w:val="0"/>
        <w:spacing w:after="160"/>
        <w:ind w:firstLine="0"/>
        <w:jc w:val="center"/>
      </w:pPr>
      <w:r>
        <w:t xml:space="preserve">Hình 4.14. Hàm mất mát phân vị (pinball loss) của P10, P50 và P90 trên tập kiểm tra cuối</w:t>
      </w:r>
    </w:p>
    <w:p>
      <w:pPr>
        <w:spacing w:before="0" w:after="160"/>
        <w:ind w:firstLine="0"/>
        <w:jc w:val="center"/>
      </w:pPr>
      <w:r>
        <w:rPr>
          <w:i/>
          <w:sz w:val="22"/>
          <w:szCs w:val="22"/>
        </w:rPr>
        <w:t xml:space="preserve">Nguồn: REPORT_READY/figures/F18_pinball_loss.png</w:t>
      </w:r>
    </w:p>
    <w:p>
      <w:pPr>
        <w:keepLines w:val="0"/>
        <w:spacing w:after="120"/>
        <w:ind w:firstLine="567"/>
      </w:pPr>
      <w:r>
        <w:t xml:space="preserve">Hàm mất mát đạt 17,850 ở P10, 33,428 ở P50 và 20,960 ở P90. Tại τ = 0,5, hàm mất mát phân vị bằng một nửa sai số tuyệt đối, nên hai lần giá trị ở P50 bằng đúng MAE của P50 theo định nghĩa: 2 × 33,428 = 66,855. Giá trị này khác MAE 66,927 của dự báo điểm vì P50 bằng dự báo điểm cộng phân vị 0,5 của phần dư trong nhóm tương ứng; MAE của P50 thấp hơn một chút cho thấy dịch chuyển trung vị theo nhóm có ích, dù rất nhỏ. Cơ chế Mondrian không thay đổi mô hình điểm mà xác định vị trí hai phân vị đuôi theo phân phối phần dư của từng mức quy mô, nên chất lượng của P10 và P90 phản ánh trực tiếp mức độ phân phối phần dư trên cửa sổ hiệu chỉnh đại diện cho tập kiểm tra. Cần lưu ý rằng hàm mất mát phân vị, giống MAE, được đo theo đơn vị doanh số và bị chi phối bởi các quan sát quy mô lớn; ba giá trị trên vì vậy chủ yếu phản ánh chất lượng phân vị ở các chuỗi lớn, và không so sánh trực tiếp được với các tập dữ liệu có thang đo khác. Độ rộng trung bình 181,307 lớn hơn nhiều so với trung vị theo dòng 45,72, cũng vì khoảng rộng ở số ít quan sát quy mô lớn kéo trung bình lên, đúng với chủ ý để độ rộng co giãn theo quy mô.</w:t>
      </w:r>
    </w:p>
    <w:p>
      <w:pPr>
        <w:keepLines w:val="0"/>
        <w:spacing w:after="120"/>
        <w:ind w:firstLine="567"/>
      </w:pPr>
      <w:r>
        <w:t xml:space="preserve">Độ bao phủ tổng đạt 75,40%, thấp hơn mức danh nghĩa 80% khoảng 4,6 điểm phần trăm. Sự thiếu hụt không cân bằng giữa hai đuôi: 17,35% giá trị thực tế nằm dưới P10, cao hơn danh nghĩa 10% khoảng 7,35 điểm phần trăm, trong khi chỉ 7,25% nằm trên P90, thấp hơn danh nghĩa 2,75 điểm phần trăm. Khoảng dự báo vì vậy nằm lệch lên trên so với giá trị thực tế, nhất quán với độ chệch dự báo cao ở mục 4.6 và 4.7: vì khoảng được xây bằng cách cộng phân vị phần dư của cửa sổ hiệu chỉnh vào dự báo điểm, thiên lệch mới phát sinh trên tập kiểm tra được chuyển sang khoảng. Tuy vậy, hàm mất mát ở P10 lại thấp hơn ở P90, vì công thức (4.6) kết hợp cả tần suất và khoảng cách: khoảng cách trung bình của các vi phạm đuôi dưới là 71,92, của đuôi trên là 113,10; hơn nữa, phần lớn hàm mất mát ở P90 (13,58 trên 20,960) đến từ số hạng 0,1 × (P90 − y) của các quan sát nằm dưới P90, tức chi phí của nửa trên khoảng, vốn rộng vì q90 có trị tuyệt đối lớn hơn q10 ở các nhóm quy mô lớn.</w:t>
      </w:r>
    </w:p>
    <w:p>
      <w:pPr>
        <w:keepLines w:val="0"/>
        <w:spacing w:after="120"/>
        <w:ind w:firstLine="567"/>
      </w:pPr>
      <w:r>
        <w:t xml:space="preserve">Độ bao phủ 75,40% cần được đặt trong đúng khuôn khổ lý thuyết. Phương pháp dự báo phù hợp theo cách chia tách bảo đảm độ bao phủ biên (marginal coverage), và bản Mondrian bảo đảm độ bao phủ trong từng nhóm, dưới giả định các quan sát của cửa sổ hiệu chỉnh và tập kiểm tra có thể hoán đổi được (exchangeability) (Vovk và cộng sự, 2005; Lei và cộng sự, 2018). Chuỗi bán lẻ phụ thuộc theo thời gian, và mức thiếu hụt 4,6 điểm phần trăm tập trung ở đuôi dưới phù hợp với một sự dịch chuyển phân phối giữa cửa sổ 15/07–30/07 và tập kiểm tra theo chiều dự báo cao hơn thực tế. Hai yếu tố thiết kế làm tăng rủi ro này: cửa sổ hiệu chỉnh chỉ gồm 16 ngày và trùng lần kiểm định thứ ba; và mô hình tính phần dư (huấn luyện đến 14/07/2017) không đồng nhất với mô hình cuối (huấn luyện đến 30/07/2017), dù cùng cấu hình và quy tắc dữ liệu. Bảo đảm lý thuyết vì vậy chỉ được đáp ứng gần đúng, và độ bao phủ thực nghiệm phải được giám sát liên tục khi vận hành (Angelopoulos và Bates, 2023).</w:t>
      </w:r>
    </w:p>
    <w:p>
      <w:pPr>
        <w:pStyle w:val="Heading3"/>
        <w:keepNext/>
      </w:pPr>
      <w:r>
        <w:t xml:space="preserve">4.9.3. Độ bao phủ có điều kiện theo quy mô nhu cầu</w:t>
      </w:r>
    </w:p>
    <w:p>
      <w:pPr>
        <w:keepLines w:val="0"/>
        <w:spacing w:after="120"/>
        <w:ind w:firstLine="567"/>
      </w:pPr>
      <w:r>
        <w:t xml:space="preserve">Với ứng dụng tồn kho, độ bao phủ có điều kiện (conditional coverage), tức độ bao phủ trong từng nhóm quan sát như quy mô, nhóm sản phẩm hay ngày trong tuần, quan trọng hơn con số tổng hợp (Angelopoulos và Bates, 2023). Theo nhóm Mondrian trên tập kiểm tra (Bảng 4.11), độ bao phủ dao động từ 68,55% ở nhóm 1 đến 84,71% ở nhóm 4, còn các nhóm 5 đến 9 nằm trong khoảng hẹp 72,80%–75,47%. Theo mức nhu cầu thực tế (Bảng 4.7), độ bao phủ là 70,86% ở Q1, 81,90% ở Q2, 76,05% ở Q3 và 72,77% ở Q4. Độ bao phủ vì vậy không giảm đơn điệu theo quy mô, và nhóm nhu cầu cao nhất, chiếm 92,70% tổng doanh số, có độ bao phủ gần với các nhóm khác; đây là đặc điểm quan trọng nhất của lớp xác suất đối với ứng dụng tồn kho, vì phần lớn khối lượng hàng nằm ở nhóm này. Tỷ số giữa độ rộng trung bình và MAE (4,43 ở Q1, 2,82 ở Q2, 2,92 ở Q3 và 2,67 ở Q4) cho thấy độ rộng đã co giãn gần tỷ lệ với sai số điển hình của từng mức.</w:t>
      </w:r>
    </w:p>
    <w:p>
      <w:pPr>
        <w:keepLines w:val="0"/>
        <w:spacing w:after="120"/>
        <w:ind w:firstLine="567"/>
      </w:pPr>
      <w:r>
        <w:t xml:space="preserve">Hai điểm yếu còn lại có cơ chế khác nhau. Ở Q1, độ bao phủ 70,86% thấp không phải vì khoảng quá hẹp ở phía trên, mà vì đuôi dưới: 29,04% quan sát nằm dưới P10, chỉ 0,10% vượt P90. Q1 chứa toàn bộ 4.156 dòng có doanh số bằng 0, và độ bao phủ trên các dòng này chỉ 59,48%. Ở nhóm Mondrian 1, q10 chỉ bằng −0,22 vì trong cửa sổ hiệu chỉnh phần lớn quan sát có dự báo gần 0 cũng có thực tế gần 0; một quan sát kiểm tra có dự báo điểm dương nhỏ vì vậy nhận P10 dương, và nếu ngày đó không bán được hàng, giá trị 0 nằm ngoài khoảng. Đây là hệ quả của việc dùng khoảng liên tục cho cầu gián đoạn, nơi khối xác suất tại 0 cần được mô hình hóa riêng (Kolassa, 2016). Ở Q4, độ bao phủ 72,77% thấp hơn danh nghĩa chủ yếu vì đuôi dưới (17,83% dưới P10 so với 9,40% vượt P90), nhất quán với độ chệch −53,219; vì tỷ số độ rộng trên MAE ở Q4 (2,67) tương đương Q2 và Q3 (2,82 và 2,92), phần thiếu hụt ở nhóm lớn chủ yếu phản ánh thiên lệch của dự báo điểm hơn là một khoảng sai thang đo.</w:t>
      </w:r>
    </w:p>
    <w:p>
      <w:pPr>
        <w:keepLines w:val="0"/>
        <w:spacing w:after="120"/>
        <w:ind w:firstLine="567"/>
      </w:pPr>
      <w:r>
        <w:t xml:space="preserve">Phép chặn P10 tại 0 chỉ tác động đến một bộ phận của tập kiểm tra: 16,51% dòng (4.706 dòng) có P10 bị chặn tại 0, với độ bao phủ 93,63% trên các dòng này; trên 23.806 dòng có P10 &gt; 0, độ bao phủ đạt 71,79%, với 20,78% quan sát dưới P10 và 7,42% trên P90. Ở những quan sát mà khoảng có hai cận thực chất, mức bao phủ thấp hơn danh nghĩa khoảng 8,2 điểm phần trăm; đây là thước đo khắt khe hơn độ bao phủ tổng, vì đã loại phần bao phủ gần như tự động ở các dòng có cận dưới bằng 0. Theo nguyên tắc tối đa hóa độ sắc nét với ràng buộc hiệu chỉnh (Gneiting và cộng sự, 2007), khoảng Mondrian đáp ứng tốt vế độ sắc nét ở chuỗi nhỏ (độ rộng trung bình 7,597 ở Q1) và giữ độ bao phủ ở nhóm nhu cầu cao gần các nhóm khác, nhưng ràng buộc hiệu chỉnh vẫn chưa được đáp ứng đầy đủ, chủ yếu do dịch chuyển phân phối giữa cửa sổ hiệu chỉnh và tập kiểm tra.</w:t>
      </w:r>
    </w:p>
    <w:p>
      <w:pPr>
        <w:pStyle w:val="Heading3"/>
        <w:keepNext/>
      </w:pPr>
      <w:r>
        <w:t xml:space="preserve">4.9.4. Độ bao phủ theo nhóm sản phẩm, cửa hàng và chuỗi</w:t>
      </w:r>
    </w:p>
    <w:p>
      <w:pPr>
        <w:keepLines w:val="0"/>
        <w:spacing w:after="120"/>
        <w:ind w:firstLine="567"/>
      </w:pPr>
      <w:r>
        <w:t xml:space="preserve">Hình 4.15 biểu diễn độ bao phủ P10–P90 của 33 nhóm sản phẩm với đường tham chiếu 80%, tô màu theo ba mức: từ 80% trở lên, từ 70% đến dưới 80%, và dưới 70%. Có 11/33 nhóm đạt độ bao phủ từ 80% trở lên, cao nhất là PLAYERS AND ELECTRONICS (89,93%), PET SUPPLIES (89,00%) và AUTOMOTIVE (87,38%); đáng chú ý, PRODUCE, nhóm lớn thứ ba, đạt 82,87% và POULTRY đạt 82,41%. Tám nhóm dưới 70% chia thành hai cụm rõ rệt ở hai đầu của thang quy mô. Cụm thứ nhất gồm các nhóm lớn GROCERY I (67,36%), CLEANING (60,88%) và BEVERAGES (60,53%), cùng LIQUOR,WINE,BEER (61,92%). Cụm thứ hai gồm các nhóm rất nhỏ và thưa LADIESWEAR (69,44%), HOME APPLIANCES (59,38%), BABY CARE (58,80%) và BOOKS (53,12%), ba nhóm cuối là ba nhóm duy nhất dưới 60%. Tám nhóm này cộng lại chiếm 61,15% tổng doanh số thực tế của tập kiểm tra cuối, chủ yếu do GROCERY I, BEVERAGES và CLEANING.</w:t>
      </w:r>
    </w:p>
    <w:p>
      <w:pPr>
        <w:jc w:val="center"/>
      </w:pPr>
      <w:r>
        <w:drawing>
          <wp:inline xmlns:a="http://schemas.openxmlformats.org/drawingml/2006/main" xmlns:pic="http://schemas.openxmlformats.org/drawingml/2006/picture">
            <wp:extent cx="5580000" cy="4697828"/>
            <wp:docPr id="5019" name="Picture 5019"/>
            <wp:cNvGraphicFramePr>
              <a:graphicFrameLocks noChangeAspect="1"/>
            </wp:cNvGraphicFramePr>
            <a:graphic>
              <a:graphicData uri="http://schemas.openxmlformats.org/drawingml/2006/picture">
                <pic:pic>
                  <pic:nvPicPr>
                    <pic:cNvPr id="0" name="F19_coverage_by_family_954.png"/>
                    <pic:cNvPicPr/>
                  </pic:nvPicPr>
                  <pic:blipFill>
                    <a:blip r:embed="rId118"/>
                    <a:stretch>
                      <a:fillRect/>
                    </a:stretch>
                  </pic:blipFill>
                  <pic:spPr>
                    <a:xfrm>
                      <a:off x="0" y="0"/>
                      <a:ext cx="5580000" cy="4697828"/>
                    </a:xfrm>
                    <a:prstGeom prst="rect"/>
                  </pic:spPr>
                </pic:pic>
              </a:graphicData>
            </a:graphic>
          </wp:inline>
        </w:drawing>
      </w:r>
    </w:p>
    <w:p>
      <w:pPr>
        <w:keepNext w:val="0"/>
        <w:spacing w:after="160"/>
        <w:ind w:firstLine="0"/>
        <w:jc w:val="center"/>
      </w:pPr>
      <w:r>
        <w:t xml:space="preserve">Hình 4.15. Độ bao phủ của khoảng P10–P90 theo nhóm sản phẩm trên tập kiểm tra cuối (đường nét đứt: mức danh nghĩa 80%)</w:t>
      </w:r>
    </w:p>
    <w:p>
      <w:pPr>
        <w:spacing w:before="0" w:after="160"/>
        <w:ind w:firstLine="0"/>
        <w:jc w:val="center"/>
      </w:pPr>
      <w:r>
        <w:rPr>
          <w:i/>
          <w:sz w:val="22"/>
          <w:szCs w:val="22"/>
        </w:rPr>
        <w:t xml:space="preserve">Nguồn: REPORT_READY/figures/F19_coverage_by_family.png</w:t>
      </w:r>
    </w:p>
    <w:p>
      <w:pPr>
        <w:keepLines w:val="0"/>
        <w:spacing w:after="120"/>
        <w:ind w:firstLine="567"/>
      </w:pPr>
      <w:r>
        <w:t xml:space="preserve">Cấu trúc hai cụm giải thích vì sao hệ số Spearman giữa quy mô nhóm và độ bao phủ chỉ bằng 0,013: quan hệ không đơn điệu, phần thiếu bao phủ nằm ở cả hai đầu, với hai cơ chế khác nhau. Với các nhóm rất nhỏ, tính lại từ tệp dự báo, 99,07% dòng của BOOKS, 87,62% của BABY CARE và 85,30% của HOME APPLIANCES có doanh số bằng 0, và vi phạm gần như hoàn toàn thuộc loại thực tế bằng 0 nằm dưới P10 dương (46,76%, 40,16% và 39,93% số dòng), đúng cơ chế đã thấy ở Q1. Với các nhóm lớn, vi phạm đuôi dưới chiếm ưu thế (23,50% dòng GROCERY I và 29,75% dòng BEVERAGES nằm dưới P10, so với 9,14% và 9,72% vượt P90), nhất quán với độ chệch âm lớn ở mục 4.7.3. Ngoài ra, các chuỗi lớn này phần lớn thuộc nhóm Mondrian 9, nơi độ rộng tuyệt đối là chung; tỷ số giữa độ rộng và dự báo điểm trong nhóm dao động từ 0,077 đến 0,958, trung vị 0,432, nên chuỗi lớn nhất nhận khoảng hẹp nhất theo tỷ lệ. Hai nhóm lớn nhất vì vậy vẫn thấp hơn danh nghĩa 80% khoảng 12,64 điểm phần trăm (GROCERY I) và 19,47 điểm phần trăm (BEVERAGES), đúng những nhóm mà sai lệch của khoảng có hệ quả lớn nhất về khối lượng hàng.</w:t>
      </w:r>
    </w:p>
    <w:p>
      <w:pPr>
        <w:keepLines w:val="0"/>
        <w:spacing w:after="120"/>
        <w:ind w:firstLine="567"/>
      </w:pPr>
      <w:r>
        <w:t xml:space="preserve">Ở cấp cửa hàng, độ bao phủ dao động trong khoảng hẹp từ 68,37% (CH 44) đến 80,11% (CH 13 và CH 24), trung vị 75,47%; hệ số Spearman với quy mô là −0,236 (p = 0,086), không có ý nghĩa thống kê ở mức 5%. Ở cấp chuỗi, trung vị độ bao phủ là 81,25%, có 950 chuỗi đạt từ 80% trở lên, 148 chuỗi đạt 100% và chỉ 3 chuỗi bằng 0%. Hệ số Spearman giữa tổng thực tế của chuỗi và độ bao phủ chỉ bằng 0,020 (p = 0,39), nhưng 100 chuỗi có tổng thực tế lớn nhất chỉ có độ bao phủ trung bình 63,13%. Điều này khớp với bậc thang cuối trong Hình 4.13: nhóm quy mô trên cùng trải trên một dải dự báo điểm quá rộng, nên các chuỗi lớn nhất vẫn nhận khoảng tương đối hẹp. Các trường hợp đại diện ở mục 4.13 minh họa cụ thể: CH 3 – PRODUCE có độ bao phủ 68,75%, CH 45 – GROCERY I 62,50% và CH 2 – BEVERAGES 43,75%, cả ba cùng độ rộng trung bình 1.175,961.</w:t>
      </w:r>
    </w:p>
    <w:p>
      <w:pPr>
        <w:keepLines w:val="0"/>
        <w:spacing w:after="120"/>
        <w:ind w:firstLine="567"/>
      </w:pPr>
      <w:r>
        <w:t xml:space="preserve">Hệ quả cho các lớp quyết định là trực tiếp. Lớp tồn kho ở mục 4.11 cộng P10, P50, P90 theo ngày thành tổng 16 ngày cho từng chuỗi và dùng P90 làm điểm đặt hàng lại đại diện. Vì độ rộng theo ngày phụ thuộc nhóm quy mô, tồn kho an toàn P90 − P50 thay đổi theo chuỗi, từ 64,00 đến 12.135,64, trung vị 347,06, phản ánh quy mô và độ phân tán của từng chuỗi. Tuy vậy, hai giới hạn vẫn được truyền sang lớp quyết định. Thứ nhất, với chuỗi lớn nhất, khoảng tương đối hẹp khiến P90 có thể chưa đủ bảo thủ: các chuỗi mang nhãn LOW, vốn là các chuỗi lớn, có độ bao phủ trung bình theo chuỗi chỉ 58,18%, so với khoảng 76% ở nhãn HIGH và MEDIUM. Thứ hai, quy tắc nhãn r = (P90 − P10)/(P50 + 1) với ngưỡng cố định vẫn gắn với quy mô (hệ số Spearman giữa P50 và r bằng −0,970). Cải tiến tiếp theo vì vậy phải tiếp tục ở lớp xác suất, vì phân vị được hiệu chỉnh đúng là tiền đề của tính toán tồn kho an toàn theo mức dịch vụ (Silver và cộng sự, 2017).</w:t>
      </w:r>
    </w:p>
    <w:p>
      <w:pPr>
        <w:pStyle w:val="Heading3"/>
        <w:keepNext/>
      </w:pPr>
      <w:r>
        <w:t xml:space="preserve">4.9.5. Tổng phân vị theo ngày, hướng mở rộng và phạm vi sử dụng</w:t>
      </w:r>
    </w:p>
    <w:p>
      <w:pPr>
        <w:keepLines w:val="0"/>
        <w:spacing w:after="120"/>
        <w:ind w:firstLine="567"/>
      </w:pPr>
      <w:r>
        <w:t xml:space="preserve">Hai cột cuối của Bảng 4.6 và dải màu trong Hình 4.5 trình bày tổng P10 và tổng P90 của 1.782 chuỗi theo từng ngày. Cả 16/16 ngày có tổng thực tế nằm giữa hai tổng, dù ở 12/08 và 13/08 tổng thực tế (792.631 và 865.640) chỉ vừa cao hơn tổng P10 (790.677 và 855.739), lặp lại mẫu hình dự báo cao vào cuối tuần. Tuy nhiên, dải này không phải là khoảng dự báo 80% của tổng nhu cầu theo ngày. Tổng các phân vị bằng phân vị của tổng khi các thành phần đồng biến hoàn toàn (comonotonic), một điều kiện đủ chứ không phải điều kiện cần; trong trường hợp tổng quát, phân vị thực của tổng có thể lệch khỏi tổng các phân vị theo cả hai hướng, tùy cấu trúc phụ thuộc giữa các chuỗi và hình dạng phân phối của từng chuỗi. Dải tổng ở đây rất rộng, khoảng 34%–43% dự báo điểm của ngày, nên việc tổng thực tế nằm trong dải ở cả 16 ngày chỉ là quan sát mô tả, không phải bằng chứng về độ bao phủ ở cấp tổng.</w:t>
      </w:r>
    </w:p>
    <w:p>
      <w:pPr>
        <w:keepLines w:val="0"/>
        <w:spacing w:after="120"/>
        <w:ind w:firstLine="567"/>
      </w:pPr>
      <w:r>
        <w:t xml:space="preserve">Các hướng khắc phục những giới hạn còn lại đều là mở rộng, chưa được triển khai. Hướng thứ nhất là chuẩn hóa phần dư theo một thước đo quy mô hoặc độ phân tán cục bộ trước khi lấy phân vị, cách tiếp cận có trọng số cục bộ mà Lei và cộng sự (2018) đã phân tích; cách này làm độ rộng tiếp tục tăng bên trong nhóm quy mô trên cùng thay vì dừng ở một bậc thang. Hướng thứ hai là mở rộng phân tầng Mondrian (Vovk và cộng sự, 2005) theo các chiều mà mục 4.6 và 4.7 cho thấy có ý nghĩa, như ngày trong tuần hoặc chuỗi thường xuyên có doanh số bằng 0, với điều kiện mỗi tầng còn đủ quan sát hiệu chỉnh. Hướng thứ ba là hồi quy phân vị được phù hợp hóa (conformalized quantile regression), trong đó mô hình phân vị học trực tiếp độ rộng thay đổi theo đặc trưng (Romano và cộng sự, 2019). Với kế hoạch cho toàn kỳ, phân vị của tổng cần được tính từ phân phối đồng thời theo thời gian, ví dụ bằng các đường mẫu (sample paths) như mô hình xác suất sâu DeepAR (Salinas và cộng sự, 2020) có thể tạo ra.</w:t>
      </w:r>
    </w:p>
    <w:p>
      <w:pPr>
        <w:keepLines w:val="0"/>
        <w:spacing w:after="120"/>
        <w:ind w:firstLine="567"/>
      </w:pPr>
      <w:r>
        <w:t xml:space="preserve">Tổng hợp lại, lớp dự báo xác suất trả lời câu hỏi nghiên cứu về lượng hóa bất định ở hai mức. Ở mức biên, quy trình tạo P10/P50/P90 cho toàn bộ 28.512 quan sát với độ bao phủ 75,40%, thấp hơn danh nghĩa khoảng 4,6 điểm phần trăm, và hàm mất mát phân vị lần lượt 17,850, 33,428 và 20,960 ở P10, P50 và P90. Ở mức có điều kiện, khoảng đã co giãn theo quy mô: độ rộng tăng từ vài đơn vị ở chuỗi nhỏ lên trên một nghìn đơn vị ở chuỗi lớn, độ bao phủ theo mức nhu cầu nằm trong khoảng 70,86%–81,90% và gần như không tương quan với quy mô nhóm sản phẩm. Các giới hạn còn lại cũng được xác định rõ: khoảng lệch lên trên do thừa hưởng độ chệch của dự báo điểm; thiếu bao phủ ở cầu gián đoạn và ở các chuỗi lớn nhất thuộc nhóm quy mô trên cùng; cửa sổ hiệu chỉnh ngắn trùng lần kiểm định thứ ba. Vì các mục 4.10–4.11 dùng P10/P90 của lớp này, người đọc cần mang theo các giới hạn trên khi diễn giải nhãn rủi ro, lượng bổ sung và khoảng của các kịch bản.</w:t>
      </w:r>
    </w:p>
    <w:p>
      <w:pPr>
        <w:pStyle w:val="Heading2"/>
        <w:keepNext/>
      </w:pPr>
      <w:r>
        <w:t xml:space="preserve">4.10. Kịch bản khuyến mãi có điều kiện</w:t>
      </w:r>
    </w:p>
    <w:p>
      <w:pPr>
        <w:pStyle w:val="Heading3"/>
        <w:keepNext/>
      </w:pPr>
      <w:r>
        <w:t xml:space="preserve">4.10.1. Thiết kế kịch bản và cách đọc kết quả</w:t>
      </w:r>
    </w:p>
    <w:p>
      <w:pPr>
        <w:keepLines w:val="0"/>
        <w:spacing w:after="120"/>
        <w:ind w:firstLine="567"/>
      </w:pPr>
      <w:r>
        <w:t xml:space="preserve">Lớp kịch bản khuyến mãi (promotion scenario) là bước đầu tiên chuyển dự báo thành thông tin phục vụ lập kế hoạch. Theo mã nguồn của Stage 06, biến onpromotion trên toàn bộ 16 ngày của tập kiểm tra cuối được gán lại theo năm trạng thái: No promotion gán bằng 0, Current giữ nguyên giá trị quan sát, Low gán bằng 1, Medium gán bằng 5 và High gán bằng 10, áp dụng đồng loạt cho mọi ngày và mọi chuỗi. Mọi đặc trưng khác được giữ nguyên. P50 của từng kịch bản là dự báo điểm của XGBoost trên bộ đầu vào đã thay đổi; P10 và P90 được dựng bằng cách trừ và cộng độ rộng dưới (P50 − P10) và độ rộng trên (P90 − P50) theo từng dòng của lớp dự báo xác suất Mondrian ở mục 4.9, rồi chặn P10 tại 0. Các giá trị theo ngày được cộng lại theo chuỗi, và chênh lệch có điều kiện (conditional_change_vs_current) bằng P50 kịch bản trừ P50 Current của cùng chuỗi.</w:t>
      </w:r>
    </w:p>
    <w:p>
      <w:pPr>
        <w:keepLines w:val="0"/>
        <w:spacing w:after="120"/>
        <w:ind w:firstLine="567"/>
      </w:pPr>
      <w:r>
        <w:t xml:space="preserve">Cách thiết kế quy định cách đọc toàn bộ kết quả của mục. Chênh lệch giữa hai kịch bản là phản ứng dự báo có điều kiện (conditional predictive response) của một mô hình đã học quan hệ tương quan trong dữ liệu quan sát, không phải tác động nhân quả của khuyến mãi. Một mô hình dự báo tốt không đồng thời là mô hình giải thích nhân quả (Shmueli, 2010); suy luận nhân quả đòi hỏi khung kết quả tiềm năng cùng giả định về cơ chế gán can thiệp (Imbens và Rubin, 2015), trong khi quyết định khuyến mãi trong lịch sử của dữ liệu không được gán ngẫu nhiên. Ngoài ra, onpromotion là số mặt hàng trong nhóm đang được khuyến mãi, nên giá trị 1, 5 hay 10 không tương ứng với một mức chiết khấu; quy định mẫu POL-PROMO-002 trong kho tri thức cũng yêu cầu không diễn giải thay đổi onpromotion là phần trăm giảm giá. Với chuỗi vốn có hàng chục mặt hàng khuyến mãi mỗi ngày, cả kịch bản High cũng là một phép hạ đầu vào.</w:t>
      </w:r>
    </w:p>
    <w:p>
      <w:pPr>
        <w:pStyle w:val="Heading3"/>
        <w:keepNext/>
      </w:pPr>
      <w:r>
        <w:t xml:space="preserve">4.10.2. Phản ứng tổng hợp theo năm kịch bản</w:t>
      </w:r>
    </w:p>
    <w:p>
      <w:pPr>
        <w:keepLines w:val="0"/>
        <w:spacing w:after="120"/>
        <w:ind w:firstLine="567"/>
      </w:pPr>
      <w:r>
        <w:t xml:space="preserve">Bảng 4.13 trình bày P10, P50, P90 trung bình theo chuỗi, tổng P50 toàn hệ thống và chênh lệch so với Current của năm kịch bản, lấy nguyên từ promotion_scenario_summary.csv. Tổng P50 của Current là 13.773.080, đúng bằng tổng dự báo điểm của XGBoost trên tập kiểm tra cuối ở mục 4.6, xác nhận rằng kịch bản Current tái tạo đúng dự báo gốc. Cần lưu ý rằng P50 của lớp kịch bản là dự báo điểm, nên khác nhẹ với P50 của lớp xác suất (tổng 13.758.714), vốn bằng dự báo điểm cộng phân vị 0,5 của phần dư trong từng nhóm Mondrian. Ở cấp hệ thống, No promotion thấp hơn Current 5,04%, Low thấp hơn 1,45%, còn Medium và High cao hơn lần lượt 3,20% và 9,06%.</w:t>
      </w:r>
    </w:p>
    <w:p>
      <w:pPr>
        <w:keepNext/>
        <w:spacing w:before="120" w:after="60"/>
        <w:ind w:firstLine="0"/>
        <w:jc w:val="center"/>
      </w:pPr>
      <w:r>
        <w:t xml:space="preserve">Bảng 4.13. Kết quả tổng hợp của năm kịch bản khuyến mãi trên kỳ dự báo 16 ngày (giá trị trung bình theo chuỗi Store × Family và tổng hệ thống)</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47"/>
        <w:gridCol w:w="1317"/>
        <w:gridCol w:w="855"/>
        <w:gridCol w:w="855"/>
        <w:gridCol w:w="907"/>
        <w:gridCol w:w="1246"/>
        <w:gridCol w:w="1710"/>
        <w:gridCol w:w="1134"/>
      </w:tblGrid>
      <w:tr>
        <w:trPr>
          <w:tblHeader/>
          <w:cantSplit/>
        </w:trPr>
        <w:tc>
          <w:tcPr>
            <w:tcW w:type="dxa" w:w="1047"/>
            <w:shd w:val="clear" w:color="auto" w:fill="D9E2F3"/>
            <w:vAlign w:val="center"/>
          </w:tcPr>
          <w:p>
            <w:pPr>
              <w:spacing w:before="20" w:after="20" w:line="260" w:lineRule="auto"/>
              <w:ind w:firstLine="0"/>
              <w:jc w:val="center"/>
            </w:pPr>
            <w:r>
              <w:rPr>
                <w:b/>
                <w:sz w:val="20"/>
                <w:szCs w:val="20"/>
              </w:rPr>
              <w:t xml:space="preserve">Kịch bản</w:t>
            </w:r>
          </w:p>
        </w:tc>
        <w:tc>
          <w:tcPr>
            <w:tcW w:type="dxa" w:w="1317"/>
            <w:shd w:val="clear" w:color="auto" w:fill="D9E2F3"/>
            <w:vAlign w:val="center"/>
          </w:tcPr>
          <w:p>
            <w:pPr>
              <w:spacing w:before="20" w:after="20" w:line="260" w:lineRule="auto"/>
              <w:ind w:firstLine="0"/>
              <w:jc w:val="center"/>
            </w:pPr>
            <w:r>
              <w:rPr>
                <w:b/>
                <w:sz w:val="20"/>
                <w:szCs w:val="20"/>
              </w:rPr>
              <w:t xml:space="preserve">Giá trị onpromotion</w:t>
            </w:r>
          </w:p>
        </w:tc>
        <w:tc>
          <w:tcPr>
            <w:tcW w:type="dxa" w:w="855"/>
            <w:shd w:val="clear" w:color="auto" w:fill="D9E2F3"/>
            <w:vAlign w:val="center"/>
          </w:tcPr>
          <w:p>
            <w:pPr>
              <w:spacing w:before="20" w:after="20" w:line="260" w:lineRule="auto"/>
              <w:ind w:firstLine="0"/>
              <w:jc w:val="center"/>
            </w:pPr>
            <w:r>
              <w:rPr>
                <w:b/>
                <w:sz w:val="20"/>
                <w:szCs w:val="20"/>
              </w:rPr>
              <w:t xml:space="preserve">P10 TB</w:t>
            </w:r>
          </w:p>
        </w:tc>
        <w:tc>
          <w:tcPr>
            <w:tcW w:type="dxa" w:w="855"/>
            <w:shd w:val="clear" w:color="auto" w:fill="D9E2F3"/>
            <w:vAlign w:val="center"/>
          </w:tcPr>
          <w:p>
            <w:pPr>
              <w:spacing w:before="20" w:after="20" w:line="260" w:lineRule="auto"/>
              <w:ind w:firstLine="0"/>
              <w:jc w:val="center"/>
            </w:pPr>
            <w:r>
              <w:rPr>
                <w:b/>
                <w:sz w:val="20"/>
                <w:szCs w:val="20"/>
              </w:rPr>
              <w:t xml:space="preserve">P50 TB</w:t>
            </w:r>
          </w:p>
        </w:tc>
        <w:tc>
          <w:tcPr>
            <w:tcW w:type="dxa" w:w="907"/>
            <w:shd w:val="clear" w:color="auto" w:fill="D9E2F3"/>
            <w:vAlign w:val="center"/>
          </w:tcPr>
          <w:p>
            <w:pPr>
              <w:spacing w:before="20" w:after="20" w:line="260" w:lineRule="auto"/>
              <w:ind w:firstLine="0"/>
              <w:jc w:val="center"/>
            </w:pPr>
            <w:r>
              <w:rPr>
                <w:b/>
                <w:sz w:val="20"/>
                <w:szCs w:val="20"/>
              </w:rPr>
              <w:t xml:space="preserve">P90 TB</w:t>
            </w:r>
          </w:p>
        </w:tc>
        <w:tc>
          <w:tcPr>
            <w:tcW w:type="dxa" w:w="1246"/>
            <w:shd w:val="clear" w:color="auto" w:fill="D9E2F3"/>
            <w:vAlign w:val="center"/>
          </w:tcPr>
          <w:p>
            <w:pPr>
              <w:spacing w:before="20" w:after="20" w:line="260" w:lineRule="auto"/>
              <w:ind w:firstLine="0"/>
              <w:jc w:val="center"/>
            </w:pPr>
            <w:r>
              <w:rPr>
                <w:b/>
                <w:sz w:val="20"/>
                <w:szCs w:val="20"/>
              </w:rPr>
              <w:t xml:space="preserve">Tổng P50 hệ thống</w:t>
            </w:r>
          </w:p>
        </w:tc>
        <w:tc>
          <w:tcPr>
            <w:tcW w:type="dxa" w:w="1710"/>
            <w:shd w:val="clear" w:color="auto" w:fill="D9E2F3"/>
            <w:vAlign w:val="center"/>
          </w:tcPr>
          <w:p>
            <w:pPr>
              <w:spacing w:before="20" w:after="20" w:line="260" w:lineRule="auto"/>
              <w:ind w:firstLine="0"/>
              <w:jc w:val="center"/>
            </w:pPr>
            <w:r>
              <w:rPr>
                <w:b/>
                <w:sz w:val="20"/>
                <w:szCs w:val="20"/>
              </w:rPr>
              <w:t xml:space="preserve">Chênh lệch P50 TB so với Current</w:t>
            </w:r>
          </w:p>
        </w:tc>
        <w:tc>
          <w:tcPr>
            <w:tcW w:type="dxa" w:w="1134"/>
            <w:shd w:val="clear" w:color="auto" w:fill="D9E2F3"/>
            <w:vAlign w:val="center"/>
          </w:tcPr>
          <w:p>
            <w:pPr>
              <w:spacing w:before="20" w:after="20" w:line="260" w:lineRule="auto"/>
              <w:ind w:firstLine="0"/>
              <w:jc w:val="center"/>
            </w:pPr>
            <w:r>
              <w:rPr>
                <w:b/>
                <w:sz w:val="20"/>
                <w:szCs w:val="20"/>
              </w:rPr>
              <w:t xml:space="preserve">Chênh lệch (%)</w:t>
            </w:r>
          </w:p>
        </w:tc>
      </w:tr>
      <w:tr>
        <w:trPr>
          <w:cantSplit/>
        </w:trPr>
        <w:tc>
          <w:tcPr>
            <w:tcW w:type="dxa" w:w="1047"/>
            <w:vAlign w:val="center"/>
          </w:tcPr>
          <w:p>
            <w:pPr>
              <w:spacing w:before="20" w:after="20" w:line="260" w:lineRule="auto"/>
              <w:ind w:firstLine="0"/>
              <w:jc w:val="left"/>
            </w:pPr>
            <w:r>
              <w:rPr>
                <w:sz w:val="20"/>
                <w:szCs w:val="20"/>
              </w:rPr>
              <w:t xml:space="preserve">No promotion</w:t>
            </w:r>
          </w:p>
        </w:tc>
        <w:tc>
          <w:tcPr>
            <w:tcW w:type="dxa" w:w="1317"/>
            <w:vAlign w:val="center"/>
          </w:tcPr>
          <w:p>
            <w:pPr>
              <w:spacing w:before="20" w:after="20" w:line="260" w:lineRule="auto"/>
              <w:ind w:firstLine="0"/>
              <w:jc w:val="center"/>
            </w:pPr>
            <w:r>
              <w:rPr>
                <w:sz w:val="20"/>
                <w:szCs w:val="20"/>
              </w:rPr>
              <w:t xml:space="preserve">0</w:t>
            </w:r>
          </w:p>
        </w:tc>
        <w:tc>
          <w:tcPr>
            <w:tcW w:type="dxa" w:w="855"/>
            <w:vAlign w:val="center"/>
          </w:tcPr>
          <w:p>
            <w:pPr>
              <w:spacing w:before="20" w:after="20" w:line="260" w:lineRule="auto"/>
              <w:ind w:firstLine="0"/>
              <w:jc w:val="center"/>
            </w:pPr>
            <w:r>
              <w:rPr>
                <w:sz w:val="20"/>
                <w:szCs w:val="20"/>
              </w:rPr>
              <w:t xml:space="preserve">6.242,38</w:t>
            </w:r>
          </w:p>
        </w:tc>
        <w:tc>
          <w:tcPr>
            <w:tcW w:type="dxa" w:w="855"/>
            <w:vAlign w:val="center"/>
          </w:tcPr>
          <w:p>
            <w:pPr>
              <w:spacing w:before="20" w:after="20" w:line="260" w:lineRule="auto"/>
              <w:ind w:firstLine="0"/>
              <w:jc w:val="center"/>
            </w:pPr>
            <w:r>
              <w:rPr>
                <w:sz w:val="20"/>
                <w:szCs w:val="20"/>
              </w:rPr>
              <w:t xml:space="preserve">7.339,54</w:t>
            </w:r>
          </w:p>
        </w:tc>
        <w:tc>
          <w:tcPr>
            <w:tcW w:type="dxa" w:w="907"/>
            <w:vAlign w:val="center"/>
          </w:tcPr>
          <w:p>
            <w:pPr>
              <w:spacing w:before="20" w:after="20" w:line="260" w:lineRule="auto"/>
              <w:ind w:firstLine="0"/>
              <w:jc w:val="center"/>
            </w:pPr>
            <w:r>
              <w:rPr>
                <w:sz w:val="20"/>
                <w:szCs w:val="20"/>
              </w:rPr>
              <w:t xml:space="preserve">9.134,64</w:t>
            </w:r>
          </w:p>
        </w:tc>
        <w:tc>
          <w:tcPr>
            <w:tcW w:type="dxa" w:w="1246"/>
            <w:vAlign w:val="center"/>
          </w:tcPr>
          <w:p>
            <w:pPr>
              <w:spacing w:before="20" w:after="20" w:line="260" w:lineRule="auto"/>
              <w:ind w:firstLine="0"/>
              <w:jc w:val="center"/>
            </w:pPr>
            <w:r>
              <w:rPr>
                <w:sz w:val="20"/>
                <w:szCs w:val="20"/>
              </w:rPr>
              <w:t xml:space="preserve">13.079.062</w:t>
            </w:r>
          </w:p>
        </w:tc>
        <w:tc>
          <w:tcPr>
            <w:tcW w:type="dxa" w:w="1710"/>
            <w:vAlign w:val="center"/>
          </w:tcPr>
          <w:p>
            <w:pPr>
              <w:spacing w:before="20" w:after="20" w:line="260" w:lineRule="auto"/>
              <w:ind w:firstLine="0"/>
              <w:jc w:val="center"/>
            </w:pPr>
            <w:r>
              <w:rPr>
                <w:sz w:val="20"/>
                <w:szCs w:val="20"/>
              </w:rPr>
              <w:t xml:space="preserve">−389,46</w:t>
            </w:r>
          </w:p>
        </w:tc>
        <w:tc>
          <w:tcPr>
            <w:tcW w:type="dxa" w:w="1134"/>
            <w:vAlign w:val="center"/>
          </w:tcPr>
          <w:p>
            <w:pPr>
              <w:spacing w:before="20" w:after="20" w:line="260" w:lineRule="auto"/>
              <w:ind w:firstLine="0"/>
              <w:jc w:val="center"/>
            </w:pPr>
            <w:r>
              <w:rPr>
                <w:sz w:val="20"/>
                <w:szCs w:val="20"/>
              </w:rPr>
              <w:t xml:space="preserve">−5,04%</w:t>
            </w:r>
          </w:p>
        </w:tc>
      </w:tr>
      <w:tr>
        <w:trPr>
          <w:cantSplit/>
        </w:trPr>
        <w:tc>
          <w:tcPr>
            <w:tcW w:type="dxa" w:w="1047"/>
            <w:vAlign w:val="center"/>
          </w:tcPr>
          <w:p>
            <w:pPr>
              <w:spacing w:before="20" w:after="20" w:line="260" w:lineRule="auto"/>
              <w:ind w:firstLine="0"/>
              <w:jc w:val="left"/>
            </w:pPr>
            <w:r>
              <w:rPr>
                <w:sz w:val="20"/>
                <w:szCs w:val="20"/>
              </w:rPr>
              <w:t xml:space="preserve">Current</w:t>
            </w:r>
          </w:p>
        </w:tc>
        <w:tc>
          <w:tcPr>
            <w:tcW w:type="dxa" w:w="1317"/>
            <w:vAlign w:val="center"/>
          </w:tcPr>
          <w:p>
            <w:pPr>
              <w:spacing w:before="20" w:after="20" w:line="260" w:lineRule="auto"/>
              <w:ind w:firstLine="0"/>
              <w:jc w:val="left"/>
            </w:pPr>
            <w:r>
              <w:rPr>
                <w:sz w:val="20"/>
                <w:szCs w:val="20"/>
              </w:rPr>
              <w:t xml:space="preserve">Giữ nguyên</w:t>
            </w:r>
          </w:p>
        </w:tc>
        <w:tc>
          <w:tcPr>
            <w:tcW w:type="dxa" w:w="855"/>
            <w:vAlign w:val="center"/>
          </w:tcPr>
          <w:p>
            <w:pPr>
              <w:spacing w:before="20" w:after="20" w:line="260" w:lineRule="auto"/>
              <w:ind w:firstLine="0"/>
              <w:jc w:val="center"/>
            </w:pPr>
            <w:r>
              <w:rPr>
                <w:sz w:val="20"/>
                <w:szCs w:val="20"/>
              </w:rPr>
              <w:t xml:space="preserve">6.625,56</w:t>
            </w:r>
          </w:p>
        </w:tc>
        <w:tc>
          <w:tcPr>
            <w:tcW w:type="dxa" w:w="855"/>
            <w:vAlign w:val="center"/>
          </w:tcPr>
          <w:p>
            <w:pPr>
              <w:spacing w:before="20" w:after="20" w:line="260" w:lineRule="auto"/>
              <w:ind w:firstLine="0"/>
              <w:jc w:val="center"/>
            </w:pPr>
            <w:r>
              <w:rPr>
                <w:sz w:val="20"/>
                <w:szCs w:val="20"/>
              </w:rPr>
              <w:t xml:space="preserve">7.729,00</w:t>
            </w:r>
          </w:p>
        </w:tc>
        <w:tc>
          <w:tcPr>
            <w:tcW w:type="dxa" w:w="907"/>
            <w:vAlign w:val="center"/>
          </w:tcPr>
          <w:p>
            <w:pPr>
              <w:spacing w:before="20" w:after="20" w:line="260" w:lineRule="auto"/>
              <w:ind w:firstLine="0"/>
              <w:jc w:val="center"/>
            </w:pPr>
            <w:r>
              <w:rPr>
                <w:sz w:val="20"/>
                <w:szCs w:val="20"/>
              </w:rPr>
              <w:t xml:space="preserve">9.524,10</w:t>
            </w:r>
          </w:p>
        </w:tc>
        <w:tc>
          <w:tcPr>
            <w:tcW w:type="dxa" w:w="1246"/>
            <w:vAlign w:val="center"/>
          </w:tcPr>
          <w:p>
            <w:pPr>
              <w:spacing w:before="20" w:after="20" w:line="260" w:lineRule="auto"/>
              <w:ind w:firstLine="0"/>
              <w:jc w:val="center"/>
            </w:pPr>
            <w:r>
              <w:rPr>
                <w:sz w:val="20"/>
                <w:szCs w:val="20"/>
              </w:rPr>
              <w:t xml:space="preserve">13.773.080</w:t>
            </w:r>
          </w:p>
        </w:tc>
        <w:tc>
          <w:tcPr>
            <w:tcW w:type="dxa" w:w="1710"/>
            <w:vAlign w:val="center"/>
          </w:tcPr>
          <w:p>
            <w:pPr>
              <w:spacing w:before="20" w:after="20" w:line="260" w:lineRule="auto"/>
              <w:ind w:firstLine="0"/>
              <w:jc w:val="center"/>
            </w:pPr>
            <w:r>
              <w:rPr>
                <w:sz w:val="20"/>
                <w:szCs w:val="20"/>
              </w:rPr>
              <w:t xml:space="preserve">0,00</w:t>
            </w:r>
          </w:p>
        </w:tc>
        <w:tc>
          <w:tcPr>
            <w:tcW w:type="dxa" w:w="1134"/>
            <w:vAlign w:val="center"/>
          </w:tcPr>
          <w:p>
            <w:pPr>
              <w:spacing w:before="20" w:after="20" w:line="260" w:lineRule="auto"/>
              <w:ind w:firstLine="0"/>
              <w:jc w:val="center"/>
            </w:pPr>
            <w:r>
              <w:rPr>
                <w:sz w:val="20"/>
                <w:szCs w:val="20"/>
              </w:rPr>
              <w:t xml:space="preserve">0,00%</w:t>
            </w:r>
          </w:p>
        </w:tc>
      </w:tr>
      <w:tr>
        <w:trPr>
          <w:cantSplit/>
        </w:trPr>
        <w:tc>
          <w:tcPr>
            <w:tcW w:type="dxa" w:w="1047"/>
            <w:vAlign w:val="center"/>
          </w:tcPr>
          <w:p>
            <w:pPr>
              <w:spacing w:before="20" w:after="20" w:line="260" w:lineRule="auto"/>
              <w:ind w:firstLine="0"/>
              <w:jc w:val="left"/>
            </w:pPr>
            <w:r>
              <w:rPr>
                <w:sz w:val="20"/>
                <w:szCs w:val="20"/>
              </w:rPr>
              <w:t xml:space="preserve">Low</w:t>
            </w:r>
          </w:p>
        </w:tc>
        <w:tc>
          <w:tcPr>
            <w:tcW w:type="dxa" w:w="1317"/>
            <w:vAlign w:val="center"/>
          </w:tcPr>
          <w:p>
            <w:pPr>
              <w:spacing w:before="20" w:after="20" w:line="260" w:lineRule="auto"/>
              <w:ind w:firstLine="0"/>
              <w:jc w:val="center"/>
            </w:pPr>
            <w:r>
              <w:rPr>
                <w:sz w:val="20"/>
                <w:szCs w:val="20"/>
              </w:rPr>
              <w:t xml:space="preserve">1</w:t>
            </w:r>
          </w:p>
        </w:tc>
        <w:tc>
          <w:tcPr>
            <w:tcW w:type="dxa" w:w="855"/>
            <w:vAlign w:val="center"/>
          </w:tcPr>
          <w:p>
            <w:pPr>
              <w:spacing w:before="20" w:after="20" w:line="260" w:lineRule="auto"/>
              <w:ind w:firstLine="0"/>
              <w:jc w:val="center"/>
            </w:pPr>
            <w:r>
              <w:rPr>
                <w:sz w:val="20"/>
                <w:szCs w:val="20"/>
              </w:rPr>
              <w:t xml:space="preserve">6.512,91</w:t>
            </w:r>
          </w:p>
        </w:tc>
        <w:tc>
          <w:tcPr>
            <w:tcW w:type="dxa" w:w="855"/>
            <w:vAlign w:val="center"/>
          </w:tcPr>
          <w:p>
            <w:pPr>
              <w:spacing w:before="20" w:after="20" w:line="260" w:lineRule="auto"/>
              <w:ind w:firstLine="0"/>
              <w:jc w:val="center"/>
            </w:pPr>
            <w:r>
              <w:rPr>
                <w:sz w:val="20"/>
                <w:szCs w:val="20"/>
              </w:rPr>
              <w:t xml:space="preserve">7.617,06</w:t>
            </w:r>
          </w:p>
        </w:tc>
        <w:tc>
          <w:tcPr>
            <w:tcW w:type="dxa" w:w="907"/>
            <w:vAlign w:val="center"/>
          </w:tcPr>
          <w:p>
            <w:pPr>
              <w:spacing w:before="20" w:after="20" w:line="260" w:lineRule="auto"/>
              <w:ind w:firstLine="0"/>
              <w:jc w:val="center"/>
            </w:pPr>
            <w:r>
              <w:rPr>
                <w:sz w:val="20"/>
                <w:szCs w:val="20"/>
              </w:rPr>
              <w:t xml:space="preserve">9.412,16</w:t>
            </w:r>
          </w:p>
        </w:tc>
        <w:tc>
          <w:tcPr>
            <w:tcW w:type="dxa" w:w="1246"/>
            <w:vAlign w:val="center"/>
          </w:tcPr>
          <w:p>
            <w:pPr>
              <w:spacing w:before="20" w:after="20" w:line="260" w:lineRule="auto"/>
              <w:ind w:firstLine="0"/>
              <w:jc w:val="center"/>
            </w:pPr>
            <w:r>
              <w:rPr>
                <w:sz w:val="20"/>
                <w:szCs w:val="20"/>
              </w:rPr>
              <w:t xml:space="preserve">13.573.595</w:t>
            </w:r>
          </w:p>
        </w:tc>
        <w:tc>
          <w:tcPr>
            <w:tcW w:type="dxa" w:w="1710"/>
            <w:vAlign w:val="center"/>
          </w:tcPr>
          <w:p>
            <w:pPr>
              <w:spacing w:before="20" w:after="20" w:line="260" w:lineRule="auto"/>
              <w:ind w:firstLine="0"/>
              <w:jc w:val="center"/>
            </w:pPr>
            <w:r>
              <w:rPr>
                <w:sz w:val="20"/>
                <w:szCs w:val="20"/>
              </w:rPr>
              <w:t xml:space="preserve">−111,94</w:t>
            </w:r>
          </w:p>
        </w:tc>
        <w:tc>
          <w:tcPr>
            <w:tcW w:type="dxa" w:w="1134"/>
            <w:vAlign w:val="center"/>
          </w:tcPr>
          <w:p>
            <w:pPr>
              <w:spacing w:before="20" w:after="20" w:line="260" w:lineRule="auto"/>
              <w:ind w:firstLine="0"/>
              <w:jc w:val="center"/>
            </w:pPr>
            <w:r>
              <w:rPr>
                <w:sz w:val="20"/>
                <w:szCs w:val="20"/>
              </w:rPr>
              <w:t xml:space="preserve">−1,45%</w:t>
            </w:r>
          </w:p>
        </w:tc>
      </w:tr>
      <w:tr>
        <w:trPr>
          <w:cantSplit/>
        </w:trPr>
        <w:tc>
          <w:tcPr>
            <w:tcW w:type="dxa" w:w="1047"/>
            <w:vAlign w:val="center"/>
          </w:tcPr>
          <w:p>
            <w:pPr>
              <w:spacing w:before="20" w:after="20" w:line="260" w:lineRule="auto"/>
              <w:ind w:firstLine="0"/>
              <w:jc w:val="left"/>
            </w:pPr>
            <w:r>
              <w:rPr>
                <w:sz w:val="20"/>
                <w:szCs w:val="20"/>
              </w:rPr>
              <w:t xml:space="preserve">Medium</w:t>
            </w:r>
          </w:p>
        </w:tc>
        <w:tc>
          <w:tcPr>
            <w:tcW w:type="dxa" w:w="1317"/>
            <w:vAlign w:val="center"/>
          </w:tcPr>
          <w:p>
            <w:pPr>
              <w:spacing w:before="20" w:after="20" w:line="260" w:lineRule="auto"/>
              <w:ind w:firstLine="0"/>
              <w:jc w:val="center"/>
            </w:pPr>
            <w:r>
              <w:rPr>
                <w:sz w:val="20"/>
                <w:szCs w:val="20"/>
              </w:rPr>
              <w:t xml:space="preserve">5</w:t>
            </w:r>
          </w:p>
        </w:tc>
        <w:tc>
          <w:tcPr>
            <w:tcW w:type="dxa" w:w="855"/>
            <w:vAlign w:val="center"/>
          </w:tcPr>
          <w:p>
            <w:pPr>
              <w:spacing w:before="20" w:after="20" w:line="260" w:lineRule="auto"/>
              <w:ind w:firstLine="0"/>
              <w:jc w:val="center"/>
            </w:pPr>
            <w:r>
              <w:rPr>
                <w:sz w:val="20"/>
                <w:szCs w:val="20"/>
              </w:rPr>
              <w:t xml:space="preserve">6.870,72</w:t>
            </w:r>
          </w:p>
        </w:tc>
        <w:tc>
          <w:tcPr>
            <w:tcW w:type="dxa" w:w="855"/>
            <w:vAlign w:val="center"/>
          </w:tcPr>
          <w:p>
            <w:pPr>
              <w:spacing w:before="20" w:after="20" w:line="260" w:lineRule="auto"/>
              <w:ind w:firstLine="0"/>
              <w:jc w:val="center"/>
            </w:pPr>
            <w:r>
              <w:rPr>
                <w:sz w:val="20"/>
                <w:szCs w:val="20"/>
              </w:rPr>
              <w:t xml:space="preserve">7.976,14</w:t>
            </w:r>
          </w:p>
        </w:tc>
        <w:tc>
          <w:tcPr>
            <w:tcW w:type="dxa" w:w="907"/>
            <w:vAlign w:val="center"/>
          </w:tcPr>
          <w:p>
            <w:pPr>
              <w:spacing w:before="20" w:after="20" w:line="260" w:lineRule="auto"/>
              <w:ind w:firstLine="0"/>
              <w:jc w:val="center"/>
            </w:pPr>
            <w:r>
              <w:rPr>
                <w:sz w:val="20"/>
                <w:szCs w:val="20"/>
              </w:rPr>
              <w:t xml:space="preserve">9.771,24</w:t>
            </w:r>
          </w:p>
        </w:tc>
        <w:tc>
          <w:tcPr>
            <w:tcW w:type="dxa" w:w="1246"/>
            <w:vAlign w:val="center"/>
          </w:tcPr>
          <w:p>
            <w:pPr>
              <w:spacing w:before="20" w:after="20" w:line="260" w:lineRule="auto"/>
              <w:ind w:firstLine="0"/>
              <w:jc w:val="center"/>
            </w:pPr>
            <w:r>
              <w:rPr>
                <w:sz w:val="20"/>
                <w:szCs w:val="20"/>
              </w:rPr>
              <w:t xml:space="preserve">14.213.478</w:t>
            </w:r>
          </w:p>
        </w:tc>
        <w:tc>
          <w:tcPr>
            <w:tcW w:type="dxa" w:w="1710"/>
            <w:vAlign w:val="center"/>
          </w:tcPr>
          <w:p>
            <w:pPr>
              <w:spacing w:before="20" w:after="20" w:line="260" w:lineRule="auto"/>
              <w:ind w:firstLine="0"/>
              <w:jc w:val="center"/>
            </w:pPr>
            <w:r>
              <w:rPr>
                <w:sz w:val="20"/>
                <w:szCs w:val="20"/>
              </w:rPr>
              <w:t xml:space="preserve">247,14</w:t>
            </w:r>
          </w:p>
        </w:tc>
        <w:tc>
          <w:tcPr>
            <w:tcW w:type="dxa" w:w="1134"/>
            <w:vAlign w:val="center"/>
          </w:tcPr>
          <w:p>
            <w:pPr>
              <w:spacing w:before="20" w:after="20" w:line="260" w:lineRule="auto"/>
              <w:ind w:firstLine="0"/>
              <w:jc w:val="center"/>
            </w:pPr>
            <w:r>
              <w:rPr>
                <w:sz w:val="20"/>
                <w:szCs w:val="20"/>
              </w:rPr>
              <w:t xml:space="preserve">3,20%</w:t>
            </w:r>
          </w:p>
        </w:tc>
      </w:tr>
      <w:tr>
        <w:trPr>
          <w:cantSplit/>
        </w:trPr>
        <w:tc>
          <w:tcPr>
            <w:tcW w:type="dxa" w:w="1047"/>
            <w:vAlign w:val="center"/>
          </w:tcPr>
          <w:p>
            <w:pPr>
              <w:spacing w:before="20" w:after="20" w:line="260" w:lineRule="auto"/>
              <w:ind w:firstLine="0"/>
              <w:jc w:val="left"/>
            </w:pPr>
            <w:r>
              <w:rPr>
                <w:sz w:val="20"/>
                <w:szCs w:val="20"/>
              </w:rPr>
              <w:t xml:space="preserve">High</w:t>
            </w:r>
          </w:p>
        </w:tc>
        <w:tc>
          <w:tcPr>
            <w:tcW w:type="dxa" w:w="1317"/>
            <w:vAlign w:val="center"/>
          </w:tcPr>
          <w:p>
            <w:pPr>
              <w:spacing w:before="20" w:after="20" w:line="260" w:lineRule="auto"/>
              <w:ind w:firstLine="0"/>
              <w:jc w:val="center"/>
            </w:pPr>
            <w:r>
              <w:rPr>
                <w:sz w:val="20"/>
                <w:szCs w:val="20"/>
              </w:rPr>
              <w:t xml:space="preserve">10</w:t>
            </w:r>
          </w:p>
        </w:tc>
        <w:tc>
          <w:tcPr>
            <w:tcW w:type="dxa" w:w="855"/>
            <w:vAlign w:val="center"/>
          </w:tcPr>
          <w:p>
            <w:pPr>
              <w:spacing w:before="20" w:after="20" w:line="260" w:lineRule="auto"/>
              <w:ind w:firstLine="0"/>
              <w:jc w:val="center"/>
            </w:pPr>
            <w:r>
              <w:rPr>
                <w:sz w:val="20"/>
                <w:szCs w:val="20"/>
              </w:rPr>
              <w:t xml:space="preserve">7.323,06</w:t>
            </w:r>
          </w:p>
        </w:tc>
        <w:tc>
          <w:tcPr>
            <w:tcW w:type="dxa" w:w="855"/>
            <w:vAlign w:val="center"/>
          </w:tcPr>
          <w:p>
            <w:pPr>
              <w:spacing w:before="20" w:after="20" w:line="260" w:lineRule="auto"/>
              <w:ind w:firstLine="0"/>
              <w:jc w:val="center"/>
            </w:pPr>
            <w:r>
              <w:rPr>
                <w:sz w:val="20"/>
                <w:szCs w:val="20"/>
              </w:rPr>
              <w:t xml:space="preserve">8.428,88</w:t>
            </w:r>
          </w:p>
        </w:tc>
        <w:tc>
          <w:tcPr>
            <w:tcW w:type="dxa" w:w="907"/>
            <w:vAlign w:val="center"/>
          </w:tcPr>
          <w:p>
            <w:pPr>
              <w:spacing w:before="20" w:after="20" w:line="260" w:lineRule="auto"/>
              <w:ind w:firstLine="0"/>
              <w:jc w:val="center"/>
            </w:pPr>
            <w:r>
              <w:rPr>
                <w:sz w:val="20"/>
                <w:szCs w:val="20"/>
              </w:rPr>
              <w:t xml:space="preserve">10.223,98</w:t>
            </w:r>
          </w:p>
        </w:tc>
        <w:tc>
          <w:tcPr>
            <w:tcW w:type="dxa" w:w="1246"/>
            <w:vAlign w:val="center"/>
          </w:tcPr>
          <w:p>
            <w:pPr>
              <w:spacing w:before="20" w:after="20" w:line="260" w:lineRule="auto"/>
              <w:ind w:firstLine="0"/>
              <w:jc w:val="center"/>
            </w:pPr>
            <w:r>
              <w:rPr>
                <w:sz w:val="20"/>
                <w:szCs w:val="20"/>
              </w:rPr>
              <w:t xml:space="preserve">15.020.260</w:t>
            </w:r>
          </w:p>
        </w:tc>
        <w:tc>
          <w:tcPr>
            <w:tcW w:type="dxa" w:w="1710"/>
            <w:vAlign w:val="center"/>
          </w:tcPr>
          <w:p>
            <w:pPr>
              <w:spacing w:before="20" w:after="20" w:line="260" w:lineRule="auto"/>
              <w:ind w:firstLine="0"/>
              <w:jc w:val="center"/>
            </w:pPr>
            <w:r>
              <w:rPr>
                <w:sz w:val="20"/>
                <w:szCs w:val="20"/>
              </w:rPr>
              <w:t xml:space="preserve">699,88</w:t>
            </w:r>
          </w:p>
        </w:tc>
        <w:tc>
          <w:tcPr>
            <w:tcW w:type="dxa" w:w="1134"/>
            <w:vAlign w:val="center"/>
          </w:tcPr>
          <w:p>
            <w:pPr>
              <w:spacing w:before="20" w:after="20" w:line="260" w:lineRule="auto"/>
              <w:ind w:firstLine="0"/>
              <w:jc w:val="center"/>
            </w:pPr>
            <w:r>
              <w:rPr>
                <w:sz w:val="20"/>
                <w:szCs w:val="20"/>
              </w:rPr>
              <w:t xml:space="preserve">9,06%</w:t>
            </w:r>
          </w:p>
        </w:tc>
      </w:tr>
    </w:tbl>
    <w:p>
      <w:pPr>
        <w:spacing w:before="40" w:after="160"/>
        <w:ind w:firstLine="0"/>
      </w:pPr>
      <w:r>
        <w:rPr>
          <w:i/>
          <w:sz w:val="22"/>
          <w:szCs w:val="22"/>
        </w:rPr>
        <w:t xml:space="preserve">Nguồn: promotion_scenario_summary.csv (outputs/06_promotion_scenarios; REPORT_READY/tables/15_promotion_scenario_summary.csv).</w:t>
      </w:r>
    </w:p>
    <w:p>
      <w:pPr>
        <w:keepLines w:val="0"/>
        <w:spacing w:after="120"/>
        <w:ind w:firstLine="567"/>
      </w:pPr>
      <w:r>
        <w:t xml:space="preserve">Hình 4.16 biểu diễn P50 trung bình của năm kịch bản. Thứ tự tăng dần là No promotion, Low, Current, Medium, High, nên ở cấp trung bình phản ứng có dạng đơn điệu theo giá trị gán, trừ vị trí của Current, vốn không phải một giá trị gán mà là mức quan sát riêng của từng chuỗi. Low thấp hơn Current ở 830 chuỗi, trong đó 810 chuỗi có trung bình hơn một mặt hàng khuyến mãi mỗi ngày, tức phép gán bằng 1 thực chất là hạ đầu vào. No promotion bằng đúng Current ở 629 chuỗi, là những chuỗi không có mặt hàng khuyến mãi nào trong 16 ngày. Mức tăng giữa các bước gán cũng gần tuyến tính: từ Low lên Medium (thêm 4 đơn vị đầu vào) P50 trung bình tăng 359,08, từ Medium lên High (thêm 5 đơn vị) tăng 452,74, tức khoảng 90 đơn vị cho mỗi đơn vị onpromotion ở cả hai bước. Đây là con số cơ học của mô hình trên một phép gán đồng loạt, không phải độ co giãn của cầu theo khuyến mãi.</w:t>
      </w:r>
    </w:p>
    <w:p>
      <w:pPr>
        <w:jc w:val="center"/>
      </w:pPr>
      <w:r>
        <w:drawing>
          <wp:inline xmlns:a="http://schemas.openxmlformats.org/drawingml/2006/main" xmlns:pic="http://schemas.openxmlformats.org/drawingml/2006/picture">
            <wp:extent cx="5580000" cy="3051562"/>
            <wp:docPr id="5020" name="Picture 5020"/>
            <wp:cNvGraphicFramePr>
              <a:graphicFrameLocks noChangeAspect="1"/>
            </wp:cNvGraphicFramePr>
            <a:graphic>
              <a:graphicData uri="http://schemas.openxmlformats.org/drawingml/2006/picture">
                <pic:pic>
                  <pic:nvPicPr>
                    <pic:cNvPr id="0" name="F21_promotion_scenarios_974.png"/>
                    <pic:cNvPicPr/>
                  </pic:nvPicPr>
                  <pic:blipFill>
                    <a:blip r:embed="rId119"/>
                    <a:stretch>
                      <a:fillRect/>
                    </a:stretch>
                  </pic:blipFill>
                  <pic:spPr>
                    <a:xfrm>
                      <a:off x="0" y="0"/>
                      <a:ext cx="5580000" cy="3051562"/>
                    </a:xfrm>
                    <a:prstGeom prst="rect"/>
                  </pic:spPr>
                </pic:pic>
              </a:graphicData>
            </a:graphic>
          </wp:inline>
        </w:drawing>
      </w:r>
    </w:p>
    <w:p>
      <w:pPr>
        <w:keepNext w:val="0"/>
        <w:spacing w:after="160"/>
        <w:ind w:firstLine="0"/>
        <w:jc w:val="center"/>
      </w:pPr>
      <w:r>
        <w:t xml:space="preserve">Hình 4.16. P50 trung bình theo chuỗi của năm kịch bản khuyến mãi trên kỳ dự báo 16 ngày</w:t>
      </w:r>
    </w:p>
    <w:p>
      <w:pPr>
        <w:spacing w:before="0" w:after="160"/>
        <w:ind w:firstLine="0"/>
        <w:jc w:val="center"/>
      </w:pPr>
      <w:r>
        <w:rPr>
          <w:i/>
          <w:sz w:val="22"/>
          <w:szCs w:val="22"/>
        </w:rPr>
        <w:t xml:space="preserve">Nguồn: REPORT_READY/figures/F21_promotion_scenarios.png</w:t>
      </w:r>
    </w:p>
    <w:p>
      <w:pPr>
        <w:keepLines w:val="0"/>
        <w:spacing w:after="120"/>
        <w:ind w:firstLine="567"/>
      </w:pPr>
      <w:r>
        <w:t xml:space="preserve">Hai cột P10 và P90 của Bảng 4.13 cho thấy đặc điểm cấu trúc của thiết kế kịch bản. Khoảng cách P90 TB − P50 TB bằng 1.795,10 ở cả năm kịch bản, còn P50 TB − P10 TB chỉ dao động từ 1.097,16 (No promotion) đến 1.105,82 (High) do mức độ chặn P10 tại 0 khác nhau. Nguyên nhân là độ rộng theo từng dòng được lấy từ lớp xác suất của kịch bản Current: mỗi dòng giữ độ rộng của nhóm Mondrian ứng với dự báo điểm hiện tại, dù P50 của kịch bản có thể thuộc một vùng quy mô khác. Việc dùng độ rộng theo từng dòng thay vì một hằng số chung bảo đảm khoảng của kịch bản kế thừa quy mô bất định của từng chuỗi, nhưng lớp kịch bản vì vậy chỉ dịch chuyển phân phối dự báo mà không đánh giá lại mức bất định. Một kịch bản đưa chuỗi ra xa miền dữ liệu lịch sử vì thế không tự động nhận khoảng rộng hơn, dù về nguyên tắc nó đáng được coi là kém chắc chắn hơn.</w:t>
      </w:r>
    </w:p>
    <w:p>
      <w:pPr>
        <w:pStyle w:val="Heading3"/>
        <w:keepNext/>
      </w:pPr>
      <w:r>
        <w:t xml:space="preserve">4.10.3. Các chuỗi nhạy nhất và hiện tượng ngoại suy ngoài miền dữ liệu</w:t>
      </w:r>
    </w:p>
    <w:p>
      <w:pPr>
        <w:keepLines w:val="0"/>
        <w:spacing w:after="120"/>
        <w:ind w:firstLine="567"/>
      </w:pPr>
      <w:r>
        <w:t xml:space="preserve">Bảng 4.14 liệt kê 10 chuỗi có |High − Current| lớn nhất theo giá trị tuyệt đối, sắp theo độ nhạy giảm dần. Hai nhóm hàng xuất hiện với hai cơ chế trái ngược. Tám chuỗi BABY CARE có P50 Current chỉ từ 16,04 đến 32,42 đơn vị cho cả 16 ngày nhưng P50 High lên từ 8.070,41 đến 8.608,12, tức tăng hàng trăm lần. Hai chuỗi GROCERY I (CH 45 và CH 46) lại có Δ âm, lần lượt −9.113,03 và −8.081,72, đúng với cơ chế hạ đầu vào đã nêu: CH 45 – GROCERY I có trung bình 46,125 mặt hàng khuyến mãi mỗi ngày trong tập kiểm tra cuối, CH 46 – GROCERY I là 46,625. Hình 4.17 mở rộng lên 20 chuỗi với cùng cấu trúc: ngoài ba chuỗi GROCERY I (CH 45, CH 46, CH 47), mọi chuỗi còn lại thuộc BABY CARE, với |Δ| gần như bằng nhau. Cơ chế hạ đầu vào không chỉ có ở hai chuỗi này: tính lại từ tệp kết quả, 284 trong 293 chuỗi có P50 High thấp hơn Current có số mặt hàng khuyến mãi trung bình theo ngày lớn hơn 10.</w:t>
      </w:r>
    </w:p>
    <w:p>
      <w:pPr>
        <w:keepNext/>
        <w:spacing w:before="120" w:after="60"/>
        <w:ind w:firstLine="0"/>
        <w:jc w:val="center"/>
      </w:pPr>
      <w:r>
        <w:t xml:space="preserve">Bảng 4.14. Mười chuỗi Store × Family có độ nhạy tuyệt đối lớn nhất của P50 (tổng 16 ngày) khi chuyển từ kịch bản Current sang High</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451"/>
        <w:gridCol w:w="2116"/>
        <w:gridCol w:w="1702"/>
        <w:gridCol w:w="1623"/>
        <w:gridCol w:w="2179"/>
      </w:tblGrid>
      <w:tr>
        <w:trPr>
          <w:tblHeader/>
          <w:cantSplit/>
        </w:trPr>
        <w:tc>
          <w:tcPr>
            <w:tcW w:type="dxa" w:w="1451"/>
            <w:shd w:val="clear" w:color="auto" w:fill="D9E2F3"/>
            <w:vAlign w:val="center"/>
          </w:tcPr>
          <w:p>
            <w:pPr>
              <w:spacing w:before="20" w:after="20" w:line="260" w:lineRule="auto"/>
              <w:ind w:firstLine="0"/>
              <w:jc w:val="center"/>
            </w:pPr>
            <w:r>
              <w:rPr>
                <w:b/>
                <w:sz w:val="20"/>
                <w:szCs w:val="20"/>
              </w:rPr>
              <w:t xml:space="preserve">Thứ hạng</w:t>
            </w:r>
          </w:p>
        </w:tc>
        <w:tc>
          <w:tcPr>
            <w:tcW w:type="dxa" w:w="2116"/>
            <w:shd w:val="clear" w:color="auto" w:fill="D9E2F3"/>
            <w:vAlign w:val="center"/>
          </w:tcPr>
          <w:p>
            <w:pPr>
              <w:spacing w:before="20" w:after="20" w:line="260" w:lineRule="auto"/>
              <w:ind w:firstLine="0"/>
              <w:jc w:val="center"/>
            </w:pPr>
            <w:r>
              <w:rPr>
                <w:b/>
                <w:sz w:val="20"/>
                <w:szCs w:val="20"/>
              </w:rPr>
              <w:t xml:space="preserve">Chuỗi</w:t>
            </w:r>
          </w:p>
        </w:tc>
        <w:tc>
          <w:tcPr>
            <w:tcW w:type="dxa" w:w="1702"/>
            <w:shd w:val="clear" w:color="auto" w:fill="D9E2F3"/>
            <w:vAlign w:val="center"/>
          </w:tcPr>
          <w:p>
            <w:pPr>
              <w:spacing w:before="20" w:after="20" w:line="260" w:lineRule="auto"/>
              <w:ind w:firstLine="0"/>
              <w:jc w:val="center"/>
            </w:pPr>
            <w:r>
              <w:rPr>
                <w:b/>
                <w:sz w:val="20"/>
                <w:szCs w:val="20"/>
              </w:rPr>
              <w:t xml:space="preserve">P50 Current</w:t>
            </w:r>
          </w:p>
        </w:tc>
        <w:tc>
          <w:tcPr>
            <w:tcW w:type="dxa" w:w="1623"/>
            <w:shd w:val="clear" w:color="auto" w:fill="D9E2F3"/>
            <w:vAlign w:val="center"/>
          </w:tcPr>
          <w:p>
            <w:pPr>
              <w:spacing w:before="20" w:after="20" w:line="260" w:lineRule="auto"/>
              <w:ind w:firstLine="0"/>
              <w:jc w:val="center"/>
            </w:pPr>
            <w:r>
              <w:rPr>
                <w:b/>
                <w:sz w:val="20"/>
                <w:szCs w:val="20"/>
              </w:rPr>
              <w:t xml:space="preserve">P50 High</w:t>
            </w:r>
          </w:p>
        </w:tc>
        <w:tc>
          <w:tcPr>
            <w:tcW w:type="dxa" w:w="2179"/>
            <w:shd w:val="clear" w:color="auto" w:fill="D9E2F3"/>
            <w:vAlign w:val="center"/>
          </w:tcPr>
          <w:p>
            <w:pPr>
              <w:spacing w:before="20" w:after="20" w:line="260" w:lineRule="auto"/>
              <w:ind w:firstLine="0"/>
              <w:jc w:val="center"/>
            </w:pPr>
            <w:r>
              <w:rPr>
                <w:b/>
                <w:sz w:val="20"/>
                <w:szCs w:val="20"/>
              </w:rPr>
              <w:t xml:space="preserve">Δ (High − Current)</w:t>
            </w:r>
          </w:p>
        </w:tc>
      </w:tr>
      <w:tr>
        <w:trPr>
          <w:cantSplit/>
        </w:trPr>
        <w:tc>
          <w:tcPr>
            <w:tcW w:type="dxa" w:w="1451"/>
            <w:vAlign w:val="center"/>
          </w:tcPr>
          <w:p>
            <w:pPr>
              <w:spacing w:before="20" w:after="20" w:line="260" w:lineRule="auto"/>
              <w:ind w:firstLine="0"/>
              <w:jc w:val="center"/>
            </w:pPr>
            <w:r>
              <w:rPr>
                <w:sz w:val="20"/>
                <w:szCs w:val="20"/>
              </w:rPr>
              <w:t xml:space="preserve">1</w:t>
            </w:r>
          </w:p>
        </w:tc>
        <w:tc>
          <w:tcPr>
            <w:tcW w:type="dxa" w:w="2116"/>
            <w:vAlign w:val="center"/>
          </w:tcPr>
          <w:p>
            <w:pPr>
              <w:spacing w:before="20" w:after="20" w:line="260" w:lineRule="auto"/>
              <w:ind w:firstLine="0"/>
              <w:jc w:val="left"/>
            </w:pPr>
            <w:r>
              <w:rPr>
                <w:sz w:val="20"/>
                <w:szCs w:val="20"/>
              </w:rPr>
              <w:t xml:space="preserve">CH 45 – GROCERY I</w:t>
            </w:r>
          </w:p>
        </w:tc>
        <w:tc>
          <w:tcPr>
            <w:tcW w:type="dxa" w:w="1702"/>
            <w:vAlign w:val="center"/>
          </w:tcPr>
          <w:p>
            <w:pPr>
              <w:spacing w:before="20" w:after="20" w:line="260" w:lineRule="auto"/>
              <w:ind w:firstLine="0"/>
              <w:jc w:val="center"/>
            </w:pPr>
            <w:r>
              <w:rPr>
                <w:sz w:val="20"/>
                <w:szCs w:val="20"/>
              </w:rPr>
              <w:t xml:space="preserve">180.312,97</w:t>
            </w:r>
          </w:p>
        </w:tc>
        <w:tc>
          <w:tcPr>
            <w:tcW w:type="dxa" w:w="1623"/>
            <w:vAlign w:val="center"/>
          </w:tcPr>
          <w:p>
            <w:pPr>
              <w:spacing w:before="20" w:after="20" w:line="260" w:lineRule="auto"/>
              <w:ind w:firstLine="0"/>
              <w:jc w:val="center"/>
            </w:pPr>
            <w:r>
              <w:rPr>
                <w:sz w:val="20"/>
                <w:szCs w:val="20"/>
              </w:rPr>
              <w:t xml:space="preserve">171.199,94</w:t>
            </w:r>
          </w:p>
        </w:tc>
        <w:tc>
          <w:tcPr>
            <w:tcW w:type="dxa" w:w="2179"/>
            <w:vAlign w:val="center"/>
          </w:tcPr>
          <w:p>
            <w:pPr>
              <w:spacing w:before="20" w:after="20" w:line="260" w:lineRule="auto"/>
              <w:ind w:firstLine="0"/>
              <w:jc w:val="center"/>
            </w:pPr>
            <w:r>
              <w:rPr>
                <w:sz w:val="20"/>
                <w:szCs w:val="20"/>
              </w:rPr>
              <w:t xml:space="preserve">−9.113,03</w:t>
            </w:r>
          </w:p>
        </w:tc>
      </w:tr>
      <w:tr>
        <w:trPr>
          <w:cantSplit/>
        </w:trPr>
        <w:tc>
          <w:tcPr>
            <w:tcW w:type="dxa" w:w="1451"/>
            <w:vAlign w:val="center"/>
          </w:tcPr>
          <w:p>
            <w:pPr>
              <w:spacing w:before="20" w:after="20" w:line="260" w:lineRule="auto"/>
              <w:ind w:firstLine="0"/>
              <w:jc w:val="center"/>
            </w:pPr>
            <w:r>
              <w:rPr>
                <w:sz w:val="20"/>
                <w:szCs w:val="20"/>
              </w:rPr>
              <w:t xml:space="preserve">2</w:t>
            </w:r>
          </w:p>
        </w:tc>
        <w:tc>
          <w:tcPr>
            <w:tcW w:type="dxa" w:w="2116"/>
            <w:vAlign w:val="center"/>
          </w:tcPr>
          <w:p>
            <w:pPr>
              <w:spacing w:before="20" w:after="20" w:line="260" w:lineRule="auto"/>
              <w:ind w:firstLine="0"/>
              <w:jc w:val="left"/>
            </w:pPr>
            <w:r>
              <w:rPr>
                <w:sz w:val="20"/>
                <w:szCs w:val="20"/>
              </w:rPr>
              <w:t xml:space="preserve">CH 52 – BABY CARE</w:t>
            </w:r>
          </w:p>
        </w:tc>
        <w:tc>
          <w:tcPr>
            <w:tcW w:type="dxa" w:w="1702"/>
            <w:vAlign w:val="center"/>
          </w:tcPr>
          <w:p>
            <w:pPr>
              <w:spacing w:before="20" w:after="20" w:line="260" w:lineRule="auto"/>
              <w:ind w:firstLine="0"/>
              <w:jc w:val="center"/>
            </w:pPr>
            <w:r>
              <w:rPr>
                <w:sz w:val="20"/>
                <w:szCs w:val="20"/>
              </w:rPr>
              <w:t xml:space="preserve">28,15</w:t>
            </w:r>
          </w:p>
        </w:tc>
        <w:tc>
          <w:tcPr>
            <w:tcW w:type="dxa" w:w="1623"/>
            <w:vAlign w:val="center"/>
          </w:tcPr>
          <w:p>
            <w:pPr>
              <w:spacing w:before="20" w:after="20" w:line="260" w:lineRule="auto"/>
              <w:ind w:firstLine="0"/>
              <w:jc w:val="center"/>
            </w:pPr>
            <w:r>
              <w:rPr>
                <w:sz w:val="20"/>
                <w:szCs w:val="20"/>
              </w:rPr>
              <w:t xml:space="preserve">8.608,12</w:t>
            </w:r>
          </w:p>
        </w:tc>
        <w:tc>
          <w:tcPr>
            <w:tcW w:type="dxa" w:w="2179"/>
            <w:vAlign w:val="center"/>
          </w:tcPr>
          <w:p>
            <w:pPr>
              <w:spacing w:before="20" w:after="20" w:line="260" w:lineRule="auto"/>
              <w:ind w:firstLine="0"/>
              <w:jc w:val="center"/>
            </w:pPr>
            <w:r>
              <w:rPr>
                <w:sz w:val="20"/>
                <w:szCs w:val="20"/>
              </w:rPr>
              <w:t xml:space="preserve">8.579,97</w:t>
            </w:r>
          </w:p>
        </w:tc>
      </w:tr>
      <w:tr>
        <w:trPr>
          <w:cantSplit/>
        </w:trPr>
        <w:tc>
          <w:tcPr>
            <w:tcW w:type="dxa" w:w="1451"/>
            <w:vAlign w:val="center"/>
          </w:tcPr>
          <w:p>
            <w:pPr>
              <w:spacing w:before="20" w:after="20" w:line="260" w:lineRule="auto"/>
              <w:ind w:firstLine="0"/>
              <w:jc w:val="center"/>
            </w:pPr>
            <w:r>
              <w:rPr>
                <w:sz w:val="20"/>
                <w:szCs w:val="20"/>
              </w:rPr>
              <w:t xml:space="preserve">3</w:t>
            </w:r>
          </w:p>
        </w:tc>
        <w:tc>
          <w:tcPr>
            <w:tcW w:type="dxa" w:w="2116"/>
            <w:vAlign w:val="center"/>
          </w:tcPr>
          <w:p>
            <w:pPr>
              <w:spacing w:before="20" w:after="20" w:line="260" w:lineRule="auto"/>
              <w:ind w:firstLine="0"/>
              <w:jc w:val="left"/>
            </w:pPr>
            <w:r>
              <w:rPr>
                <w:sz w:val="20"/>
                <w:szCs w:val="20"/>
              </w:rPr>
              <w:t xml:space="preserve">CH 42 – BABY CARE</w:t>
            </w:r>
          </w:p>
        </w:tc>
        <w:tc>
          <w:tcPr>
            <w:tcW w:type="dxa" w:w="1702"/>
            <w:vAlign w:val="center"/>
          </w:tcPr>
          <w:p>
            <w:pPr>
              <w:spacing w:before="20" w:after="20" w:line="260" w:lineRule="auto"/>
              <w:ind w:firstLine="0"/>
              <w:jc w:val="center"/>
            </w:pPr>
            <w:r>
              <w:rPr>
                <w:sz w:val="20"/>
                <w:szCs w:val="20"/>
              </w:rPr>
              <w:t xml:space="preserve">16,04</w:t>
            </w:r>
          </w:p>
        </w:tc>
        <w:tc>
          <w:tcPr>
            <w:tcW w:type="dxa" w:w="1623"/>
            <w:vAlign w:val="center"/>
          </w:tcPr>
          <w:p>
            <w:pPr>
              <w:spacing w:before="20" w:after="20" w:line="260" w:lineRule="auto"/>
              <w:ind w:firstLine="0"/>
              <w:jc w:val="center"/>
            </w:pPr>
            <w:r>
              <w:rPr>
                <w:sz w:val="20"/>
                <w:szCs w:val="20"/>
              </w:rPr>
              <w:t xml:space="preserve">8.126,98</w:t>
            </w:r>
          </w:p>
        </w:tc>
        <w:tc>
          <w:tcPr>
            <w:tcW w:type="dxa" w:w="2179"/>
            <w:vAlign w:val="center"/>
          </w:tcPr>
          <w:p>
            <w:pPr>
              <w:spacing w:before="20" w:after="20" w:line="260" w:lineRule="auto"/>
              <w:ind w:firstLine="0"/>
              <w:jc w:val="center"/>
            </w:pPr>
            <w:r>
              <w:rPr>
                <w:sz w:val="20"/>
                <w:szCs w:val="20"/>
              </w:rPr>
              <w:t xml:space="preserve">8.110,94</w:t>
            </w:r>
          </w:p>
        </w:tc>
      </w:tr>
      <w:tr>
        <w:trPr>
          <w:cantSplit/>
        </w:trPr>
        <w:tc>
          <w:tcPr>
            <w:tcW w:type="dxa" w:w="1451"/>
            <w:vAlign w:val="center"/>
          </w:tcPr>
          <w:p>
            <w:pPr>
              <w:spacing w:before="20" w:after="20" w:line="260" w:lineRule="auto"/>
              <w:ind w:firstLine="0"/>
              <w:jc w:val="center"/>
            </w:pPr>
            <w:r>
              <w:rPr>
                <w:sz w:val="20"/>
                <w:szCs w:val="20"/>
              </w:rPr>
              <w:t xml:space="preserve">4</w:t>
            </w:r>
          </w:p>
        </w:tc>
        <w:tc>
          <w:tcPr>
            <w:tcW w:type="dxa" w:w="2116"/>
            <w:vAlign w:val="center"/>
          </w:tcPr>
          <w:p>
            <w:pPr>
              <w:spacing w:before="20" w:after="20" w:line="260" w:lineRule="auto"/>
              <w:ind w:firstLine="0"/>
              <w:jc w:val="left"/>
            </w:pPr>
            <w:r>
              <w:rPr>
                <w:sz w:val="20"/>
                <w:szCs w:val="20"/>
              </w:rPr>
              <w:t xml:space="preserve">CH 46 – GROCERY I</w:t>
            </w:r>
          </w:p>
        </w:tc>
        <w:tc>
          <w:tcPr>
            <w:tcW w:type="dxa" w:w="1702"/>
            <w:vAlign w:val="center"/>
          </w:tcPr>
          <w:p>
            <w:pPr>
              <w:spacing w:before="20" w:after="20" w:line="260" w:lineRule="auto"/>
              <w:ind w:firstLine="0"/>
              <w:jc w:val="center"/>
            </w:pPr>
            <w:r>
              <w:rPr>
                <w:sz w:val="20"/>
                <w:szCs w:val="20"/>
              </w:rPr>
              <w:t xml:space="preserve">166.786,52</w:t>
            </w:r>
          </w:p>
        </w:tc>
        <w:tc>
          <w:tcPr>
            <w:tcW w:type="dxa" w:w="1623"/>
            <w:vAlign w:val="center"/>
          </w:tcPr>
          <w:p>
            <w:pPr>
              <w:spacing w:before="20" w:after="20" w:line="260" w:lineRule="auto"/>
              <w:ind w:firstLine="0"/>
              <w:jc w:val="center"/>
            </w:pPr>
            <w:r>
              <w:rPr>
                <w:sz w:val="20"/>
                <w:szCs w:val="20"/>
              </w:rPr>
              <w:t xml:space="preserve">158.704,80</w:t>
            </w:r>
          </w:p>
        </w:tc>
        <w:tc>
          <w:tcPr>
            <w:tcW w:type="dxa" w:w="2179"/>
            <w:vAlign w:val="center"/>
          </w:tcPr>
          <w:p>
            <w:pPr>
              <w:spacing w:before="20" w:after="20" w:line="260" w:lineRule="auto"/>
              <w:ind w:firstLine="0"/>
              <w:jc w:val="center"/>
            </w:pPr>
            <w:r>
              <w:rPr>
                <w:sz w:val="20"/>
                <w:szCs w:val="20"/>
              </w:rPr>
              <w:t xml:space="preserve">−8.081,72</w:t>
            </w:r>
          </w:p>
        </w:tc>
      </w:tr>
      <w:tr>
        <w:trPr>
          <w:cantSplit/>
        </w:trPr>
        <w:tc>
          <w:tcPr>
            <w:tcW w:type="dxa" w:w="1451"/>
            <w:vAlign w:val="center"/>
          </w:tcPr>
          <w:p>
            <w:pPr>
              <w:spacing w:before="20" w:after="20" w:line="260" w:lineRule="auto"/>
              <w:ind w:firstLine="0"/>
              <w:jc w:val="center"/>
            </w:pPr>
            <w:r>
              <w:rPr>
                <w:sz w:val="20"/>
                <w:szCs w:val="20"/>
              </w:rPr>
              <w:t xml:space="preserve">5</w:t>
            </w:r>
          </w:p>
        </w:tc>
        <w:tc>
          <w:tcPr>
            <w:tcW w:type="dxa" w:w="2116"/>
            <w:vAlign w:val="center"/>
          </w:tcPr>
          <w:p>
            <w:pPr>
              <w:spacing w:before="20" w:after="20" w:line="260" w:lineRule="auto"/>
              <w:ind w:firstLine="0"/>
              <w:jc w:val="left"/>
            </w:pPr>
            <w:r>
              <w:rPr>
                <w:sz w:val="20"/>
                <w:szCs w:val="20"/>
              </w:rPr>
              <w:t xml:space="preserve">CH 44 – BABY CARE</w:t>
            </w:r>
          </w:p>
        </w:tc>
        <w:tc>
          <w:tcPr>
            <w:tcW w:type="dxa" w:w="1702"/>
            <w:vAlign w:val="center"/>
          </w:tcPr>
          <w:p>
            <w:pPr>
              <w:spacing w:before="20" w:after="20" w:line="260" w:lineRule="auto"/>
              <w:ind w:firstLine="0"/>
              <w:jc w:val="center"/>
            </w:pPr>
            <w:r>
              <w:rPr>
                <w:sz w:val="20"/>
                <w:szCs w:val="20"/>
              </w:rPr>
              <w:t xml:space="preserve">27,93</w:t>
            </w:r>
          </w:p>
        </w:tc>
        <w:tc>
          <w:tcPr>
            <w:tcW w:type="dxa" w:w="1623"/>
            <w:vAlign w:val="center"/>
          </w:tcPr>
          <w:p>
            <w:pPr>
              <w:spacing w:before="20" w:after="20" w:line="260" w:lineRule="auto"/>
              <w:ind w:firstLine="0"/>
              <w:jc w:val="center"/>
            </w:pPr>
            <w:r>
              <w:rPr>
                <w:sz w:val="20"/>
                <w:szCs w:val="20"/>
              </w:rPr>
              <w:t xml:space="preserve">8.089,63</w:t>
            </w:r>
          </w:p>
        </w:tc>
        <w:tc>
          <w:tcPr>
            <w:tcW w:type="dxa" w:w="2179"/>
            <w:vAlign w:val="center"/>
          </w:tcPr>
          <w:p>
            <w:pPr>
              <w:spacing w:before="20" w:after="20" w:line="260" w:lineRule="auto"/>
              <w:ind w:firstLine="0"/>
              <w:jc w:val="center"/>
            </w:pPr>
            <w:r>
              <w:rPr>
                <w:sz w:val="20"/>
                <w:szCs w:val="20"/>
              </w:rPr>
              <w:t xml:space="preserve">8.061,70</w:t>
            </w:r>
          </w:p>
        </w:tc>
      </w:tr>
      <w:tr>
        <w:trPr>
          <w:cantSplit/>
        </w:trPr>
        <w:tc>
          <w:tcPr>
            <w:tcW w:type="dxa" w:w="1451"/>
            <w:vAlign w:val="center"/>
          </w:tcPr>
          <w:p>
            <w:pPr>
              <w:spacing w:before="20" w:after="20" w:line="260" w:lineRule="auto"/>
              <w:ind w:firstLine="0"/>
              <w:jc w:val="center"/>
            </w:pPr>
            <w:r>
              <w:rPr>
                <w:sz w:val="20"/>
                <w:szCs w:val="20"/>
              </w:rPr>
              <w:t xml:space="preserve">6</w:t>
            </w:r>
          </w:p>
        </w:tc>
        <w:tc>
          <w:tcPr>
            <w:tcW w:type="dxa" w:w="2116"/>
            <w:vAlign w:val="center"/>
          </w:tcPr>
          <w:p>
            <w:pPr>
              <w:spacing w:before="20" w:after="20" w:line="260" w:lineRule="auto"/>
              <w:ind w:firstLine="0"/>
              <w:jc w:val="left"/>
            </w:pPr>
            <w:r>
              <w:rPr>
                <w:sz w:val="20"/>
                <w:szCs w:val="20"/>
              </w:rPr>
              <w:t xml:space="preserve">CH 45 – BABY CARE</w:t>
            </w:r>
          </w:p>
        </w:tc>
        <w:tc>
          <w:tcPr>
            <w:tcW w:type="dxa" w:w="1702"/>
            <w:vAlign w:val="center"/>
          </w:tcPr>
          <w:p>
            <w:pPr>
              <w:spacing w:before="20" w:after="20" w:line="260" w:lineRule="auto"/>
              <w:ind w:firstLine="0"/>
              <w:jc w:val="center"/>
            </w:pPr>
            <w:r>
              <w:rPr>
                <w:sz w:val="20"/>
                <w:szCs w:val="20"/>
              </w:rPr>
              <w:t xml:space="preserve">27,34</w:t>
            </w:r>
          </w:p>
        </w:tc>
        <w:tc>
          <w:tcPr>
            <w:tcW w:type="dxa" w:w="1623"/>
            <w:vAlign w:val="center"/>
          </w:tcPr>
          <w:p>
            <w:pPr>
              <w:spacing w:before="20" w:after="20" w:line="260" w:lineRule="auto"/>
              <w:ind w:firstLine="0"/>
              <w:jc w:val="center"/>
            </w:pPr>
            <w:r>
              <w:rPr>
                <w:sz w:val="20"/>
                <w:szCs w:val="20"/>
              </w:rPr>
              <w:t xml:space="preserve">8.086,86</w:t>
            </w:r>
          </w:p>
        </w:tc>
        <w:tc>
          <w:tcPr>
            <w:tcW w:type="dxa" w:w="2179"/>
            <w:vAlign w:val="center"/>
          </w:tcPr>
          <w:p>
            <w:pPr>
              <w:spacing w:before="20" w:after="20" w:line="260" w:lineRule="auto"/>
              <w:ind w:firstLine="0"/>
              <w:jc w:val="center"/>
            </w:pPr>
            <w:r>
              <w:rPr>
                <w:sz w:val="20"/>
                <w:szCs w:val="20"/>
              </w:rPr>
              <w:t xml:space="preserve">8.059,51</w:t>
            </w:r>
          </w:p>
        </w:tc>
      </w:tr>
      <w:tr>
        <w:trPr>
          <w:cantSplit/>
        </w:trPr>
        <w:tc>
          <w:tcPr>
            <w:tcW w:type="dxa" w:w="1451"/>
            <w:vAlign w:val="center"/>
          </w:tcPr>
          <w:p>
            <w:pPr>
              <w:spacing w:before="20" w:after="20" w:line="260" w:lineRule="auto"/>
              <w:ind w:firstLine="0"/>
              <w:jc w:val="center"/>
            </w:pPr>
            <w:r>
              <w:rPr>
                <w:sz w:val="20"/>
                <w:szCs w:val="20"/>
              </w:rPr>
              <w:t xml:space="preserve">7</w:t>
            </w:r>
          </w:p>
        </w:tc>
        <w:tc>
          <w:tcPr>
            <w:tcW w:type="dxa" w:w="2116"/>
            <w:vAlign w:val="center"/>
          </w:tcPr>
          <w:p>
            <w:pPr>
              <w:spacing w:before="20" w:after="20" w:line="260" w:lineRule="auto"/>
              <w:ind w:firstLine="0"/>
              <w:jc w:val="left"/>
            </w:pPr>
            <w:r>
              <w:rPr>
                <w:sz w:val="20"/>
                <w:szCs w:val="20"/>
              </w:rPr>
              <w:t xml:space="preserve">CH 49 – BABY CARE</w:t>
            </w:r>
          </w:p>
        </w:tc>
        <w:tc>
          <w:tcPr>
            <w:tcW w:type="dxa" w:w="1702"/>
            <w:vAlign w:val="center"/>
          </w:tcPr>
          <w:p>
            <w:pPr>
              <w:spacing w:before="20" w:after="20" w:line="260" w:lineRule="auto"/>
              <w:ind w:firstLine="0"/>
              <w:jc w:val="center"/>
            </w:pPr>
            <w:r>
              <w:rPr>
                <w:sz w:val="20"/>
                <w:szCs w:val="20"/>
              </w:rPr>
              <w:t xml:space="preserve">32,42</w:t>
            </w:r>
          </w:p>
        </w:tc>
        <w:tc>
          <w:tcPr>
            <w:tcW w:type="dxa" w:w="1623"/>
            <w:vAlign w:val="center"/>
          </w:tcPr>
          <w:p>
            <w:pPr>
              <w:spacing w:before="20" w:after="20" w:line="260" w:lineRule="auto"/>
              <w:ind w:firstLine="0"/>
              <w:jc w:val="center"/>
            </w:pPr>
            <w:r>
              <w:rPr>
                <w:sz w:val="20"/>
                <w:szCs w:val="20"/>
              </w:rPr>
              <w:t xml:space="preserve">8.083,10</w:t>
            </w:r>
          </w:p>
        </w:tc>
        <w:tc>
          <w:tcPr>
            <w:tcW w:type="dxa" w:w="2179"/>
            <w:vAlign w:val="center"/>
          </w:tcPr>
          <w:p>
            <w:pPr>
              <w:spacing w:before="20" w:after="20" w:line="260" w:lineRule="auto"/>
              <w:ind w:firstLine="0"/>
              <w:jc w:val="center"/>
            </w:pPr>
            <w:r>
              <w:rPr>
                <w:sz w:val="20"/>
                <w:szCs w:val="20"/>
              </w:rPr>
              <w:t xml:space="preserve">8.050,68</w:t>
            </w:r>
          </w:p>
        </w:tc>
      </w:tr>
      <w:tr>
        <w:trPr>
          <w:cantSplit/>
        </w:trPr>
        <w:tc>
          <w:tcPr>
            <w:tcW w:type="dxa" w:w="1451"/>
            <w:vAlign w:val="center"/>
          </w:tcPr>
          <w:p>
            <w:pPr>
              <w:spacing w:before="20" w:after="20" w:line="260" w:lineRule="auto"/>
              <w:ind w:firstLine="0"/>
              <w:jc w:val="center"/>
            </w:pPr>
            <w:r>
              <w:rPr>
                <w:sz w:val="20"/>
                <w:szCs w:val="20"/>
              </w:rPr>
              <w:t xml:space="preserve">8</w:t>
            </w:r>
          </w:p>
        </w:tc>
        <w:tc>
          <w:tcPr>
            <w:tcW w:type="dxa" w:w="2116"/>
            <w:vAlign w:val="center"/>
          </w:tcPr>
          <w:p>
            <w:pPr>
              <w:spacing w:before="20" w:after="20" w:line="260" w:lineRule="auto"/>
              <w:ind w:firstLine="0"/>
              <w:jc w:val="left"/>
            </w:pPr>
            <w:r>
              <w:rPr>
                <w:sz w:val="20"/>
                <w:szCs w:val="20"/>
              </w:rPr>
              <w:t xml:space="preserve">CH 50 – BABY CARE</w:t>
            </w:r>
          </w:p>
        </w:tc>
        <w:tc>
          <w:tcPr>
            <w:tcW w:type="dxa" w:w="1702"/>
            <w:vAlign w:val="center"/>
          </w:tcPr>
          <w:p>
            <w:pPr>
              <w:spacing w:before="20" w:after="20" w:line="260" w:lineRule="auto"/>
              <w:ind w:firstLine="0"/>
              <w:jc w:val="center"/>
            </w:pPr>
            <w:r>
              <w:rPr>
                <w:sz w:val="20"/>
                <w:szCs w:val="20"/>
              </w:rPr>
              <w:t xml:space="preserve">21,05</w:t>
            </w:r>
          </w:p>
        </w:tc>
        <w:tc>
          <w:tcPr>
            <w:tcW w:type="dxa" w:w="1623"/>
            <w:vAlign w:val="center"/>
          </w:tcPr>
          <w:p>
            <w:pPr>
              <w:spacing w:before="20" w:after="20" w:line="260" w:lineRule="auto"/>
              <w:ind w:firstLine="0"/>
              <w:jc w:val="center"/>
            </w:pPr>
            <w:r>
              <w:rPr>
                <w:sz w:val="20"/>
                <w:szCs w:val="20"/>
              </w:rPr>
              <w:t xml:space="preserve">8.071,13</w:t>
            </w:r>
          </w:p>
        </w:tc>
        <w:tc>
          <w:tcPr>
            <w:tcW w:type="dxa" w:w="2179"/>
            <w:vAlign w:val="center"/>
          </w:tcPr>
          <w:p>
            <w:pPr>
              <w:spacing w:before="20" w:after="20" w:line="260" w:lineRule="auto"/>
              <w:ind w:firstLine="0"/>
              <w:jc w:val="center"/>
            </w:pPr>
            <w:r>
              <w:rPr>
                <w:sz w:val="20"/>
                <w:szCs w:val="20"/>
              </w:rPr>
              <w:t xml:space="preserve">8.050,08</w:t>
            </w:r>
          </w:p>
        </w:tc>
      </w:tr>
      <w:tr>
        <w:trPr>
          <w:cantSplit/>
        </w:trPr>
        <w:tc>
          <w:tcPr>
            <w:tcW w:type="dxa" w:w="1451"/>
            <w:vAlign w:val="center"/>
          </w:tcPr>
          <w:p>
            <w:pPr>
              <w:spacing w:before="20" w:after="20" w:line="260" w:lineRule="auto"/>
              <w:ind w:firstLine="0"/>
              <w:jc w:val="center"/>
            </w:pPr>
            <w:r>
              <w:rPr>
                <w:sz w:val="20"/>
                <w:szCs w:val="20"/>
              </w:rPr>
              <w:t xml:space="preserve">9</w:t>
            </w:r>
          </w:p>
        </w:tc>
        <w:tc>
          <w:tcPr>
            <w:tcW w:type="dxa" w:w="2116"/>
            <w:vAlign w:val="center"/>
          </w:tcPr>
          <w:p>
            <w:pPr>
              <w:spacing w:before="20" w:after="20" w:line="260" w:lineRule="auto"/>
              <w:ind w:firstLine="0"/>
              <w:jc w:val="left"/>
            </w:pPr>
            <w:r>
              <w:rPr>
                <w:sz w:val="20"/>
                <w:szCs w:val="20"/>
              </w:rPr>
              <w:t xml:space="preserve">CH 48 – BABY CARE</w:t>
            </w:r>
          </w:p>
        </w:tc>
        <w:tc>
          <w:tcPr>
            <w:tcW w:type="dxa" w:w="1702"/>
            <w:vAlign w:val="center"/>
          </w:tcPr>
          <w:p>
            <w:pPr>
              <w:spacing w:before="20" w:after="20" w:line="260" w:lineRule="auto"/>
              <w:ind w:firstLine="0"/>
              <w:jc w:val="center"/>
            </w:pPr>
            <w:r>
              <w:rPr>
                <w:sz w:val="20"/>
                <w:szCs w:val="20"/>
              </w:rPr>
              <w:t xml:space="preserve">22,91</w:t>
            </w:r>
          </w:p>
        </w:tc>
        <w:tc>
          <w:tcPr>
            <w:tcW w:type="dxa" w:w="1623"/>
            <w:vAlign w:val="center"/>
          </w:tcPr>
          <w:p>
            <w:pPr>
              <w:spacing w:before="20" w:after="20" w:line="260" w:lineRule="auto"/>
              <w:ind w:firstLine="0"/>
              <w:jc w:val="center"/>
            </w:pPr>
            <w:r>
              <w:rPr>
                <w:sz w:val="20"/>
                <w:szCs w:val="20"/>
              </w:rPr>
              <w:t xml:space="preserve">8.072,93</w:t>
            </w:r>
          </w:p>
        </w:tc>
        <w:tc>
          <w:tcPr>
            <w:tcW w:type="dxa" w:w="2179"/>
            <w:vAlign w:val="center"/>
          </w:tcPr>
          <w:p>
            <w:pPr>
              <w:spacing w:before="20" w:after="20" w:line="260" w:lineRule="auto"/>
              <w:ind w:firstLine="0"/>
              <w:jc w:val="center"/>
            </w:pPr>
            <w:r>
              <w:rPr>
                <w:sz w:val="20"/>
                <w:szCs w:val="20"/>
              </w:rPr>
              <w:t xml:space="preserve">8.050,02</w:t>
            </w:r>
          </w:p>
        </w:tc>
      </w:tr>
      <w:tr>
        <w:trPr>
          <w:cantSplit/>
        </w:trPr>
        <w:tc>
          <w:tcPr>
            <w:tcW w:type="dxa" w:w="1451"/>
            <w:vAlign w:val="center"/>
          </w:tcPr>
          <w:p>
            <w:pPr>
              <w:spacing w:before="20" w:after="20" w:line="260" w:lineRule="auto"/>
              <w:ind w:firstLine="0"/>
              <w:jc w:val="center"/>
            </w:pPr>
            <w:r>
              <w:rPr>
                <w:sz w:val="20"/>
                <w:szCs w:val="20"/>
              </w:rPr>
              <w:t xml:space="preserve">10</w:t>
            </w:r>
          </w:p>
        </w:tc>
        <w:tc>
          <w:tcPr>
            <w:tcW w:type="dxa" w:w="2116"/>
            <w:vAlign w:val="center"/>
          </w:tcPr>
          <w:p>
            <w:pPr>
              <w:spacing w:before="20" w:after="20" w:line="260" w:lineRule="auto"/>
              <w:ind w:firstLine="0"/>
              <w:jc w:val="left"/>
            </w:pPr>
            <w:r>
              <w:rPr>
                <w:sz w:val="20"/>
                <w:szCs w:val="20"/>
              </w:rPr>
              <w:t xml:space="preserve">CH 46 – BABY CARE</w:t>
            </w:r>
          </w:p>
        </w:tc>
        <w:tc>
          <w:tcPr>
            <w:tcW w:type="dxa" w:w="1702"/>
            <w:vAlign w:val="center"/>
          </w:tcPr>
          <w:p>
            <w:pPr>
              <w:spacing w:before="20" w:after="20" w:line="260" w:lineRule="auto"/>
              <w:ind w:firstLine="0"/>
              <w:jc w:val="center"/>
            </w:pPr>
            <w:r>
              <w:rPr>
                <w:sz w:val="20"/>
                <w:szCs w:val="20"/>
              </w:rPr>
              <w:t xml:space="preserve">21,05</w:t>
            </w:r>
          </w:p>
        </w:tc>
        <w:tc>
          <w:tcPr>
            <w:tcW w:type="dxa" w:w="1623"/>
            <w:vAlign w:val="center"/>
          </w:tcPr>
          <w:p>
            <w:pPr>
              <w:spacing w:before="20" w:after="20" w:line="260" w:lineRule="auto"/>
              <w:ind w:firstLine="0"/>
              <w:jc w:val="center"/>
            </w:pPr>
            <w:r>
              <w:rPr>
                <w:sz w:val="20"/>
                <w:szCs w:val="20"/>
              </w:rPr>
              <w:t xml:space="preserve">8.070,41</w:t>
            </w:r>
          </w:p>
        </w:tc>
        <w:tc>
          <w:tcPr>
            <w:tcW w:type="dxa" w:w="2179"/>
            <w:vAlign w:val="center"/>
          </w:tcPr>
          <w:p>
            <w:pPr>
              <w:spacing w:before="20" w:after="20" w:line="260" w:lineRule="auto"/>
              <w:ind w:firstLine="0"/>
              <w:jc w:val="center"/>
            </w:pPr>
            <w:r>
              <w:rPr>
                <w:sz w:val="20"/>
                <w:szCs w:val="20"/>
              </w:rPr>
              <w:t xml:space="preserve">8.049,36</w:t>
            </w:r>
          </w:p>
        </w:tc>
      </w:tr>
    </w:tbl>
    <w:p>
      <w:pPr>
        <w:spacing w:before="40" w:after="160"/>
        <w:ind w:firstLine="0"/>
      </w:pPr>
      <w:r>
        <w:rPr>
          <w:i/>
          <w:sz w:val="22"/>
          <w:szCs w:val="22"/>
        </w:rPr>
        <w:t xml:space="preserve">Nguồn: REPORT_READY/tables/16_top_promotion_sensitivity.csv (sắp theo |Δ| giảm dần).</w:t>
      </w:r>
    </w:p>
    <w:p>
      <w:pPr>
        <w:jc w:val="center"/>
      </w:pPr>
      <w:r>
        <w:drawing>
          <wp:inline xmlns:a="http://schemas.openxmlformats.org/drawingml/2006/main" xmlns:pic="http://schemas.openxmlformats.org/drawingml/2006/picture">
            <wp:extent cx="5580000" cy="4128336"/>
            <wp:docPr id="5021" name="Picture 5021"/>
            <wp:cNvGraphicFramePr>
              <a:graphicFrameLocks noChangeAspect="1"/>
            </wp:cNvGraphicFramePr>
            <a:graphic>
              <a:graphicData uri="http://schemas.openxmlformats.org/drawingml/2006/picture">
                <pic:pic>
                  <pic:nvPicPr>
                    <pic:cNvPr id="0" name="F22_promotion_sensitivity_983.png"/>
                    <pic:cNvPicPr/>
                  </pic:nvPicPr>
                  <pic:blipFill>
                    <a:blip r:embed="rId120"/>
                    <a:stretch>
                      <a:fillRect/>
                    </a:stretch>
                  </pic:blipFill>
                  <pic:spPr>
                    <a:xfrm>
                      <a:off x="0" y="0"/>
                      <a:ext cx="5580000" cy="4128336"/>
                    </a:xfrm>
                    <a:prstGeom prst="rect"/>
                  </pic:spPr>
                </pic:pic>
              </a:graphicData>
            </a:graphic>
          </wp:inline>
        </w:drawing>
      </w:r>
    </w:p>
    <w:p>
      <w:pPr>
        <w:keepNext w:val="0"/>
        <w:spacing w:after="160"/>
        <w:ind w:firstLine="0"/>
        <w:jc w:val="center"/>
      </w:pPr>
      <w:r>
        <w:t xml:space="preserve">Hình 4.17. Hai mươi chuỗi có độ nhạy khuyến mãi |High − Current| của P50 lớn nhất</w:t>
      </w:r>
    </w:p>
    <w:p>
      <w:pPr>
        <w:spacing w:before="0" w:after="160"/>
        <w:ind w:firstLine="0"/>
        <w:jc w:val="center"/>
      </w:pPr>
      <w:r>
        <w:rPr>
          <w:i/>
          <w:sz w:val="22"/>
          <w:szCs w:val="22"/>
        </w:rPr>
        <w:t xml:space="preserve">Nguồn: REPORT_READY/figures/F22_promotion_sensitivity.png</w:t>
      </w:r>
    </w:p>
    <w:p>
      <w:pPr>
        <w:keepLines w:val="0"/>
        <w:spacing w:after="120"/>
        <w:ind w:firstLine="567"/>
      </w:pPr>
      <w:r>
        <w:t xml:space="preserve">Với BABY CARE, so sánh với doanh số thực tế cho thấy đây là ngoại suy (extrapolation) chứ không phải tín hiệu kinh doanh. Tổng doanh số thực tế của cả nhóm trên 54 cửa hàng trong 16 ngày chỉ là 160 đơn vị. Trên 54 chuỗi BABY CARE, trung vị P50 Current là 19,48, trung vị P50 Low đã lên 780,35 và trung vị P50 High là 3.740,76. Tính từ features.parquet, chỉ 0,065% số dòng BABY CARE có onpromotion lớn hơn 0 và giá trị lớn nhất từng quan sát là 1, nên các giá trị 5 và 10 đưa quan sát vào vùng không gian đặc trưng mà nhóm hàng này chưa từng xuất hiện. Cây quyết định không nhận biết được tổ hợp đặc trưng mới: quan sát vẫn rơi vào một lá đã học từ nhóm khác (Hastie và cộng sự, 2009). Hiện tượng không chỉ giới hạn ở BABY CARE: 783 chuỗi có |P50 High − P50 Current|/P50 Current lớn hơn 100%, trong đó AUTOMOTIVE, BABY CARE, BOOKS, HOME APPLIANCES và HARDWARE góp 54 chuỗi mỗi nhóm, MAGAZINES 53, BEAUTY và LINGERIE 51 mỗi nhóm.</w:t>
      </w:r>
    </w:p>
    <w:p>
      <w:pPr>
        <w:keepLines w:val="0"/>
        <w:spacing w:after="120"/>
        <w:ind w:firstLine="567"/>
      </w:pPr>
      <w:r>
        <w:t xml:space="preserve">Mức độ chi phối của phần ngoại suy lên các con số tổng hợp là đáng kể. Theo tính toán lại, 809 chuỗi mang cờ ngoại suy của Stage 08 (gồm 783 chuỗi nói trên và 26 chuỗi có P50 Current bằng 0, nơi tỷ lệ không xác định nhưng mọi mức tăng đều vượt 100%) chỉ chiếm 0,55% tổng P50 Current, nhưng mức tăng của chúng ở kịch bản High là 1.371.488,8, lớn hơn cả mức tăng ròng của toàn hệ thống (1.247.179,9). Trên 973 chuỗi còn lại, nằm trong miền |Δ| ≤ 100%, cả bốn kịch bản đều cho tổng P50 thấp hơn Current: No promotion −4,93%, Low −4,18%, Medium −2,36% và High −0,91%. Hệ quả phương pháp luận là các chỉ tiêu +3,20% và +9,06% ở Bảng 4.13 không nên được trích dẫn như mức phản ứng điển hình khi chưa loại phần ngoại suy; chúng là giá trị cơ học của một phép gán đồng loạt.</w:t>
      </w:r>
    </w:p>
    <w:p>
      <w:pPr>
        <w:pStyle w:val="Heading3"/>
        <w:keepNext/>
      </w:pPr>
      <w:r>
        <w:t xml:space="preserve">4.10.4. Vai trò sàng lọc và điều kiện để dùng kịch bản trong quyết định</w:t>
      </w:r>
    </w:p>
    <w:p>
      <w:pPr>
        <w:keepLines w:val="0"/>
        <w:spacing w:after="120"/>
        <w:ind w:firstLine="567"/>
      </w:pPr>
      <w:r>
        <w:t xml:space="preserve">Từ các kết quả trên, lớp kịch bản phù hợp nhất với vai trò sàng lọc: xác định những chuỗi mà dự báo phản ứng mạnh, phản ứng âm hoặc bất thường để bộ phận thương mại xem xét thêm. Quy trình đã đưa một phần kiểm soát vào lớp quyết định: Stage 08 gắn cờ PROMO_EXTRAPOLATION cho chuỗi có kịch bản làm P50 thay đổi quá 100% so với hiện tại, trích dẫn quy định mẫu POL-PROMO-004 và chỉ xét đề xuất thử nghiệm khuyến mãi trên các kịch bản nằm trong miền |Δ| ≤ 100% (mục 4.12). Tuy vậy, ngưỡng 100% là một quy tắc thô: nó bắt được các chuỗi nhỏ tăng hàng trăm lần nhưng không bắt được việc kịch bản High hạ đầu vào ở chuỗi lớn. Các bước bổ sung dưới đây là đề xuất thiết kế, chưa được triển khai trong mã nguồn:</w:t>
      </w:r>
    </w:p>
    <w:p>
      <w:pPr>
        <w:keepLines w:val="0"/>
        <w:spacing w:after="60"/>
        <w:ind w:left="851" w:hanging="284"/>
      </w:pPr>
      <w:r>
        <w:t xml:space="preserve">–	Đối chiếu giá trị onpromotion của kịch bản với miền giá trị lịch sử của chính chuỗi và nhóm sản phẩm; gắn cờ ngoại suy theo miền đầu vào thay vì chỉ theo độ lớn của đầu ra.</w:t>
      </w:r>
    </w:p>
    <w:p>
      <w:pPr>
        <w:keepLines w:val="0"/>
        <w:spacing w:after="60"/>
        <w:ind w:left="851" w:hanging="284"/>
      </w:pPr>
      <w:r>
        <w:t xml:space="preserve">–	Thay phép gán đồng loạt bằng kịch bản tương đối theo chuỗi (ví dụ tăng hoặc giảm một tỷ lệ so với mức onpromotion hiện tại) để tránh hạ đầu vào ở chuỗi đang khuyến mãi mạnh.</w:t>
      </w:r>
    </w:p>
    <w:p>
      <w:pPr>
        <w:keepLines w:val="0"/>
        <w:spacing w:after="60"/>
        <w:ind w:left="851" w:hanging="284"/>
      </w:pPr>
      <w:r>
        <w:t xml:space="preserve">–	Tính lại độ rộng khoảng theo nhóm Mondrian ứng với P50 của chính kịch bản.</w:t>
      </w:r>
    </w:p>
    <w:p>
      <w:pPr>
        <w:keepLines w:val="0"/>
        <w:spacing w:after="120"/>
        <w:ind w:firstLine="567"/>
      </w:pPr>
      <w:r>
        <w:t xml:space="preserve">Ngay cả khi các kiểm tra trên được thực hiện, chênh lệch dự báo vẫn chưa đủ để đánh giá hiệu quả kinh tế của khuyến mãi. Việc đó cần mức chiết khấu, giá bán, biên lợi nhuận, chi phí khuyến mãi và ước lượng mức tăng nhân quả (causal uplift), trong đó ảnh hưởng chéo giữa các nhóm hàng cũng là yếu tố được ghi nhận trong nghiên cứu dự báo bán lẻ có khuyến mãi (Ma và cộng sự, 2016; Fildes và cộng sự, 2022). Dữ liệu và các tệp kết quả không chứa giá, biên lợi nhuận hay ngân sách, nên luận văn không tính lợi tức đầu tư của khuyến mãi. Các quy định mẫu POL-PROMO-003 và POL-PROMO-005 cũng yêu cầu không phê duyệt khuyến mãi tự động và thử nghiệm có đối chứng trước khi triển khai.</w:t>
      </w:r>
    </w:p>
    <w:p>
      <w:pPr>
        <w:pStyle w:val="Heading2"/>
        <w:keepNext/>
      </w:pPr>
      <w:r>
        <w:t xml:space="preserve">4.11. Hỗ trợ quyết định tồn kho và phân bố nhãn rủi ro</w:t>
      </w:r>
    </w:p>
    <w:p>
      <w:pPr>
        <w:pStyle w:val="Heading3"/>
        <w:keepNext/>
      </w:pPr>
      <w:r>
        <w:t xml:space="preserve">4.11.1. Giả định chi phí, công thức và các đại lượng tổng hệ thống</w:t>
      </w:r>
    </w:p>
    <w:p>
      <w:pPr>
        <w:keepLines w:val="0"/>
        <w:spacing w:after="120"/>
        <w:ind w:firstLine="567"/>
      </w:pPr>
      <w:r>
        <w:t xml:space="preserve">Lớp hỗ trợ quyết định tồn kho (inventory decision support) của Stage 07 cộng P10, P50, P90 theo ngày của lớp xác suất thành tổng 16 ngày cho từng chuỗi, rồi áp một bộ giả định chi phí mang tính minh họa. Chi phí thiếu hàng trên một đơn vị Cu = 3 và chi phí dư hàng Co = 1 cho phân vị tới hạn của bài toán người bán báo (newsvendor) như phương trình (4.8) (Arrow và cộng sự, 1951; Qin và cộng sự, 2011). Mã nguồn không ước lượng phân vị 0,75 mà chọn P90 làm điểm đặt hàng lại đại diện (reorder point proxy) khi q* ≥ 0,75. Đây là lựa chọn thận trọng, nghiêng về mức dịch vụ cao hơn mức tối ưu danh nghĩa, và được luận văn ghi nhận như một giới hạn.</w:t>
      </w:r>
    </w:p>
    <w:p>
      <w:pPr>
        <w:tabs>
          <w:tab w:val="center" w:pos="4535"/>
          <w:tab w:val="right" w:pos="9071"/>
        </w:tabs>
        <w:spacing w:before="60" w:after="60"/>
        <w:ind w:firstLine="0"/>
      </w:pPr>
      <w:r>
        <w:tab/>
      </w:r>
      <m:oMath xmlns:a="http://schemas.openxmlformats.org/drawingml/2006/main" xmlns:pic="http://schemas.openxmlformats.org/drawingml/2006/picture">
        <m:sSup>
          <m:e>
            <m:r>
              <m:t>q</m:t>
            </m:r>
          </m:e>
          <m:sup>
            <m:r>
              <m:rPr>
                <m:sty m:val="p"/>
              </m:rPr>
              <m:t>*</m:t>
            </m:r>
          </m:sup>
        </m:sSup>
        <m:r>
          <m:rPr>
            <m:sty m:val="p"/>
          </m:rPr>
          <m:t>=</m:t>
        </m:r>
        <m:f>
          <m:fPr>
            <m:type m:val="bar"/>
          </m:fPr>
          <m:num>
            <m:sSub>
              <m:e>
                <m:r>
                  <m:t>C</m:t>
                </m:r>
              </m:e>
              <m:sub>
                <m:r>
                  <m:t>u</m:t>
                </m:r>
              </m:sub>
            </m:sSub>
          </m:num>
          <m:den>
            <m:sSub>
              <m:e>
                <m:r>
                  <m:t>C</m:t>
                </m:r>
              </m:e>
              <m:sub>
                <m:r>
                  <m:t>u</m:t>
                </m:r>
              </m:sub>
            </m:sSub>
            <m:r>
              <m:rPr>
                <m:sty m:val="p"/>
              </m:rPr>
              <m:t>+</m:t>
            </m:r>
            <m:sSub>
              <m:e>
                <m:r>
                  <m:t>C</m:t>
                </m:r>
              </m:e>
              <m:sub>
                <m:r>
                  <m:t>o</m:t>
                </m:r>
              </m:sub>
            </m:sSub>
          </m:den>
        </m:f>
        <m:r>
          <m:rPr>
            <m:sty m:val="p"/>
          </m:rPr>
          <m:t>=</m:t>
        </m:r>
        <m:f>
          <m:fPr>
            <m:type m:val="bar"/>
          </m:fPr>
          <m:num>
            <m:r>
              <m:t>3</m:t>
            </m:r>
          </m:num>
          <m:den>
            <m:r>
              <m:t>3</m:t>
            </m:r>
            <m:r>
              <m:rPr>
                <m:sty m:val="p"/>
              </m:rPr>
              <m:t>+</m:t>
            </m:r>
            <m:r>
              <m:t>1</m:t>
            </m:r>
          </m:den>
        </m:f>
        <m:r>
          <m:rPr>
            <m:sty m:val="p"/>
          </m:rPr>
          <m:t>=</m:t>
        </m:r>
        <m:r>
          <m:t>0</m:t>
        </m:r>
        <m:r>
          <m:rPr>
            <m:sty m:val="p"/>
          </m:rPr>
          <m:t>,</m:t>
        </m:r>
        <m:r>
          <m:t>75</m:t>
        </m:r>
      </m:oMath>
      <w:r>
        <w:tab/>
        <w:t>(4.8)</w:t>
      </w:r>
    </w:p>
    <w:p>
      <w:pPr>
        <w:keepLines w:val="0"/>
        <w:spacing w:after="120"/>
        <w:ind w:firstLine="567"/>
      </w:pPr>
      <w:r>
        <w:t xml:space="preserve">Vị thế tồn kho (inventory position) không có trong dữ liệu nên được giả định bằng 0,8 × P50. Tồn kho an toàn đại diện và lượng bổ sung gợi ý được xác định theo phương trình (4.9). Thay ROP = P90 và vị thế giả định vào công thức cho thấy lượng bổ sung là P90 − 0,8 × P50, tức bằng tồn kho an toàn (P90 − P50) cộng thêm 0,2 × P50 do giả định vị thế. Bảng 4.15 tóm tắt các giả định và các đại lượng tổng hệ thống. Theo lý thuyết tồn kho, tồn kho an toàn phải được xác định từ phân phối nhu cầu trong thời gian cung ứng cùng mức dịch vụ mục tiêu (Silver và cộng sự, 2017); ở đây kỳ 16 ngày chỉ đóng vai trò thay thế cho thời gian cung ứng, vì dữ liệu không có thông tin này.</w:t>
      </w:r>
    </w:p>
    <w:p>
      <w:pPr>
        <w:tabs>
          <w:tab w:val="center" w:pos="4535"/>
          <w:tab w:val="right" w:pos="9071"/>
        </w:tabs>
        <w:spacing w:before="60" w:after="60"/>
        <w:ind w:firstLine="0"/>
      </w:pPr>
      <w:r>
        <w:tab/>
      </w:r>
      <m:oMath xmlns:a="http://schemas.openxmlformats.org/drawingml/2006/main" xmlns:pic="http://schemas.openxmlformats.org/drawingml/2006/picture">
        <m:r>
          <m:t>S</m:t>
        </m:r>
        <m:sSub>
          <m:e>
            <m:r>
              <m:t>S</m:t>
            </m:r>
          </m:e>
          <m:sub>
            <m:r>
              <m:t>i</m:t>
            </m:r>
          </m:sub>
        </m:sSub>
        <m:r>
          <m:rPr>
            <m:sty m:val="p"/>
          </m:rPr>
          <m:t>=</m:t>
        </m:r>
        <m:r>
          <m:rPr>
            <m:sty m:val="p"/>
          </m:rPr>
          <m:t>max</m:t>
        </m:r>
        <m:d>
          <m:dPr>
            <m:begChr m:val="("/>
            <m:sepChr m:val=""/>
            <m:endChr m:val=")"/>
            <m:grow/>
          </m:dPr>
          <m:e>
            <m:r>
              <m:t>P</m:t>
            </m:r>
            <m:sSub>
              <m:e>
                <m:r>
                  <m:t>90</m:t>
                </m:r>
              </m:e>
              <m:sub>
                <m:r>
                  <m:t>i</m:t>
                </m:r>
              </m:sub>
            </m:sSub>
            <m:r>
              <m:rPr>
                <m:sty m:val="p"/>
              </m:rPr>
              <m:t>−</m:t>
            </m:r>
            <m:r>
              <m:t>P</m:t>
            </m:r>
            <m:sSub>
              <m:e>
                <m:r>
                  <m:t>50</m:t>
                </m:r>
              </m:e>
              <m:sub>
                <m:r>
                  <m:t>i</m:t>
                </m:r>
              </m:sub>
            </m:sSub>
            <m:r>
              <m:rPr>
                <m:sty m:val="p"/>
              </m:rPr>
              <m:t>,</m:t>
            </m:r>
            <m:r>
              <m:t>0</m:t>
            </m:r>
          </m:e>
        </m:d>
        <m:r>
          <m:rPr>
            <m:sty m:val="p"/>
          </m:rPr>
          <m:t>,</m:t>
        </m:r>
        <m:r>
          <m:t>  </m:t>
        </m:r>
        <m:sSub>
          <m:e>
            <m:r>
              <m:t>R</m:t>
            </m:r>
          </m:e>
          <m:sub>
            <m:r>
              <m:t>i</m:t>
            </m:r>
          </m:sub>
        </m:sSub>
        <m:r>
          <m:rPr>
            <m:sty m:val="p"/>
          </m:rPr>
          <m:t>=</m:t>
        </m:r>
        <m:r>
          <m:rPr>
            <m:sty m:val="p"/>
          </m:rPr>
          <m:t>max</m:t>
        </m:r>
        <m:d>
          <m:dPr>
            <m:begChr m:val="("/>
            <m:sepChr m:val=""/>
            <m:endChr m:val=")"/>
            <m:grow/>
          </m:dPr>
          <m:e>
            <m:r>
              <m:t>P</m:t>
            </m:r>
            <m:sSub>
              <m:e>
                <m:r>
                  <m:t>90</m:t>
                </m:r>
              </m:e>
              <m:sub>
                <m:r>
                  <m:t>i</m:t>
                </m:r>
              </m:sub>
            </m:sSub>
            <m:r>
              <m:rPr>
                <m:sty m:val="p"/>
              </m:rPr>
              <m:t>−</m:t>
            </m:r>
            <m:r>
              <m:t>0</m:t>
            </m:r>
            <m:r>
              <m:rPr>
                <m:sty m:val="p"/>
              </m:rPr>
              <m:t>,</m:t>
            </m:r>
            <m:r>
              <m:t>8</m:t>
            </m:r>
            <m:r>
              <m:rPr>
                <m:sty m:val="p"/>
              </m:rPr>
              <m:t>×</m:t>
            </m:r>
            <m:r>
              <m:t>P</m:t>
            </m:r>
            <m:sSub>
              <m:e>
                <m:r>
                  <m:t>50</m:t>
                </m:r>
              </m:e>
              <m:sub>
                <m:r>
                  <m:t>i</m:t>
                </m:r>
              </m:sub>
            </m:sSub>
            <m:r>
              <m:rPr>
                <m:sty m:val="p"/>
              </m:rPr>
              <m:t>,</m:t>
            </m:r>
            <m:r>
              <m:t>0</m:t>
            </m:r>
          </m:e>
        </m:d>
      </m:oMath>
      <w:r>
        <w:tab/>
        <w:t>(4.9)</w:t>
      </w:r>
    </w:p>
    <w:p>
      <w:pPr>
        <w:keepNext/>
        <w:spacing w:before="120" w:after="60"/>
        <w:ind w:firstLine="0"/>
        <w:jc w:val="center"/>
      </w:pPr>
      <w:r>
        <w:t xml:space="preserve">Bảng 4.15. Giả định của lớp tồn kho và các đại lượng tổng hệ thống trên 1.782 chuỗi (kỳ 16 ngày)</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998"/>
        <w:gridCol w:w="1760"/>
        <w:gridCol w:w="4313"/>
      </w:tblGrid>
      <w:tr>
        <w:trPr>
          <w:tblHeader/>
          <w:cantSplit/>
        </w:trPr>
        <w:tc>
          <w:tcPr>
            <w:tcW w:type="dxa" w:w="2998"/>
            <w:shd w:val="clear" w:color="auto" w:fill="D9E2F3"/>
            <w:vAlign w:val="center"/>
          </w:tcPr>
          <w:p>
            <w:pPr>
              <w:spacing w:before="20" w:after="20" w:line="260" w:lineRule="auto"/>
              <w:ind w:firstLine="0"/>
              <w:jc w:val="center"/>
            </w:pPr>
            <w:r>
              <w:rPr>
                <w:b/>
                <w:sz w:val="20"/>
                <w:szCs w:val="20"/>
              </w:rPr>
              <w:t xml:space="preserve">Thành phần</w:t>
            </w:r>
          </w:p>
        </w:tc>
        <w:tc>
          <w:tcPr>
            <w:tcW w:type="dxa" w:w="1760"/>
            <w:shd w:val="clear" w:color="auto" w:fill="D9E2F3"/>
            <w:vAlign w:val="center"/>
          </w:tcPr>
          <w:p>
            <w:pPr>
              <w:spacing w:before="20" w:after="20" w:line="260" w:lineRule="auto"/>
              <w:ind w:firstLine="0"/>
              <w:jc w:val="center"/>
            </w:pPr>
            <w:r>
              <w:rPr>
                <w:b/>
                <w:sz w:val="20"/>
                <w:szCs w:val="20"/>
              </w:rPr>
              <w:t xml:space="preserve">Giá trị</w:t>
            </w:r>
          </w:p>
        </w:tc>
        <w:tc>
          <w:tcPr>
            <w:tcW w:type="dxa" w:w="4313"/>
            <w:shd w:val="clear" w:color="auto" w:fill="D9E2F3"/>
            <w:vAlign w:val="center"/>
          </w:tcPr>
          <w:p>
            <w:pPr>
              <w:spacing w:before="20" w:after="20" w:line="260" w:lineRule="auto"/>
              <w:ind w:firstLine="0"/>
              <w:jc w:val="center"/>
            </w:pPr>
            <w:r>
              <w:rPr>
                <w:b/>
                <w:sz w:val="20"/>
                <w:szCs w:val="20"/>
              </w:rPr>
              <w:t xml:space="preserve">Ghi chú</w:t>
            </w:r>
          </w:p>
        </w:tc>
      </w:tr>
      <w:tr>
        <w:trPr>
          <w:cantSplit/>
        </w:trPr>
        <w:tc>
          <w:tcPr>
            <w:tcW w:type="dxa" w:w="2998"/>
            <w:vAlign w:val="center"/>
          </w:tcPr>
          <w:p>
            <w:pPr>
              <w:spacing w:before="20" w:after="20" w:line="260" w:lineRule="auto"/>
              <w:ind w:firstLine="0"/>
              <w:jc w:val="left"/>
            </w:pPr>
            <w:r>
              <w:rPr>
                <w:sz w:val="20"/>
                <w:szCs w:val="20"/>
              </w:rPr>
              <w:t xml:space="preserve">Chi phí thiếu hàng Cu</w:t>
            </w:r>
          </w:p>
        </w:tc>
        <w:tc>
          <w:tcPr>
            <w:tcW w:type="dxa" w:w="1760"/>
            <w:vAlign w:val="center"/>
          </w:tcPr>
          <w:p>
            <w:pPr>
              <w:spacing w:before="20" w:after="20" w:line="260" w:lineRule="auto"/>
              <w:ind w:firstLine="0"/>
              <w:jc w:val="center"/>
            </w:pPr>
            <w:r>
              <w:rPr>
                <w:sz w:val="20"/>
                <w:szCs w:val="20"/>
              </w:rPr>
              <w:t xml:space="preserve">3</w:t>
            </w:r>
          </w:p>
        </w:tc>
        <w:tc>
          <w:tcPr>
            <w:tcW w:type="dxa" w:w="4313"/>
            <w:vAlign w:val="center"/>
          </w:tcPr>
          <w:p>
            <w:pPr>
              <w:spacing w:before="20" w:after="20" w:line="260" w:lineRule="auto"/>
              <w:ind w:firstLine="0"/>
              <w:jc w:val="left"/>
            </w:pPr>
            <w:r>
              <w:rPr>
                <w:sz w:val="20"/>
                <w:szCs w:val="20"/>
              </w:rPr>
              <w:t xml:space="preserve">Giả định minh họa</w:t>
            </w:r>
          </w:p>
        </w:tc>
      </w:tr>
      <w:tr>
        <w:trPr>
          <w:cantSplit/>
        </w:trPr>
        <w:tc>
          <w:tcPr>
            <w:tcW w:type="dxa" w:w="2998"/>
            <w:vAlign w:val="center"/>
          </w:tcPr>
          <w:p>
            <w:pPr>
              <w:spacing w:before="20" w:after="20" w:line="260" w:lineRule="auto"/>
              <w:ind w:firstLine="0"/>
              <w:jc w:val="left"/>
            </w:pPr>
            <w:r>
              <w:rPr>
                <w:sz w:val="20"/>
                <w:szCs w:val="20"/>
              </w:rPr>
              <w:t xml:space="preserve">Chi phí dư hàng Co</w:t>
            </w:r>
          </w:p>
        </w:tc>
        <w:tc>
          <w:tcPr>
            <w:tcW w:type="dxa" w:w="1760"/>
            <w:vAlign w:val="center"/>
          </w:tcPr>
          <w:p>
            <w:pPr>
              <w:spacing w:before="20" w:after="20" w:line="260" w:lineRule="auto"/>
              <w:ind w:firstLine="0"/>
              <w:jc w:val="center"/>
            </w:pPr>
            <w:r>
              <w:rPr>
                <w:sz w:val="20"/>
                <w:szCs w:val="20"/>
              </w:rPr>
              <w:t xml:space="preserve">1</w:t>
            </w:r>
          </w:p>
        </w:tc>
        <w:tc>
          <w:tcPr>
            <w:tcW w:type="dxa" w:w="4313"/>
            <w:vAlign w:val="center"/>
          </w:tcPr>
          <w:p>
            <w:pPr>
              <w:spacing w:before="20" w:after="20" w:line="260" w:lineRule="auto"/>
              <w:ind w:firstLine="0"/>
              <w:jc w:val="left"/>
            </w:pPr>
            <w:r>
              <w:rPr>
                <w:sz w:val="20"/>
                <w:szCs w:val="20"/>
              </w:rPr>
              <w:t xml:space="preserve">Giả định minh họa</w:t>
            </w:r>
          </w:p>
        </w:tc>
      </w:tr>
      <w:tr>
        <w:trPr>
          <w:cantSplit/>
        </w:trPr>
        <w:tc>
          <w:tcPr>
            <w:tcW w:type="dxa" w:w="2998"/>
            <w:vAlign w:val="center"/>
          </w:tcPr>
          <w:p>
            <w:pPr>
              <w:spacing w:before="20" w:after="20" w:line="260" w:lineRule="auto"/>
              <w:ind w:firstLine="0"/>
              <w:jc w:val="left"/>
            </w:pPr>
            <w:r>
              <w:rPr>
                <w:sz w:val="20"/>
                <w:szCs w:val="20"/>
              </w:rPr>
              <w:t xml:space="preserve">Phân vị tới hạn q*</w:t>
            </w:r>
          </w:p>
        </w:tc>
        <w:tc>
          <w:tcPr>
            <w:tcW w:type="dxa" w:w="1760"/>
            <w:vAlign w:val="center"/>
          </w:tcPr>
          <w:p>
            <w:pPr>
              <w:spacing w:before="20" w:after="20" w:line="260" w:lineRule="auto"/>
              <w:ind w:firstLine="0"/>
              <w:jc w:val="center"/>
            </w:pPr>
            <w:r>
              <w:rPr>
                <w:sz w:val="20"/>
                <w:szCs w:val="20"/>
              </w:rPr>
              <w:t xml:space="preserve">0,75</w:t>
            </w:r>
          </w:p>
        </w:tc>
        <w:tc>
          <w:tcPr>
            <w:tcW w:type="dxa" w:w="4313"/>
            <w:vAlign w:val="center"/>
          </w:tcPr>
          <w:p>
            <w:pPr>
              <w:spacing w:before="20" w:after="20" w:line="260" w:lineRule="auto"/>
              <w:ind w:firstLine="0"/>
              <w:jc w:val="left"/>
            </w:pPr>
            <w:r>
              <w:rPr>
                <w:sz w:val="20"/>
                <w:szCs w:val="20"/>
              </w:rPr>
              <w:t xml:space="preserve">Cu/(Cu + Co)</w:t>
            </w:r>
          </w:p>
        </w:tc>
      </w:tr>
      <w:tr>
        <w:trPr>
          <w:cantSplit/>
        </w:trPr>
        <w:tc>
          <w:tcPr>
            <w:tcW w:type="dxa" w:w="2998"/>
            <w:vAlign w:val="center"/>
          </w:tcPr>
          <w:p>
            <w:pPr>
              <w:spacing w:before="20" w:after="20" w:line="260" w:lineRule="auto"/>
              <w:ind w:firstLine="0"/>
              <w:jc w:val="left"/>
            </w:pPr>
            <w:r>
              <w:rPr>
                <w:sz w:val="20"/>
                <w:szCs w:val="20"/>
              </w:rPr>
              <w:t xml:space="preserve">Điểm đặt hàng lại đại diện</w:t>
            </w:r>
          </w:p>
        </w:tc>
        <w:tc>
          <w:tcPr>
            <w:tcW w:type="dxa" w:w="1760"/>
            <w:vAlign w:val="center"/>
          </w:tcPr>
          <w:p>
            <w:pPr>
              <w:spacing w:before="20" w:after="20" w:line="260" w:lineRule="auto"/>
              <w:ind w:firstLine="0"/>
              <w:jc w:val="left"/>
            </w:pPr>
            <w:r>
              <w:rPr>
                <w:sz w:val="20"/>
                <w:szCs w:val="20"/>
              </w:rPr>
              <w:t xml:space="preserve">P90</w:t>
            </w:r>
          </w:p>
        </w:tc>
        <w:tc>
          <w:tcPr>
            <w:tcW w:type="dxa" w:w="4313"/>
            <w:vAlign w:val="center"/>
          </w:tcPr>
          <w:p>
            <w:pPr>
              <w:spacing w:before="20" w:after="20" w:line="260" w:lineRule="auto"/>
              <w:ind w:firstLine="0"/>
              <w:jc w:val="left"/>
            </w:pPr>
            <w:r>
              <w:rPr>
                <w:sz w:val="20"/>
                <w:szCs w:val="20"/>
              </w:rPr>
              <w:t xml:space="preserve">Vì q* ≥ 0,75</w:t>
            </w:r>
          </w:p>
        </w:tc>
      </w:tr>
      <w:tr>
        <w:trPr>
          <w:cantSplit/>
        </w:trPr>
        <w:tc>
          <w:tcPr>
            <w:tcW w:type="dxa" w:w="2998"/>
            <w:vAlign w:val="center"/>
          </w:tcPr>
          <w:p>
            <w:pPr>
              <w:spacing w:before="20" w:after="20" w:line="260" w:lineRule="auto"/>
              <w:ind w:firstLine="0"/>
              <w:jc w:val="left"/>
            </w:pPr>
            <w:r>
              <w:rPr>
                <w:sz w:val="20"/>
                <w:szCs w:val="20"/>
              </w:rPr>
              <w:t xml:space="preserve">Vị thế tồn kho giả định</w:t>
            </w:r>
          </w:p>
        </w:tc>
        <w:tc>
          <w:tcPr>
            <w:tcW w:type="dxa" w:w="1760"/>
            <w:vAlign w:val="center"/>
          </w:tcPr>
          <w:p>
            <w:pPr>
              <w:spacing w:before="20" w:after="20" w:line="260" w:lineRule="auto"/>
              <w:ind w:firstLine="0"/>
              <w:jc w:val="left"/>
            </w:pPr>
            <w:r>
              <w:rPr>
                <w:sz w:val="20"/>
                <w:szCs w:val="20"/>
              </w:rPr>
              <w:t xml:space="preserve">0,8 × P50</w:t>
            </w:r>
          </w:p>
        </w:tc>
        <w:tc>
          <w:tcPr>
            <w:tcW w:type="dxa" w:w="4313"/>
            <w:vAlign w:val="center"/>
          </w:tcPr>
          <w:p>
            <w:pPr>
              <w:spacing w:before="20" w:after="20" w:line="260" w:lineRule="auto"/>
              <w:ind w:firstLine="0"/>
              <w:jc w:val="left"/>
            </w:pPr>
            <w:r>
              <w:rPr>
                <w:sz w:val="20"/>
                <w:szCs w:val="20"/>
              </w:rPr>
              <w:t xml:space="preserve">Không có tồn kho thực</w:t>
            </w:r>
          </w:p>
        </w:tc>
      </w:tr>
      <w:tr>
        <w:trPr>
          <w:cantSplit/>
        </w:trPr>
        <w:tc>
          <w:tcPr>
            <w:tcW w:type="dxa" w:w="2998"/>
            <w:vAlign w:val="center"/>
          </w:tcPr>
          <w:p>
            <w:pPr>
              <w:spacing w:before="20" w:after="20" w:line="260" w:lineRule="auto"/>
              <w:ind w:firstLine="0"/>
              <w:jc w:val="left"/>
            </w:pPr>
            <w:r>
              <w:rPr>
                <w:sz w:val="20"/>
                <w:szCs w:val="20"/>
              </w:rPr>
              <w:t xml:space="preserve">Tổng P10</w:t>
            </w:r>
          </w:p>
        </w:tc>
        <w:tc>
          <w:tcPr>
            <w:tcW w:type="dxa" w:w="1760"/>
            <w:vAlign w:val="center"/>
          </w:tcPr>
          <w:p>
            <w:pPr>
              <w:spacing w:before="20" w:after="20" w:line="260" w:lineRule="auto"/>
              <w:ind w:firstLine="0"/>
              <w:jc w:val="center"/>
            </w:pPr>
            <w:r>
              <w:rPr>
                <w:sz w:val="20"/>
                <w:szCs w:val="20"/>
              </w:rPr>
              <w:t xml:space="preserve">11.788.149</w:t>
            </w:r>
          </w:p>
        </w:tc>
        <w:tc>
          <w:tcPr>
            <w:tcW w:type="dxa" w:w="4313"/>
            <w:vAlign w:val="center"/>
          </w:tcPr>
          <w:p>
            <w:pPr>
              <w:spacing w:before="20" w:after="20" w:line="260" w:lineRule="auto"/>
              <w:ind w:firstLine="0"/>
              <w:jc w:val="left"/>
            </w:pPr>
            <w:r>
              <w:rPr>
                <w:sz w:val="20"/>
                <w:szCs w:val="20"/>
              </w:rPr>
              <w:t xml:space="preserve">Tổng các phân vị theo ngày</w:t>
            </w:r>
          </w:p>
        </w:tc>
      </w:tr>
      <w:tr>
        <w:trPr>
          <w:cantSplit/>
        </w:trPr>
        <w:tc>
          <w:tcPr>
            <w:tcW w:type="dxa" w:w="2998"/>
            <w:vAlign w:val="center"/>
          </w:tcPr>
          <w:p>
            <w:pPr>
              <w:spacing w:before="20" w:after="20" w:line="260" w:lineRule="auto"/>
              <w:ind w:firstLine="0"/>
              <w:jc w:val="left"/>
            </w:pPr>
            <w:r>
              <w:rPr>
                <w:sz w:val="20"/>
                <w:szCs w:val="20"/>
              </w:rPr>
              <w:t xml:space="preserve">Tổng P50</w:t>
            </w:r>
          </w:p>
        </w:tc>
        <w:tc>
          <w:tcPr>
            <w:tcW w:type="dxa" w:w="1760"/>
            <w:vAlign w:val="center"/>
          </w:tcPr>
          <w:p>
            <w:pPr>
              <w:spacing w:before="20" w:after="20" w:line="260" w:lineRule="auto"/>
              <w:ind w:firstLine="0"/>
              <w:jc w:val="center"/>
            </w:pPr>
            <w:r>
              <w:rPr>
                <w:sz w:val="20"/>
                <w:szCs w:val="20"/>
              </w:rPr>
              <w:t xml:space="preserve">13.758.714</w:t>
            </w:r>
          </w:p>
        </w:tc>
        <w:tc>
          <w:tcPr>
            <w:tcW w:type="dxa" w:w="4313"/>
            <w:vAlign w:val="center"/>
          </w:tcPr>
          <w:p>
            <w:pPr>
              <w:spacing w:before="20" w:after="20" w:line="260" w:lineRule="auto"/>
              <w:ind w:firstLine="0"/>
              <w:jc w:val="left"/>
            </w:pPr>
            <w:r>
              <w:rPr>
                <w:sz w:val="20"/>
                <w:szCs w:val="20"/>
              </w:rPr>
              <w:t xml:space="preserve">Dự báo điểm cộng phân vị 0,5 của phần dư theo nhóm</w:t>
            </w:r>
          </w:p>
        </w:tc>
      </w:tr>
      <w:tr>
        <w:trPr>
          <w:cantSplit/>
        </w:trPr>
        <w:tc>
          <w:tcPr>
            <w:tcW w:type="dxa" w:w="2998"/>
            <w:vAlign w:val="center"/>
          </w:tcPr>
          <w:p>
            <w:pPr>
              <w:spacing w:before="20" w:after="20" w:line="260" w:lineRule="auto"/>
              <w:ind w:firstLine="0"/>
              <w:jc w:val="left"/>
            </w:pPr>
            <w:r>
              <w:rPr>
                <w:sz w:val="20"/>
                <w:szCs w:val="20"/>
              </w:rPr>
              <w:t xml:space="preserve">Tổng P90</w:t>
            </w:r>
          </w:p>
        </w:tc>
        <w:tc>
          <w:tcPr>
            <w:tcW w:type="dxa" w:w="1760"/>
            <w:vAlign w:val="center"/>
          </w:tcPr>
          <w:p>
            <w:pPr>
              <w:spacing w:before="20" w:after="20" w:line="260" w:lineRule="auto"/>
              <w:ind w:firstLine="0"/>
              <w:jc w:val="center"/>
            </w:pPr>
            <w:r>
              <w:rPr>
                <w:sz w:val="20"/>
                <w:szCs w:val="20"/>
              </w:rPr>
              <w:t xml:space="preserve">16.957.581</w:t>
            </w:r>
          </w:p>
        </w:tc>
        <w:tc>
          <w:tcPr>
            <w:tcW w:type="dxa" w:w="4313"/>
            <w:vAlign w:val="center"/>
          </w:tcPr>
          <w:p>
            <w:pPr>
              <w:spacing w:before="20" w:after="20" w:line="260" w:lineRule="auto"/>
              <w:ind w:firstLine="0"/>
              <w:jc w:val="left"/>
            </w:pPr>
            <w:r>
              <w:rPr>
                <w:sz w:val="20"/>
                <w:szCs w:val="20"/>
              </w:rPr>
              <w:t xml:space="preserve">Tổng các phân vị theo ngày</w:t>
            </w:r>
          </w:p>
        </w:tc>
      </w:tr>
      <w:tr>
        <w:trPr>
          <w:cantSplit/>
        </w:trPr>
        <w:tc>
          <w:tcPr>
            <w:tcW w:type="dxa" w:w="2998"/>
            <w:vAlign w:val="center"/>
          </w:tcPr>
          <w:p>
            <w:pPr>
              <w:spacing w:before="20" w:after="20" w:line="260" w:lineRule="auto"/>
              <w:ind w:firstLine="0"/>
              <w:jc w:val="left"/>
            </w:pPr>
            <w:r>
              <w:rPr>
                <w:sz w:val="20"/>
                <w:szCs w:val="20"/>
              </w:rPr>
              <w:t xml:space="preserve">Tổng vị thế tồn kho giả định</w:t>
            </w:r>
          </w:p>
        </w:tc>
        <w:tc>
          <w:tcPr>
            <w:tcW w:type="dxa" w:w="1760"/>
            <w:vAlign w:val="center"/>
          </w:tcPr>
          <w:p>
            <w:pPr>
              <w:spacing w:before="20" w:after="20" w:line="260" w:lineRule="auto"/>
              <w:ind w:firstLine="0"/>
              <w:jc w:val="center"/>
            </w:pPr>
            <w:r>
              <w:rPr>
                <w:sz w:val="20"/>
                <w:szCs w:val="20"/>
              </w:rPr>
              <w:t xml:space="preserve">11.006.971</w:t>
            </w:r>
          </w:p>
        </w:tc>
        <w:tc>
          <w:tcPr>
            <w:tcW w:type="dxa" w:w="4313"/>
            <w:vAlign w:val="center"/>
          </w:tcPr>
          <w:p>
            <w:pPr>
              <w:spacing w:before="20" w:after="20" w:line="260" w:lineRule="auto"/>
              <w:ind w:firstLine="0"/>
              <w:jc w:val="left"/>
            </w:pPr>
            <w:r>
              <w:rPr>
                <w:sz w:val="20"/>
                <w:szCs w:val="20"/>
              </w:rPr>
              <w:t xml:space="preserve">0,8 × tổng P50</w:t>
            </w:r>
          </w:p>
        </w:tc>
      </w:tr>
      <w:tr>
        <w:trPr>
          <w:cantSplit/>
        </w:trPr>
        <w:tc>
          <w:tcPr>
            <w:tcW w:type="dxa" w:w="2998"/>
            <w:vAlign w:val="center"/>
          </w:tcPr>
          <w:p>
            <w:pPr>
              <w:spacing w:before="20" w:after="20" w:line="260" w:lineRule="auto"/>
              <w:ind w:firstLine="0"/>
              <w:jc w:val="left"/>
            </w:pPr>
            <w:r>
              <w:rPr>
                <w:sz w:val="20"/>
                <w:szCs w:val="20"/>
              </w:rPr>
              <w:t xml:space="preserve">Tổng tồn kho an toàn đại diện</w:t>
            </w:r>
          </w:p>
        </w:tc>
        <w:tc>
          <w:tcPr>
            <w:tcW w:type="dxa" w:w="1760"/>
            <w:vAlign w:val="center"/>
          </w:tcPr>
          <w:p>
            <w:pPr>
              <w:spacing w:before="20" w:after="20" w:line="260" w:lineRule="auto"/>
              <w:ind w:firstLine="0"/>
              <w:jc w:val="center"/>
            </w:pPr>
            <w:r>
              <w:rPr>
                <w:sz w:val="20"/>
                <w:szCs w:val="20"/>
              </w:rPr>
              <w:t xml:space="preserve">3.198.867</w:t>
            </w:r>
          </w:p>
        </w:tc>
        <w:tc>
          <w:tcPr>
            <w:tcW w:type="dxa" w:w="4313"/>
            <w:vAlign w:val="center"/>
          </w:tcPr>
          <w:p>
            <w:pPr>
              <w:spacing w:before="20" w:after="20" w:line="260" w:lineRule="auto"/>
              <w:ind w:firstLine="0"/>
              <w:jc w:val="left"/>
            </w:pPr>
            <w:r>
              <w:rPr>
                <w:sz w:val="20"/>
                <w:szCs w:val="20"/>
              </w:rPr>
              <w:t xml:space="preserve">Thay đổi theo chuỗi: từ 64,00 đến 12.135,64; trung vị 347,06</w:t>
            </w:r>
          </w:p>
        </w:tc>
      </w:tr>
      <w:tr>
        <w:trPr>
          <w:cantSplit/>
        </w:trPr>
        <w:tc>
          <w:tcPr>
            <w:tcW w:type="dxa" w:w="2998"/>
            <w:vAlign w:val="center"/>
          </w:tcPr>
          <w:p>
            <w:pPr>
              <w:spacing w:before="20" w:after="20" w:line="260" w:lineRule="auto"/>
              <w:ind w:firstLine="0"/>
              <w:jc w:val="left"/>
            </w:pPr>
            <w:r>
              <w:rPr>
                <w:sz w:val="20"/>
                <w:szCs w:val="20"/>
              </w:rPr>
              <w:t xml:space="preserve">Tổng lượng bổ sung gợi ý</w:t>
            </w:r>
          </w:p>
        </w:tc>
        <w:tc>
          <w:tcPr>
            <w:tcW w:type="dxa" w:w="1760"/>
            <w:vAlign w:val="center"/>
          </w:tcPr>
          <w:p>
            <w:pPr>
              <w:spacing w:before="20" w:after="20" w:line="260" w:lineRule="auto"/>
              <w:ind w:firstLine="0"/>
              <w:jc w:val="center"/>
            </w:pPr>
            <w:r>
              <w:rPr>
                <w:sz w:val="20"/>
                <w:szCs w:val="20"/>
              </w:rPr>
              <w:t xml:space="preserve">5.950.610</w:t>
            </w:r>
          </w:p>
        </w:tc>
        <w:tc>
          <w:tcPr>
            <w:tcW w:type="dxa" w:w="4313"/>
            <w:vAlign w:val="center"/>
          </w:tcPr>
          <w:p>
            <w:pPr>
              <w:spacing w:before="20" w:after="20" w:line="260" w:lineRule="auto"/>
              <w:ind w:firstLine="0"/>
              <w:jc w:val="left"/>
            </w:pPr>
            <w:r>
              <w:rPr>
                <w:sz w:val="20"/>
                <w:szCs w:val="20"/>
              </w:rPr>
              <w:t xml:space="preserve">P90 − 0,8 × P50; trong đó 0,2 × P50 = 2.751.743 (46,24%)</w:t>
            </w:r>
          </w:p>
        </w:tc>
      </w:tr>
    </w:tbl>
    <w:p>
      <w:pPr>
        <w:spacing w:before="40" w:after="160"/>
        <w:ind w:firstLine="0"/>
      </w:pPr>
      <w:r>
        <w:rPr>
          <w:i/>
          <w:sz w:val="22"/>
          <w:szCs w:val="22"/>
        </w:rPr>
        <w:t xml:space="preserve">Nguồn: inventory_assumptions.csv và inventory_recommendations.csv (outputs/07_inventory_decision). Ghi chú của tệp giả định: chỉ là kịch bản, không có dữ liệu tồn kho và thời gian cung ứng thực.</w:t>
      </w:r>
    </w:p>
    <w:p>
      <w:pPr>
        <w:keepLines w:val="0"/>
        <w:spacing w:after="120"/>
        <w:ind w:firstLine="567"/>
      </w:pPr>
      <w:r>
        <w:t xml:space="preserve">Hai đặc điểm của Bảng 4.15 cần được đọc cùng nhau. Thứ nhất, nhờ lớp xác suất Mondrian, tồn kho an toàn P90 − P50 thay đổi theo chuỗi, từ 64,00 đến 12.135,64 với trung vị 347,06; nếu dùng một bộ phân vị phần dư chung cho mọi chuỗi, đại lượng này sẽ gần như bằng nhau bất kể quy mô. Chuỗi lớn nhận tồn kho an toàn lớn hơn hẳn chuỗi gần như không bán được, đúng với việc biên độ sai số tuyệt đối tăng theo quy mô. Thứ hai, trong tổng lượng bổ sung 5.950.610, phần do giả định vị thế (0,2 × tổng P50) là 2.751.743, chiếm 46,24%, phần còn lại đến từ tồn kho an toàn. Tỷ trọng này đủ lớn để thay đổi kết luận nếu vị thế thực khác xa giả định: gần một nửa lượng bổ sung toàn hệ thống không đến từ thông tin bất định của mô hình. Đây là lý do luận văn coi các đại lượng này là mô phỏng minh họa cách bất định đi vào quyết định, không phải số lượng đặt hàng.</w:t>
      </w:r>
    </w:p>
    <w:p>
      <w:pPr>
        <w:pStyle w:val="Heading3"/>
        <w:keepNext/>
      </w:pPr>
      <w:r>
        <w:t xml:space="preserve">4.11.2. Cơ chế gán nhãn rủi ro và phân bố HIGH/MEDIUM/LOW</w:t>
      </w:r>
    </w:p>
    <w:p>
      <w:pPr>
        <w:keepLines w:val="0"/>
        <w:spacing w:after="120"/>
        <w:ind w:firstLine="567"/>
      </w:pPr>
      <w:r>
        <w:t xml:space="preserve">Nhãn rủi ro tồn kho được gán theo mức bất định tương đối r của tổng 16 ngày (phương trình (4.10)): LOW khi r ≤ 0,35; MEDIUM khi 0,35 &lt; r ≤ 0,75; HIGH khi r &gt; 0,75. Nhãn vì vậy không so sánh tồn kho thực với một mục tiêu nào, mà chỉ đo độ rộng khoảng dự báo so với quy mô dự báo. Tử số, tức độ rộng P90 − P10, tăng theo quy mô qua các nhóm Mondrian (mục 4.9), nên r chỉ trung lập với quy mô khi độ rộng tăng cùng tỷ lệ với P50. Nếu độ rộng tăng chậm hơn quy mô, r sẽ giảm theo P50.</w:t>
      </w:r>
    </w:p>
    <w:p>
      <w:pPr>
        <w:tabs>
          <w:tab w:val="center" w:pos="4535"/>
          <w:tab w:val="right" w:pos="9071"/>
        </w:tabs>
        <w:spacing w:before="60" w:after="60"/>
        <w:ind w:firstLine="0"/>
      </w:pPr>
      <w:r>
        <w:tab/>
      </w:r>
      <m:oMath xmlns:a="http://schemas.openxmlformats.org/drawingml/2006/main" xmlns:pic="http://schemas.openxmlformats.org/drawingml/2006/picture">
        <m:sSub>
          <m:e>
            <m:r>
              <m:t>r</m:t>
            </m:r>
          </m:e>
          <m:sub>
            <m:r>
              <m:t>i</m:t>
            </m:r>
          </m:sub>
        </m:sSub>
        <m:r>
          <m:rPr>
            <m:sty m:val="p"/>
          </m:rPr>
          <m:t>=</m:t>
        </m:r>
        <m:f>
          <m:fPr>
            <m:type m:val="bar"/>
          </m:fPr>
          <m:num>
            <m:r>
              <m:t>P</m:t>
            </m:r>
            <m:sSub>
              <m:e>
                <m:r>
                  <m:t>90</m:t>
                </m:r>
              </m:e>
              <m:sub>
                <m:r>
                  <m:t>i</m:t>
                </m:r>
              </m:sub>
            </m:sSub>
            <m:r>
              <m:rPr>
                <m:sty m:val="p"/>
              </m:rPr>
              <m:t>−</m:t>
            </m:r>
            <m:r>
              <m:t>P</m:t>
            </m:r>
            <m:sSub>
              <m:e>
                <m:r>
                  <m:t>10</m:t>
                </m:r>
              </m:e>
              <m:sub>
                <m:r>
                  <m:t>i</m:t>
                </m:r>
              </m:sub>
            </m:sSub>
          </m:num>
          <m:den>
            <m:r>
              <m:t>P</m:t>
            </m:r>
            <m:sSub>
              <m:e>
                <m:r>
                  <m:t>50</m:t>
                </m:r>
              </m:e>
              <m:sub>
                <m:r>
                  <m:t>i</m:t>
                </m:r>
              </m:sub>
            </m:sSub>
            <m:r>
              <m:rPr>
                <m:sty m:val="p"/>
              </m:rPr>
              <m:t>+</m:t>
            </m:r>
            <m:r>
              <m:t>1</m:t>
            </m:r>
          </m:den>
        </m:f>
      </m:oMath>
      <w:r>
        <w:tab/>
        <w:t>(4.10)</w:t>
      </w:r>
    </w:p>
    <w:p>
      <w:pPr>
        <w:keepLines w:val="0"/>
        <w:spacing w:after="120"/>
        <w:ind w:firstLine="567"/>
      </w:pPr>
      <w:r>
        <w:t xml:space="preserve">Bảng 4.16 cho thấy điều đó vẫn xảy ra. Hệ số tương quan hạng Spearman giữa P50 và r bằng −0,970, nghĩa là nhãn gần như là hàm đơn điệu giảm theo quy mô dự báo, tuy không tuyệt đối. Nguyên nhân nằm ở cấu trúc nhóm: độ rộng của nhóm cao nhất bằng 1.175,96 cho mọi dự báo điểm trong đoạn từ 1.226,78 đến 14.739,35 đơn vị mỗi ngày, nên trong đoạn này r vẫn giảm khi P50 tăng. Miền P50 của ba nhãn chồng lấn rộng: HIGH trải từ 0,00 đến 22.172,71, MEDIUM từ 904,17 đến 52.973,69 và LOW từ 12.717,01 đến 180.456,30. Tính lại từ inventory_recommendations.csv, 163 chuỗi MEDIUM có P50 không nhỏ hơn P50 nhỏ nhất của nhóm LOW, và 14 chuỗi LOW có P50 không lớn hơn P50 lớn nhất của nhóm HIGH. Hình 4.18 biểu diễn số chuỗi theo nhãn: HIGH 1.064 chuỗi (59,71%), MEDIUM 634 (35,58%) và LOW chỉ 84 (4,71%).</w:t>
      </w:r>
    </w:p>
    <w:p>
      <w:pPr>
        <w:keepNext/>
        <w:spacing w:before="120" w:after="60"/>
        <w:ind w:firstLine="0"/>
        <w:jc w:val="center"/>
      </w:pPr>
      <w:r>
        <w:t xml:space="preserve">Bảng 4.16. Phân bố nhãn rủi ro tồn kho, ngưỡng r, miền P50 tương ứng, tỷ trọng quy mô và độ bao phủ theo nhãn</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823"/>
        <w:gridCol w:w="1128"/>
        <w:gridCol w:w="823"/>
        <w:gridCol w:w="823"/>
        <w:gridCol w:w="1366"/>
        <w:gridCol w:w="1201"/>
        <w:gridCol w:w="1334"/>
        <w:gridCol w:w="1573"/>
      </w:tblGrid>
      <w:tr>
        <w:trPr>
          <w:tblHeader/>
          <w:cantSplit/>
        </w:trPr>
        <w:tc>
          <w:tcPr>
            <w:tcW w:type="dxa" w:w="823"/>
            <w:shd w:val="clear" w:color="auto" w:fill="D9E2F3"/>
            <w:vAlign w:val="center"/>
          </w:tcPr>
          <w:p>
            <w:pPr>
              <w:spacing w:before="20" w:after="20" w:line="260" w:lineRule="auto"/>
              <w:ind w:firstLine="0"/>
              <w:jc w:val="center"/>
            </w:pPr>
            <w:r>
              <w:rPr>
                <w:b/>
                <w:sz w:val="20"/>
                <w:szCs w:val="20"/>
              </w:rPr>
              <w:t xml:space="preserve">Nhãn</w:t>
            </w:r>
          </w:p>
        </w:tc>
        <w:tc>
          <w:tcPr>
            <w:tcW w:type="dxa" w:w="1128"/>
            <w:shd w:val="clear" w:color="auto" w:fill="D9E2F3"/>
            <w:vAlign w:val="center"/>
          </w:tcPr>
          <w:p>
            <w:pPr>
              <w:spacing w:before="20" w:after="20" w:line="260" w:lineRule="auto"/>
              <w:ind w:firstLine="0"/>
              <w:jc w:val="center"/>
            </w:pPr>
            <w:r>
              <w:rPr>
                <w:b/>
                <w:sz w:val="20"/>
                <w:szCs w:val="20"/>
              </w:rPr>
              <w:t xml:space="preserve">Quy tắc r</w:t>
            </w:r>
          </w:p>
        </w:tc>
        <w:tc>
          <w:tcPr>
            <w:tcW w:type="dxa" w:w="823"/>
            <w:shd w:val="clear" w:color="auto" w:fill="D9E2F3"/>
            <w:vAlign w:val="center"/>
          </w:tcPr>
          <w:p>
            <w:pPr>
              <w:spacing w:before="20" w:after="20" w:line="260" w:lineRule="auto"/>
              <w:ind w:firstLine="0"/>
              <w:jc w:val="center"/>
            </w:pPr>
            <w:r>
              <w:rPr>
                <w:b/>
                <w:sz w:val="20"/>
                <w:szCs w:val="20"/>
              </w:rPr>
              <w:t xml:space="preserve">Số chuỗi</w:t>
            </w:r>
          </w:p>
        </w:tc>
        <w:tc>
          <w:tcPr>
            <w:tcW w:type="dxa" w:w="823"/>
            <w:shd w:val="clear" w:color="auto" w:fill="D9E2F3"/>
            <w:vAlign w:val="center"/>
          </w:tcPr>
          <w:p>
            <w:pPr>
              <w:spacing w:before="20" w:after="20" w:line="260" w:lineRule="auto"/>
              <w:ind w:firstLine="0"/>
              <w:jc w:val="center"/>
            </w:pPr>
            <w:r>
              <w:rPr>
                <w:b/>
                <w:sz w:val="20"/>
                <w:szCs w:val="20"/>
              </w:rPr>
              <w:t xml:space="preserve">Tỷ lệ</w:t>
            </w:r>
          </w:p>
        </w:tc>
        <w:tc>
          <w:tcPr>
            <w:tcW w:type="dxa" w:w="1366"/>
            <w:shd w:val="clear" w:color="auto" w:fill="D9E2F3"/>
            <w:vAlign w:val="center"/>
          </w:tcPr>
          <w:p>
            <w:pPr>
              <w:spacing w:before="20" w:after="20" w:line="260" w:lineRule="auto"/>
              <w:ind w:firstLine="0"/>
              <w:jc w:val="center"/>
            </w:pPr>
            <w:r>
              <w:rPr>
                <w:b/>
                <w:sz w:val="20"/>
                <w:szCs w:val="20"/>
              </w:rPr>
              <w:t xml:space="preserve">Miền P50 (16 ngày)</w:t>
            </w:r>
          </w:p>
        </w:tc>
        <w:tc>
          <w:tcPr>
            <w:tcW w:type="dxa" w:w="1201"/>
            <w:shd w:val="clear" w:color="auto" w:fill="D9E2F3"/>
            <w:vAlign w:val="center"/>
          </w:tcPr>
          <w:p>
            <w:pPr>
              <w:spacing w:before="20" w:after="20" w:line="260" w:lineRule="auto"/>
              <w:ind w:firstLine="0"/>
              <w:jc w:val="center"/>
            </w:pPr>
            <w:r>
              <w:rPr>
                <w:b/>
                <w:sz w:val="20"/>
                <w:szCs w:val="20"/>
              </w:rPr>
              <w:t xml:space="preserve">Tỷ trọng tổng P50</w:t>
            </w:r>
          </w:p>
        </w:tc>
        <w:tc>
          <w:tcPr>
            <w:tcW w:type="dxa" w:w="1334"/>
            <w:shd w:val="clear" w:color="auto" w:fill="D9E2F3"/>
            <w:vAlign w:val="center"/>
          </w:tcPr>
          <w:p>
            <w:pPr>
              <w:spacing w:before="20" w:after="20" w:line="260" w:lineRule="auto"/>
              <w:ind w:firstLine="0"/>
              <w:jc w:val="center"/>
            </w:pPr>
            <w:r>
              <w:rPr>
                <w:b/>
                <w:sz w:val="20"/>
                <w:szCs w:val="20"/>
              </w:rPr>
              <w:t xml:space="preserve">Tỷ trọng tổng thực tế</w:t>
            </w:r>
          </w:p>
        </w:tc>
        <w:tc>
          <w:tcPr>
            <w:tcW w:type="dxa" w:w="1573"/>
            <w:shd w:val="clear" w:color="auto" w:fill="D9E2F3"/>
            <w:vAlign w:val="center"/>
          </w:tcPr>
          <w:p>
            <w:pPr>
              <w:spacing w:before="20" w:after="20" w:line="260" w:lineRule="auto"/>
              <w:ind w:firstLine="0"/>
              <w:jc w:val="center"/>
            </w:pPr>
            <w:r>
              <w:rPr>
                <w:b/>
                <w:sz w:val="20"/>
                <w:szCs w:val="20"/>
              </w:rPr>
              <w:t xml:space="preserve">Bao phủ P10–P90 TB theo chuỗi</w:t>
            </w:r>
          </w:p>
        </w:tc>
      </w:tr>
      <w:tr>
        <w:trPr>
          <w:cantSplit/>
        </w:trPr>
        <w:tc>
          <w:tcPr>
            <w:tcW w:type="dxa" w:w="823"/>
            <w:vAlign w:val="center"/>
          </w:tcPr>
          <w:p>
            <w:pPr>
              <w:spacing w:before="20" w:after="20" w:line="260" w:lineRule="auto"/>
              <w:ind w:firstLine="0"/>
              <w:jc w:val="left"/>
            </w:pPr>
            <w:r>
              <w:rPr>
                <w:sz w:val="20"/>
                <w:szCs w:val="20"/>
              </w:rPr>
              <w:t xml:space="preserve">HIGH</w:t>
            </w:r>
          </w:p>
        </w:tc>
        <w:tc>
          <w:tcPr>
            <w:tcW w:type="dxa" w:w="1128"/>
            <w:vAlign w:val="center"/>
          </w:tcPr>
          <w:p>
            <w:pPr>
              <w:spacing w:before="20" w:after="20" w:line="260" w:lineRule="auto"/>
              <w:ind w:firstLine="0"/>
              <w:jc w:val="left"/>
            </w:pPr>
            <w:r>
              <w:rPr>
                <w:sz w:val="20"/>
                <w:szCs w:val="20"/>
              </w:rPr>
              <w:t xml:space="preserve">r &gt; 0,75</w:t>
            </w:r>
          </w:p>
        </w:tc>
        <w:tc>
          <w:tcPr>
            <w:tcW w:type="dxa" w:w="823"/>
            <w:vAlign w:val="center"/>
          </w:tcPr>
          <w:p>
            <w:pPr>
              <w:spacing w:before="20" w:after="20" w:line="260" w:lineRule="auto"/>
              <w:ind w:firstLine="0"/>
              <w:jc w:val="center"/>
            </w:pPr>
            <w:r>
              <w:rPr>
                <w:sz w:val="20"/>
                <w:szCs w:val="20"/>
              </w:rPr>
              <w:t xml:space="preserve">1.064</w:t>
            </w:r>
          </w:p>
        </w:tc>
        <w:tc>
          <w:tcPr>
            <w:tcW w:type="dxa" w:w="823"/>
            <w:vAlign w:val="center"/>
          </w:tcPr>
          <w:p>
            <w:pPr>
              <w:spacing w:before="20" w:after="20" w:line="260" w:lineRule="auto"/>
              <w:ind w:firstLine="0"/>
              <w:jc w:val="center"/>
            </w:pPr>
            <w:r>
              <w:rPr>
                <w:sz w:val="20"/>
                <w:szCs w:val="20"/>
              </w:rPr>
              <w:t xml:space="preserve">59,71%</w:t>
            </w:r>
          </w:p>
        </w:tc>
        <w:tc>
          <w:tcPr>
            <w:tcW w:type="dxa" w:w="1366"/>
            <w:vAlign w:val="center"/>
          </w:tcPr>
          <w:p>
            <w:pPr>
              <w:spacing w:before="20" w:after="20" w:line="260" w:lineRule="auto"/>
              <w:ind w:firstLine="0"/>
              <w:jc w:val="left"/>
            </w:pPr>
            <w:r>
              <w:rPr>
                <w:sz w:val="20"/>
                <w:szCs w:val="20"/>
              </w:rPr>
              <w:t xml:space="preserve">0,00 – 22.172,71</w:t>
            </w:r>
          </w:p>
        </w:tc>
        <w:tc>
          <w:tcPr>
            <w:tcW w:type="dxa" w:w="1201"/>
            <w:vAlign w:val="center"/>
          </w:tcPr>
          <w:p>
            <w:pPr>
              <w:spacing w:before="20" w:after="20" w:line="260" w:lineRule="auto"/>
              <w:ind w:firstLine="0"/>
              <w:jc w:val="center"/>
            </w:pPr>
            <w:r>
              <w:rPr>
                <w:sz w:val="20"/>
                <w:szCs w:val="20"/>
              </w:rPr>
              <w:t xml:space="preserve">2,02%</w:t>
            </w:r>
          </w:p>
        </w:tc>
        <w:tc>
          <w:tcPr>
            <w:tcW w:type="dxa" w:w="1334"/>
            <w:vAlign w:val="center"/>
          </w:tcPr>
          <w:p>
            <w:pPr>
              <w:spacing w:before="20" w:after="20" w:line="260" w:lineRule="auto"/>
              <w:ind w:firstLine="0"/>
              <w:jc w:val="center"/>
            </w:pPr>
            <w:r>
              <w:rPr>
                <w:sz w:val="20"/>
                <w:szCs w:val="20"/>
              </w:rPr>
              <w:t xml:space="preserve">2,27%</w:t>
            </w:r>
          </w:p>
        </w:tc>
        <w:tc>
          <w:tcPr>
            <w:tcW w:type="dxa" w:w="1573"/>
            <w:vAlign w:val="center"/>
          </w:tcPr>
          <w:p>
            <w:pPr>
              <w:spacing w:before="20" w:after="20" w:line="260" w:lineRule="auto"/>
              <w:ind w:firstLine="0"/>
              <w:jc w:val="center"/>
            </w:pPr>
            <w:r>
              <w:rPr>
                <w:sz w:val="20"/>
                <w:szCs w:val="20"/>
              </w:rPr>
              <w:t xml:space="preserve">76,32%</w:t>
            </w:r>
          </w:p>
        </w:tc>
      </w:tr>
      <w:tr>
        <w:trPr>
          <w:cantSplit/>
        </w:trPr>
        <w:tc>
          <w:tcPr>
            <w:tcW w:type="dxa" w:w="823"/>
            <w:vAlign w:val="center"/>
          </w:tcPr>
          <w:p>
            <w:pPr>
              <w:spacing w:before="20" w:after="20" w:line="260" w:lineRule="auto"/>
              <w:ind w:firstLine="0"/>
              <w:jc w:val="left"/>
            </w:pPr>
            <w:r>
              <w:rPr>
                <w:sz w:val="20"/>
                <w:szCs w:val="20"/>
              </w:rPr>
              <w:t xml:space="preserve">MEDIUM</w:t>
            </w:r>
          </w:p>
        </w:tc>
        <w:tc>
          <w:tcPr>
            <w:tcW w:type="dxa" w:w="1128"/>
            <w:vAlign w:val="center"/>
          </w:tcPr>
          <w:p>
            <w:pPr>
              <w:spacing w:before="20" w:after="20" w:line="260" w:lineRule="auto"/>
              <w:ind w:firstLine="0"/>
              <w:jc w:val="left"/>
            </w:pPr>
            <w:r>
              <w:rPr>
                <w:sz w:val="20"/>
                <w:szCs w:val="20"/>
              </w:rPr>
              <w:t xml:space="preserve">0,35 &lt; r ≤ 0,75</w:t>
            </w:r>
          </w:p>
        </w:tc>
        <w:tc>
          <w:tcPr>
            <w:tcW w:type="dxa" w:w="823"/>
            <w:vAlign w:val="center"/>
          </w:tcPr>
          <w:p>
            <w:pPr>
              <w:spacing w:before="20" w:after="20" w:line="260" w:lineRule="auto"/>
              <w:ind w:firstLine="0"/>
              <w:jc w:val="center"/>
            </w:pPr>
            <w:r>
              <w:rPr>
                <w:sz w:val="20"/>
                <w:szCs w:val="20"/>
              </w:rPr>
              <w:t xml:space="preserve">634</w:t>
            </w:r>
          </w:p>
        </w:tc>
        <w:tc>
          <w:tcPr>
            <w:tcW w:type="dxa" w:w="823"/>
            <w:vAlign w:val="center"/>
          </w:tcPr>
          <w:p>
            <w:pPr>
              <w:spacing w:before="20" w:after="20" w:line="260" w:lineRule="auto"/>
              <w:ind w:firstLine="0"/>
              <w:jc w:val="center"/>
            </w:pPr>
            <w:r>
              <w:rPr>
                <w:sz w:val="20"/>
                <w:szCs w:val="20"/>
              </w:rPr>
              <w:t xml:space="preserve">35,58%</w:t>
            </w:r>
          </w:p>
        </w:tc>
        <w:tc>
          <w:tcPr>
            <w:tcW w:type="dxa" w:w="1366"/>
            <w:vAlign w:val="center"/>
          </w:tcPr>
          <w:p>
            <w:pPr>
              <w:spacing w:before="20" w:after="20" w:line="260" w:lineRule="auto"/>
              <w:ind w:firstLine="0"/>
              <w:jc w:val="left"/>
            </w:pPr>
            <w:r>
              <w:rPr>
                <w:sz w:val="20"/>
                <w:szCs w:val="20"/>
              </w:rPr>
              <w:t xml:space="preserve">904,17 – 52.973,69</w:t>
            </w:r>
          </w:p>
        </w:tc>
        <w:tc>
          <w:tcPr>
            <w:tcW w:type="dxa" w:w="1201"/>
            <w:vAlign w:val="center"/>
          </w:tcPr>
          <w:p>
            <w:pPr>
              <w:spacing w:before="20" w:after="20" w:line="260" w:lineRule="auto"/>
              <w:ind w:firstLine="0"/>
              <w:jc w:val="center"/>
            </w:pPr>
            <w:r>
              <w:rPr>
                <w:sz w:val="20"/>
                <w:szCs w:val="20"/>
              </w:rPr>
              <w:t xml:space="preserve">50,26%</w:t>
            </w:r>
          </w:p>
        </w:tc>
        <w:tc>
          <w:tcPr>
            <w:tcW w:type="dxa" w:w="1334"/>
            <w:vAlign w:val="center"/>
          </w:tcPr>
          <w:p>
            <w:pPr>
              <w:spacing w:before="20" w:after="20" w:line="260" w:lineRule="auto"/>
              <w:ind w:firstLine="0"/>
              <w:jc w:val="center"/>
            </w:pPr>
            <w:r>
              <w:rPr>
                <w:sz w:val="20"/>
                <w:szCs w:val="20"/>
              </w:rPr>
              <w:t xml:space="preserve">50,20%</w:t>
            </w:r>
          </w:p>
        </w:tc>
        <w:tc>
          <w:tcPr>
            <w:tcW w:type="dxa" w:w="1573"/>
            <w:vAlign w:val="center"/>
          </w:tcPr>
          <w:p>
            <w:pPr>
              <w:spacing w:before="20" w:after="20" w:line="260" w:lineRule="auto"/>
              <w:ind w:firstLine="0"/>
              <w:jc w:val="center"/>
            </w:pPr>
            <w:r>
              <w:rPr>
                <w:sz w:val="20"/>
                <w:szCs w:val="20"/>
              </w:rPr>
              <w:t xml:space="preserve">76,12%</w:t>
            </w:r>
          </w:p>
        </w:tc>
      </w:tr>
      <w:tr>
        <w:trPr>
          <w:cantSplit/>
        </w:trPr>
        <w:tc>
          <w:tcPr>
            <w:tcW w:type="dxa" w:w="823"/>
            <w:vAlign w:val="center"/>
          </w:tcPr>
          <w:p>
            <w:pPr>
              <w:spacing w:before="20" w:after="20" w:line="260" w:lineRule="auto"/>
              <w:ind w:firstLine="0"/>
              <w:jc w:val="left"/>
            </w:pPr>
            <w:r>
              <w:rPr>
                <w:sz w:val="20"/>
                <w:szCs w:val="20"/>
              </w:rPr>
              <w:t xml:space="preserve">LOW</w:t>
            </w:r>
          </w:p>
        </w:tc>
        <w:tc>
          <w:tcPr>
            <w:tcW w:type="dxa" w:w="1128"/>
            <w:vAlign w:val="center"/>
          </w:tcPr>
          <w:p>
            <w:pPr>
              <w:spacing w:before="20" w:after="20" w:line="260" w:lineRule="auto"/>
              <w:ind w:firstLine="0"/>
              <w:jc w:val="left"/>
            </w:pPr>
            <w:r>
              <w:rPr>
                <w:sz w:val="20"/>
                <w:szCs w:val="20"/>
              </w:rPr>
              <w:t xml:space="preserve">r ≤ 0,35</w:t>
            </w:r>
          </w:p>
        </w:tc>
        <w:tc>
          <w:tcPr>
            <w:tcW w:type="dxa" w:w="823"/>
            <w:vAlign w:val="center"/>
          </w:tcPr>
          <w:p>
            <w:pPr>
              <w:spacing w:before="20" w:after="20" w:line="260" w:lineRule="auto"/>
              <w:ind w:firstLine="0"/>
              <w:jc w:val="center"/>
            </w:pPr>
            <w:r>
              <w:rPr>
                <w:sz w:val="20"/>
                <w:szCs w:val="20"/>
              </w:rPr>
              <w:t xml:space="preserve">84</w:t>
            </w:r>
          </w:p>
        </w:tc>
        <w:tc>
          <w:tcPr>
            <w:tcW w:type="dxa" w:w="823"/>
            <w:vAlign w:val="center"/>
          </w:tcPr>
          <w:p>
            <w:pPr>
              <w:spacing w:before="20" w:after="20" w:line="260" w:lineRule="auto"/>
              <w:ind w:firstLine="0"/>
              <w:jc w:val="center"/>
            </w:pPr>
            <w:r>
              <w:rPr>
                <w:sz w:val="20"/>
                <w:szCs w:val="20"/>
              </w:rPr>
              <w:t xml:space="preserve">4,71%</w:t>
            </w:r>
          </w:p>
        </w:tc>
        <w:tc>
          <w:tcPr>
            <w:tcW w:type="dxa" w:w="1366"/>
            <w:vAlign w:val="center"/>
          </w:tcPr>
          <w:p>
            <w:pPr>
              <w:spacing w:before="20" w:after="20" w:line="260" w:lineRule="auto"/>
              <w:ind w:firstLine="0"/>
              <w:jc w:val="left"/>
            </w:pPr>
            <w:r>
              <w:rPr>
                <w:sz w:val="20"/>
                <w:szCs w:val="20"/>
              </w:rPr>
              <w:t xml:space="preserve">12.717,01 – 180.456,30</w:t>
            </w:r>
          </w:p>
        </w:tc>
        <w:tc>
          <w:tcPr>
            <w:tcW w:type="dxa" w:w="1201"/>
            <w:vAlign w:val="center"/>
          </w:tcPr>
          <w:p>
            <w:pPr>
              <w:spacing w:before="20" w:after="20" w:line="260" w:lineRule="auto"/>
              <w:ind w:firstLine="0"/>
              <w:jc w:val="center"/>
            </w:pPr>
            <w:r>
              <w:rPr>
                <w:sz w:val="20"/>
                <w:szCs w:val="20"/>
              </w:rPr>
              <w:t xml:space="preserve">47,72%</w:t>
            </w:r>
          </w:p>
        </w:tc>
        <w:tc>
          <w:tcPr>
            <w:tcW w:type="dxa" w:w="1334"/>
            <w:vAlign w:val="center"/>
          </w:tcPr>
          <w:p>
            <w:pPr>
              <w:spacing w:before="20" w:after="20" w:line="260" w:lineRule="auto"/>
              <w:ind w:firstLine="0"/>
              <w:jc w:val="center"/>
            </w:pPr>
            <w:r>
              <w:rPr>
                <w:sz w:val="20"/>
                <w:szCs w:val="20"/>
              </w:rPr>
              <w:t xml:space="preserve">47,53%</w:t>
            </w:r>
          </w:p>
        </w:tc>
        <w:tc>
          <w:tcPr>
            <w:tcW w:type="dxa" w:w="1573"/>
            <w:vAlign w:val="center"/>
          </w:tcPr>
          <w:p>
            <w:pPr>
              <w:spacing w:before="20" w:after="20" w:line="260" w:lineRule="auto"/>
              <w:ind w:firstLine="0"/>
              <w:jc w:val="center"/>
            </w:pPr>
            <w:r>
              <w:rPr>
                <w:sz w:val="20"/>
                <w:szCs w:val="20"/>
              </w:rPr>
              <w:t xml:space="preserve">58,18%</w:t>
            </w:r>
          </w:p>
        </w:tc>
      </w:tr>
    </w:tbl>
    <w:p>
      <w:pPr>
        <w:spacing w:before="40" w:after="160"/>
        <w:ind w:firstLine="0"/>
      </w:pPr>
      <w:r>
        <w:rPr>
          <w:i/>
          <w:sz w:val="22"/>
          <w:szCs w:val="22"/>
        </w:rPr>
        <w:t xml:space="preserve">Nguồn: inventory_recommendations.csv (outputs/07_inventory_decision) ghép với sai số theo chuỗi của tập kiểm tra cuối. Spearman(P50, r) = −0,970; trung vị r = 1,201.</w:t>
      </w:r>
    </w:p>
    <w:p>
      <w:pPr>
        <w:jc w:val="center"/>
      </w:pPr>
      <w:r>
        <w:drawing>
          <wp:inline xmlns:a="http://schemas.openxmlformats.org/drawingml/2006/main" xmlns:pic="http://schemas.openxmlformats.org/drawingml/2006/picture">
            <wp:extent cx="5580000" cy="3410000"/>
            <wp:docPr id="5022" name="Picture 5022"/>
            <wp:cNvGraphicFramePr>
              <a:graphicFrameLocks noChangeAspect="1"/>
            </wp:cNvGraphicFramePr>
            <a:graphic>
              <a:graphicData uri="http://schemas.openxmlformats.org/drawingml/2006/picture">
                <pic:pic>
                  <pic:nvPicPr>
                    <pic:cNvPr id="0" name="F23_inventory_risk_1011.png"/>
                    <pic:cNvPicPr/>
                  </pic:nvPicPr>
                  <pic:blipFill>
                    <a:blip r:embed="rId121"/>
                    <a:stretch>
                      <a:fillRect/>
                    </a:stretch>
                  </pic:blipFill>
                  <pic:spPr>
                    <a:xfrm>
                      <a:off x="0" y="0"/>
                      <a:ext cx="5580000" cy="3410000"/>
                    </a:xfrm>
                    <a:prstGeom prst="rect"/>
                  </pic:spPr>
                </pic:pic>
              </a:graphicData>
            </a:graphic>
          </wp:inline>
        </w:drawing>
      </w:r>
    </w:p>
    <w:p>
      <w:pPr>
        <w:keepNext w:val="0"/>
        <w:spacing w:after="160"/>
        <w:ind w:firstLine="0"/>
        <w:jc w:val="center"/>
      </w:pPr>
      <w:r>
        <w:t xml:space="preserve">Hình 4.18. Số chuỗi Store × Family theo nhãn rủi ro tồn kho HIGH, MEDIUM và LOW</w:t>
      </w:r>
    </w:p>
    <w:p>
      <w:pPr>
        <w:spacing w:before="0" w:after="160"/>
        <w:ind w:firstLine="0"/>
        <w:jc w:val="center"/>
      </w:pPr>
      <w:r>
        <w:rPr>
          <w:i/>
          <w:sz w:val="22"/>
          <w:szCs w:val="22"/>
        </w:rPr>
        <w:t xml:space="preserve">Nguồn: REPORT_READY/figures/F23_inventory_risk.png</w:t>
      </w:r>
    </w:p>
    <w:p>
      <w:pPr>
        <w:keepLines w:val="0"/>
        <w:spacing w:after="120"/>
        <w:ind w:firstLine="567"/>
      </w:pPr>
      <w:r>
        <w:t xml:space="preserve">Hệ quả vận hành của phân bố này là nhãn HIGH không đồng nghĩa với rủi ro kinh doanh lớn. 1.064 chuỗi HIGH chỉ chiếm 2,02% tổng P50 và 2,27% tổng doanh số thực tế của 16 ngày; trung vị P50 của nhóm này là 123,88 đơn vị cho cả kỳ. Ngược lại, 84 chuỗi LOW chiếm 47,72% tổng P50 với trung vị 73.346,83. Trung vị r của toàn bộ chuỗi là 1,201, tức chuỗi điển hình có khoảng P10–P90 rộng hơn chính P50 của nó, một đặc điểm của cầu nhỏ và gián đoạn hơn là của bất ổn vận hành. Nhóm MEDIUM chiếm khoảng một nửa tổng P50. Vì vậy, tỷ lệ HIGH gần 60% không phải bằng chứng rằng phần lớn chuỗi đang có nguy cơ thiếu hàng; nó chủ yếu phản ánh số lượng lớn các chuỗi có quy mô nhỏ trong 33 nhóm sản phẩm.</w:t>
      </w:r>
    </w:p>
    <w:p>
      <w:pPr>
        <w:pStyle w:val="Heading3"/>
        <w:keepNext/>
      </w:pPr>
      <w:r>
        <w:t xml:space="preserve">4.11.3. Nhãn rủi ro theo nhóm sản phẩm</w:t>
      </w:r>
    </w:p>
    <w:p>
      <w:pPr>
        <w:keepLines w:val="0"/>
        <w:spacing w:after="120"/>
        <w:ind w:firstLine="567"/>
      </w:pPr>
      <w:r>
        <w:t xml:space="preserve">Bảng 4.17 trình bày phân bố nhãn theo nhóm sản phẩm, kèm tổng doanh số thực tế và độ bao phủ P10–P90 của nhóm lấy từ mục 4.7 và 4.9; các nhóm có nhãn HIGH ở cả 54 cửa hàng được gộp thành một dòng. Mười ba nhóm mang nhãn HIGH ở toàn bộ 54 cửa hàng, gồm các ngành hàng phi thực phẩm hoặc có cầu thấp như AUTOMOTIVE, BABY CARE, BEAUTY, BOOKS, HARDWARE hay HOME APPLIANCES; riêng 13 nhóm này góp 702 trong 1.064 chuỗi HIGH. Ở đầu kia, 84 chuỗi LOW chỉ thuộc sáu nhóm: GROCERY I (36), BEVERAGES (24), PRODUCE (10), CLEANING (8), BREAD/BAKERY (3) và DAIRY (3), đều là những nhóm có tổng doanh số lớn nhất. Các nhóm còn lại có nhãn pha trộn, và mức pha trộn đi theo quy mô: GROCERY II và SCHOOL AND OFFICE SUPPLIES nghiêng về HIGH, còn DELI, HOME CARE, PERSONAL CARE hay POULTRY gần như toàn MEDIUM.</w:t>
      </w:r>
    </w:p>
    <w:p>
      <w:pPr>
        <w:keepNext/>
        <w:spacing w:before="120" w:after="60"/>
        <w:ind w:firstLine="0"/>
        <w:jc w:val="center"/>
      </w:pPr>
      <w:r>
        <w:t xml:space="preserve">Bảng 4.17. Phân bố nhãn rủi ro tồn kho theo nhóm sản phẩm (số cửa hàng HIGH/MEDIUM/LOW trên 54), kèm tổng thực tế 16 ngày và độ bao phủ P10–P90 của nhóm</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519"/>
        <w:gridCol w:w="1244"/>
        <w:gridCol w:w="2057"/>
        <w:gridCol w:w="2251"/>
      </w:tblGrid>
      <w:tr>
        <w:trPr>
          <w:tblHeader/>
          <w:cantSplit/>
        </w:trPr>
        <w:tc>
          <w:tcPr>
            <w:tcW w:type="dxa" w:w="3519"/>
            <w:shd w:val="clear" w:color="auto" w:fill="D9E2F3"/>
            <w:vAlign w:val="center"/>
          </w:tcPr>
          <w:p>
            <w:pPr>
              <w:spacing w:before="20" w:after="20" w:line="260" w:lineRule="auto"/>
              <w:ind w:firstLine="0"/>
              <w:jc w:val="center"/>
            </w:pPr>
            <w:r>
              <w:rPr>
                <w:b/>
                <w:sz w:val="20"/>
                <w:szCs w:val="20"/>
              </w:rPr>
              <w:t xml:space="preserve">Nhóm sản phẩm</w:t>
            </w:r>
          </w:p>
        </w:tc>
        <w:tc>
          <w:tcPr>
            <w:tcW w:type="dxa" w:w="1244"/>
            <w:shd w:val="clear" w:color="auto" w:fill="D9E2F3"/>
            <w:vAlign w:val="center"/>
          </w:tcPr>
          <w:p>
            <w:pPr>
              <w:spacing w:before="20" w:after="20" w:line="260" w:lineRule="auto"/>
              <w:ind w:firstLine="0"/>
              <w:jc w:val="center"/>
            </w:pPr>
            <w:r>
              <w:rPr>
                <w:b/>
                <w:sz w:val="20"/>
                <w:szCs w:val="20"/>
              </w:rPr>
              <w:t xml:space="preserve">HIGH/MEDIUM/LOW</w:t>
            </w:r>
          </w:p>
        </w:tc>
        <w:tc>
          <w:tcPr>
            <w:tcW w:type="dxa" w:w="2057"/>
            <w:shd w:val="clear" w:color="auto" w:fill="D9E2F3"/>
            <w:vAlign w:val="center"/>
          </w:tcPr>
          <w:p>
            <w:pPr>
              <w:spacing w:before="20" w:after="20" w:line="260" w:lineRule="auto"/>
              <w:ind w:firstLine="0"/>
              <w:jc w:val="center"/>
            </w:pPr>
            <w:r>
              <w:rPr>
                <w:b/>
                <w:sz w:val="20"/>
                <w:szCs w:val="20"/>
              </w:rPr>
              <w:t xml:space="preserve">Tổng thực tế 16 ngày</w:t>
            </w:r>
          </w:p>
        </w:tc>
        <w:tc>
          <w:tcPr>
            <w:tcW w:type="dxa" w:w="2251"/>
            <w:shd w:val="clear" w:color="auto" w:fill="D9E2F3"/>
            <w:vAlign w:val="center"/>
          </w:tcPr>
          <w:p>
            <w:pPr>
              <w:spacing w:before="20" w:after="20" w:line="260" w:lineRule="auto"/>
              <w:ind w:firstLine="0"/>
              <w:jc w:val="center"/>
            </w:pPr>
            <w:r>
              <w:rPr>
                <w:b/>
                <w:sz w:val="20"/>
                <w:szCs w:val="20"/>
              </w:rPr>
              <w:t xml:space="preserve">Bao phủ P10–P90</w:t>
            </w:r>
          </w:p>
        </w:tc>
      </w:tr>
      <w:tr>
        <w:trPr>
          <w:cantSplit/>
        </w:trPr>
        <w:tc>
          <w:tcPr>
            <w:tcW w:type="dxa" w:w="3519"/>
            <w:vAlign w:val="center"/>
          </w:tcPr>
          <w:p>
            <w:pPr>
              <w:spacing w:before="20" w:after="20" w:line="260" w:lineRule="auto"/>
              <w:ind w:firstLine="0"/>
              <w:jc w:val="left"/>
            </w:pPr>
            <w:r>
              <w:rPr>
                <w:sz w:val="20"/>
                <w:szCs w:val="20"/>
              </w:rPr>
              <w:t xml:space="preserve">13 nhóm toàn HIGH: AUTOMOTIVE, BABY CARE, BEAUTY, BOOKS, CELEBRATION, HARDWARE, HOME APPLIANCES, LADIESWEAR, LAWN AND GARDEN, LINGERIE, MAGAZINES, PET SUPPLIES, PLAYERS AND ELECTRONICS</w:t>
            </w:r>
          </w:p>
        </w:tc>
        <w:tc>
          <w:tcPr>
            <w:tcW w:type="dxa" w:w="1244"/>
            <w:vAlign w:val="center"/>
          </w:tcPr>
          <w:p>
            <w:pPr>
              <w:spacing w:before="20" w:after="20" w:line="260" w:lineRule="auto"/>
              <w:ind w:firstLine="0"/>
              <w:jc w:val="left"/>
            </w:pPr>
            <w:r>
              <w:rPr>
                <w:sz w:val="20"/>
                <w:szCs w:val="20"/>
              </w:rPr>
              <w:t xml:space="preserve">54/0/0 mỗi nhóm</w:t>
            </w:r>
          </w:p>
        </w:tc>
        <w:tc>
          <w:tcPr>
            <w:tcW w:type="dxa" w:w="2057"/>
            <w:vAlign w:val="center"/>
          </w:tcPr>
          <w:p>
            <w:pPr>
              <w:spacing w:before="20" w:after="20" w:line="260" w:lineRule="auto"/>
              <w:ind w:firstLine="0"/>
              <w:jc w:val="left"/>
            </w:pPr>
            <w:r>
              <w:rPr>
                <w:sz w:val="20"/>
                <w:szCs w:val="20"/>
              </w:rPr>
              <w:t xml:space="preserve">Từ 9 (BOOKS) đến 12.908 (LAWN AND GARDEN)</w:t>
            </w:r>
          </w:p>
        </w:tc>
        <w:tc>
          <w:tcPr>
            <w:tcW w:type="dxa" w:w="2251"/>
            <w:vAlign w:val="center"/>
          </w:tcPr>
          <w:p>
            <w:pPr>
              <w:spacing w:before="20" w:after="20" w:line="260" w:lineRule="auto"/>
              <w:ind w:firstLine="0"/>
              <w:jc w:val="left"/>
            </w:pPr>
            <w:r>
              <w:rPr>
                <w:sz w:val="20"/>
                <w:szCs w:val="20"/>
              </w:rPr>
              <w:t xml:space="preserve">53,12% (BOOKS) – 89,93% (PLAYERS AND ELECTRONICS)</w:t>
            </w:r>
          </w:p>
        </w:tc>
      </w:tr>
      <w:tr>
        <w:trPr>
          <w:cantSplit/>
        </w:trPr>
        <w:tc>
          <w:tcPr>
            <w:tcW w:type="dxa" w:w="3519"/>
            <w:vAlign w:val="center"/>
          </w:tcPr>
          <w:p>
            <w:pPr>
              <w:spacing w:before="20" w:after="20" w:line="260" w:lineRule="auto"/>
              <w:ind w:firstLine="0"/>
              <w:jc w:val="left"/>
            </w:pPr>
            <w:r>
              <w:rPr>
                <w:sz w:val="20"/>
                <w:szCs w:val="20"/>
              </w:rPr>
              <w:t xml:space="preserve">HOME AND KITCHEN I</w:t>
            </w:r>
          </w:p>
        </w:tc>
        <w:tc>
          <w:tcPr>
            <w:tcW w:type="dxa" w:w="1244"/>
            <w:vAlign w:val="center"/>
          </w:tcPr>
          <w:p>
            <w:pPr>
              <w:spacing w:before="20" w:after="20" w:line="260" w:lineRule="auto"/>
              <w:ind w:firstLine="0"/>
              <w:jc w:val="center"/>
            </w:pPr>
            <w:r>
              <w:rPr>
                <w:sz w:val="20"/>
                <w:szCs w:val="20"/>
              </w:rPr>
              <w:t xml:space="preserve">53/1/0</w:t>
            </w:r>
          </w:p>
        </w:tc>
        <w:tc>
          <w:tcPr>
            <w:tcW w:type="dxa" w:w="2057"/>
            <w:vAlign w:val="center"/>
          </w:tcPr>
          <w:p>
            <w:pPr>
              <w:spacing w:before="20" w:after="20" w:line="260" w:lineRule="auto"/>
              <w:ind w:firstLine="0"/>
              <w:jc w:val="center"/>
            </w:pPr>
            <w:r>
              <w:rPr>
                <w:sz w:val="20"/>
                <w:szCs w:val="20"/>
              </w:rPr>
              <w:t xml:space="preserve">27.020</w:t>
            </w:r>
          </w:p>
        </w:tc>
        <w:tc>
          <w:tcPr>
            <w:tcW w:type="dxa" w:w="2251"/>
            <w:vAlign w:val="center"/>
          </w:tcPr>
          <w:p>
            <w:pPr>
              <w:spacing w:before="20" w:after="20" w:line="260" w:lineRule="auto"/>
              <w:ind w:firstLine="0"/>
              <w:jc w:val="center"/>
            </w:pPr>
            <w:r>
              <w:rPr>
                <w:sz w:val="20"/>
                <w:szCs w:val="20"/>
              </w:rPr>
              <w:t xml:space="preserve">77,78%</w:t>
            </w:r>
          </w:p>
        </w:tc>
      </w:tr>
      <w:tr>
        <w:trPr>
          <w:cantSplit/>
        </w:trPr>
        <w:tc>
          <w:tcPr>
            <w:tcW w:type="dxa" w:w="3519"/>
            <w:vAlign w:val="center"/>
          </w:tcPr>
          <w:p>
            <w:pPr>
              <w:spacing w:before="20" w:after="20" w:line="260" w:lineRule="auto"/>
              <w:ind w:firstLine="0"/>
              <w:jc w:val="left"/>
            </w:pPr>
            <w:r>
              <w:rPr>
                <w:sz w:val="20"/>
                <w:szCs w:val="20"/>
              </w:rPr>
              <w:t xml:space="preserve">HOME AND KITCHEN II</w:t>
            </w:r>
          </w:p>
        </w:tc>
        <w:tc>
          <w:tcPr>
            <w:tcW w:type="dxa" w:w="1244"/>
            <w:vAlign w:val="center"/>
          </w:tcPr>
          <w:p>
            <w:pPr>
              <w:spacing w:before="20" w:after="20" w:line="260" w:lineRule="auto"/>
              <w:ind w:firstLine="0"/>
              <w:jc w:val="center"/>
            </w:pPr>
            <w:r>
              <w:rPr>
                <w:sz w:val="20"/>
                <w:szCs w:val="20"/>
              </w:rPr>
              <w:t xml:space="preserve">53/1/0</w:t>
            </w:r>
          </w:p>
        </w:tc>
        <w:tc>
          <w:tcPr>
            <w:tcW w:type="dxa" w:w="2057"/>
            <w:vAlign w:val="center"/>
          </w:tcPr>
          <w:p>
            <w:pPr>
              <w:spacing w:before="20" w:after="20" w:line="260" w:lineRule="auto"/>
              <w:ind w:firstLine="0"/>
              <w:jc w:val="center"/>
            </w:pPr>
            <w:r>
              <w:rPr>
                <w:sz w:val="20"/>
                <w:szCs w:val="20"/>
              </w:rPr>
              <w:t xml:space="preserve">26.789</w:t>
            </w:r>
          </w:p>
        </w:tc>
        <w:tc>
          <w:tcPr>
            <w:tcW w:type="dxa" w:w="2251"/>
            <w:vAlign w:val="center"/>
          </w:tcPr>
          <w:p>
            <w:pPr>
              <w:spacing w:before="20" w:after="20" w:line="260" w:lineRule="auto"/>
              <w:ind w:firstLine="0"/>
              <w:jc w:val="center"/>
            </w:pPr>
            <w:r>
              <w:rPr>
                <w:sz w:val="20"/>
                <w:szCs w:val="20"/>
              </w:rPr>
              <w:t xml:space="preserve">82,18%</w:t>
            </w:r>
          </w:p>
        </w:tc>
      </w:tr>
      <w:tr>
        <w:trPr>
          <w:cantSplit/>
        </w:trPr>
        <w:tc>
          <w:tcPr>
            <w:tcW w:type="dxa" w:w="3519"/>
            <w:vAlign w:val="center"/>
          </w:tcPr>
          <w:p>
            <w:pPr>
              <w:spacing w:before="20" w:after="20" w:line="260" w:lineRule="auto"/>
              <w:ind w:firstLine="0"/>
              <w:jc w:val="left"/>
            </w:pPr>
            <w:r>
              <w:rPr>
                <w:sz w:val="20"/>
                <w:szCs w:val="20"/>
              </w:rPr>
              <w:t xml:space="preserve">SEAFOOD</w:t>
            </w:r>
          </w:p>
        </w:tc>
        <w:tc>
          <w:tcPr>
            <w:tcW w:type="dxa" w:w="1244"/>
            <w:vAlign w:val="center"/>
          </w:tcPr>
          <w:p>
            <w:pPr>
              <w:spacing w:before="20" w:after="20" w:line="260" w:lineRule="auto"/>
              <w:ind w:firstLine="0"/>
              <w:jc w:val="center"/>
            </w:pPr>
            <w:r>
              <w:rPr>
                <w:sz w:val="20"/>
                <w:szCs w:val="20"/>
              </w:rPr>
              <w:t xml:space="preserve">52/2/0</w:t>
            </w:r>
          </w:p>
        </w:tc>
        <w:tc>
          <w:tcPr>
            <w:tcW w:type="dxa" w:w="2057"/>
            <w:vAlign w:val="center"/>
          </w:tcPr>
          <w:p>
            <w:pPr>
              <w:spacing w:before="20" w:after="20" w:line="260" w:lineRule="auto"/>
              <w:ind w:firstLine="0"/>
              <w:jc w:val="center"/>
            </w:pPr>
            <w:r>
              <w:rPr>
                <w:sz w:val="20"/>
                <w:szCs w:val="20"/>
              </w:rPr>
              <w:t xml:space="preserve">17.261</w:t>
            </w:r>
          </w:p>
        </w:tc>
        <w:tc>
          <w:tcPr>
            <w:tcW w:type="dxa" w:w="2251"/>
            <w:vAlign w:val="center"/>
          </w:tcPr>
          <w:p>
            <w:pPr>
              <w:spacing w:before="20" w:after="20" w:line="260" w:lineRule="auto"/>
              <w:ind w:firstLine="0"/>
              <w:jc w:val="center"/>
            </w:pPr>
            <w:r>
              <w:rPr>
                <w:sz w:val="20"/>
                <w:szCs w:val="20"/>
              </w:rPr>
              <w:t xml:space="preserve">75,35%</w:t>
            </w:r>
          </w:p>
        </w:tc>
      </w:tr>
      <w:tr>
        <w:trPr>
          <w:cantSplit/>
        </w:trPr>
        <w:tc>
          <w:tcPr>
            <w:tcW w:type="dxa" w:w="3519"/>
            <w:vAlign w:val="center"/>
          </w:tcPr>
          <w:p>
            <w:pPr>
              <w:spacing w:before="20" w:after="20" w:line="260" w:lineRule="auto"/>
              <w:ind w:firstLine="0"/>
              <w:jc w:val="left"/>
            </w:pPr>
            <w:r>
              <w:rPr>
                <w:sz w:val="20"/>
                <w:szCs w:val="20"/>
              </w:rPr>
              <w:t xml:space="preserve">GROCERY II</w:t>
            </w:r>
          </w:p>
        </w:tc>
        <w:tc>
          <w:tcPr>
            <w:tcW w:type="dxa" w:w="1244"/>
            <w:vAlign w:val="center"/>
          </w:tcPr>
          <w:p>
            <w:pPr>
              <w:spacing w:before="20" w:after="20" w:line="260" w:lineRule="auto"/>
              <w:ind w:firstLine="0"/>
              <w:jc w:val="center"/>
            </w:pPr>
            <w:r>
              <w:rPr>
                <w:sz w:val="20"/>
                <w:szCs w:val="20"/>
              </w:rPr>
              <w:t xml:space="preserve">51/3/0</w:t>
            </w:r>
          </w:p>
        </w:tc>
        <w:tc>
          <w:tcPr>
            <w:tcW w:type="dxa" w:w="2057"/>
            <w:vAlign w:val="center"/>
          </w:tcPr>
          <w:p>
            <w:pPr>
              <w:spacing w:before="20" w:after="20" w:line="260" w:lineRule="auto"/>
              <w:ind w:firstLine="0"/>
              <w:jc w:val="center"/>
            </w:pPr>
            <w:r>
              <w:rPr>
                <w:sz w:val="20"/>
                <w:szCs w:val="20"/>
              </w:rPr>
              <w:t xml:space="preserve">25.031</w:t>
            </w:r>
          </w:p>
        </w:tc>
        <w:tc>
          <w:tcPr>
            <w:tcW w:type="dxa" w:w="2251"/>
            <w:vAlign w:val="center"/>
          </w:tcPr>
          <w:p>
            <w:pPr>
              <w:spacing w:before="20" w:after="20" w:line="260" w:lineRule="auto"/>
              <w:ind w:firstLine="0"/>
              <w:jc w:val="center"/>
            </w:pPr>
            <w:r>
              <w:rPr>
                <w:sz w:val="20"/>
                <w:szCs w:val="20"/>
              </w:rPr>
              <w:t xml:space="preserve">73,96%</w:t>
            </w:r>
          </w:p>
        </w:tc>
      </w:tr>
      <w:tr>
        <w:trPr>
          <w:cantSplit/>
        </w:trPr>
        <w:tc>
          <w:tcPr>
            <w:tcW w:type="dxa" w:w="3519"/>
            <w:vAlign w:val="center"/>
          </w:tcPr>
          <w:p>
            <w:pPr>
              <w:spacing w:before="20" w:after="20" w:line="260" w:lineRule="auto"/>
              <w:ind w:firstLine="0"/>
              <w:jc w:val="left"/>
            </w:pPr>
            <w:r>
              <w:rPr>
                <w:sz w:val="20"/>
                <w:szCs w:val="20"/>
              </w:rPr>
              <w:t xml:space="preserve">SCHOOL AND OFFICE SUPPLIES</w:t>
            </w:r>
          </w:p>
        </w:tc>
        <w:tc>
          <w:tcPr>
            <w:tcW w:type="dxa" w:w="1244"/>
            <w:vAlign w:val="center"/>
          </w:tcPr>
          <w:p>
            <w:pPr>
              <w:spacing w:before="20" w:after="20" w:line="260" w:lineRule="auto"/>
              <w:ind w:firstLine="0"/>
              <w:jc w:val="center"/>
            </w:pPr>
            <w:r>
              <w:rPr>
                <w:sz w:val="20"/>
                <w:szCs w:val="20"/>
              </w:rPr>
              <w:t xml:space="preserve">47/7/0</w:t>
            </w:r>
          </w:p>
        </w:tc>
        <w:tc>
          <w:tcPr>
            <w:tcW w:type="dxa" w:w="2057"/>
            <w:vAlign w:val="center"/>
          </w:tcPr>
          <w:p>
            <w:pPr>
              <w:spacing w:before="20" w:after="20" w:line="260" w:lineRule="auto"/>
              <w:ind w:firstLine="0"/>
              <w:jc w:val="center"/>
            </w:pPr>
            <w:r>
              <w:rPr>
                <w:sz w:val="20"/>
                <w:szCs w:val="20"/>
              </w:rPr>
              <w:t xml:space="preserve">51.795</w:t>
            </w:r>
          </w:p>
        </w:tc>
        <w:tc>
          <w:tcPr>
            <w:tcW w:type="dxa" w:w="2251"/>
            <w:vAlign w:val="center"/>
          </w:tcPr>
          <w:p>
            <w:pPr>
              <w:spacing w:before="20" w:after="20" w:line="260" w:lineRule="auto"/>
              <w:ind w:firstLine="0"/>
              <w:jc w:val="center"/>
            </w:pPr>
            <w:r>
              <w:rPr>
                <w:sz w:val="20"/>
                <w:szCs w:val="20"/>
              </w:rPr>
              <w:t xml:space="preserve">72,57%</w:t>
            </w:r>
          </w:p>
        </w:tc>
      </w:tr>
      <w:tr>
        <w:trPr>
          <w:cantSplit/>
        </w:trPr>
        <w:tc>
          <w:tcPr>
            <w:tcW w:type="dxa" w:w="3519"/>
            <w:vAlign w:val="center"/>
          </w:tcPr>
          <w:p>
            <w:pPr>
              <w:spacing w:before="20" w:after="20" w:line="260" w:lineRule="auto"/>
              <w:ind w:firstLine="0"/>
              <w:jc w:val="left"/>
            </w:pPr>
            <w:r>
              <w:rPr>
                <w:sz w:val="20"/>
                <w:szCs w:val="20"/>
              </w:rPr>
              <w:t xml:space="preserve">PREPARED FOODS</w:t>
            </w:r>
          </w:p>
        </w:tc>
        <w:tc>
          <w:tcPr>
            <w:tcW w:type="dxa" w:w="1244"/>
            <w:vAlign w:val="center"/>
          </w:tcPr>
          <w:p>
            <w:pPr>
              <w:spacing w:before="20" w:after="20" w:line="260" w:lineRule="auto"/>
              <w:ind w:firstLine="0"/>
              <w:jc w:val="center"/>
            </w:pPr>
            <w:r>
              <w:rPr>
                <w:sz w:val="20"/>
                <w:szCs w:val="20"/>
              </w:rPr>
              <w:t xml:space="preserve">36/18/0</w:t>
            </w:r>
          </w:p>
        </w:tc>
        <w:tc>
          <w:tcPr>
            <w:tcW w:type="dxa" w:w="2057"/>
            <w:vAlign w:val="center"/>
          </w:tcPr>
          <w:p>
            <w:pPr>
              <w:spacing w:before="20" w:after="20" w:line="260" w:lineRule="auto"/>
              <w:ind w:firstLine="0"/>
              <w:jc w:val="center"/>
            </w:pPr>
            <w:r>
              <w:rPr>
                <w:sz w:val="20"/>
                <w:szCs w:val="20"/>
              </w:rPr>
              <w:t xml:space="preserve">75.872</w:t>
            </w:r>
          </w:p>
        </w:tc>
        <w:tc>
          <w:tcPr>
            <w:tcW w:type="dxa" w:w="2251"/>
            <w:vAlign w:val="center"/>
          </w:tcPr>
          <w:p>
            <w:pPr>
              <w:spacing w:before="20" w:after="20" w:line="260" w:lineRule="auto"/>
              <w:ind w:firstLine="0"/>
              <w:jc w:val="center"/>
            </w:pPr>
            <w:r>
              <w:rPr>
                <w:sz w:val="20"/>
                <w:szCs w:val="20"/>
              </w:rPr>
              <w:t xml:space="preserve">83,68%</w:t>
            </w:r>
          </w:p>
        </w:tc>
      </w:tr>
      <w:tr>
        <w:trPr>
          <w:cantSplit/>
        </w:trPr>
        <w:tc>
          <w:tcPr>
            <w:tcW w:type="dxa" w:w="3519"/>
            <w:vAlign w:val="center"/>
          </w:tcPr>
          <w:p>
            <w:pPr>
              <w:spacing w:before="20" w:after="20" w:line="260" w:lineRule="auto"/>
              <w:ind w:firstLine="0"/>
              <w:jc w:val="left"/>
            </w:pPr>
            <w:r>
              <w:rPr>
                <w:sz w:val="20"/>
                <w:szCs w:val="20"/>
              </w:rPr>
              <w:t xml:space="preserve">LIQUOR,WINE,BEER</w:t>
            </w:r>
          </w:p>
        </w:tc>
        <w:tc>
          <w:tcPr>
            <w:tcW w:type="dxa" w:w="1244"/>
            <w:vAlign w:val="center"/>
          </w:tcPr>
          <w:p>
            <w:pPr>
              <w:spacing w:before="20" w:after="20" w:line="260" w:lineRule="auto"/>
              <w:ind w:firstLine="0"/>
              <w:jc w:val="center"/>
            </w:pPr>
            <w:r>
              <w:rPr>
                <w:sz w:val="20"/>
                <w:szCs w:val="20"/>
              </w:rPr>
              <w:t xml:space="preserve">28/26/0</w:t>
            </w:r>
          </w:p>
        </w:tc>
        <w:tc>
          <w:tcPr>
            <w:tcW w:type="dxa" w:w="2057"/>
            <w:vAlign w:val="center"/>
          </w:tcPr>
          <w:p>
            <w:pPr>
              <w:spacing w:before="20" w:after="20" w:line="260" w:lineRule="auto"/>
              <w:ind w:firstLine="0"/>
              <w:jc w:val="center"/>
            </w:pPr>
            <w:r>
              <w:rPr>
                <w:sz w:val="20"/>
                <w:szCs w:val="20"/>
              </w:rPr>
              <w:t xml:space="preserve">84.091</w:t>
            </w:r>
          </w:p>
        </w:tc>
        <w:tc>
          <w:tcPr>
            <w:tcW w:type="dxa" w:w="2251"/>
            <w:vAlign w:val="center"/>
          </w:tcPr>
          <w:p>
            <w:pPr>
              <w:spacing w:before="20" w:after="20" w:line="260" w:lineRule="auto"/>
              <w:ind w:firstLine="0"/>
              <w:jc w:val="center"/>
            </w:pPr>
            <w:r>
              <w:rPr>
                <w:sz w:val="20"/>
                <w:szCs w:val="20"/>
              </w:rPr>
              <w:t xml:space="preserve">61,92%</w:t>
            </w:r>
          </w:p>
        </w:tc>
      </w:tr>
      <w:tr>
        <w:trPr>
          <w:cantSplit/>
        </w:trPr>
        <w:tc>
          <w:tcPr>
            <w:tcW w:type="dxa" w:w="3519"/>
            <w:vAlign w:val="center"/>
          </w:tcPr>
          <w:p>
            <w:pPr>
              <w:spacing w:before="20" w:after="20" w:line="260" w:lineRule="auto"/>
              <w:ind w:firstLine="0"/>
              <w:jc w:val="left"/>
            </w:pPr>
            <w:r>
              <w:rPr>
                <w:sz w:val="20"/>
                <w:szCs w:val="20"/>
              </w:rPr>
              <w:t xml:space="preserve">FROZEN FOODS</w:t>
            </w:r>
          </w:p>
        </w:tc>
        <w:tc>
          <w:tcPr>
            <w:tcW w:type="dxa" w:w="1244"/>
            <w:vAlign w:val="center"/>
          </w:tcPr>
          <w:p>
            <w:pPr>
              <w:spacing w:before="20" w:after="20" w:line="260" w:lineRule="auto"/>
              <w:ind w:firstLine="0"/>
              <w:jc w:val="center"/>
            </w:pPr>
            <w:r>
              <w:rPr>
                <w:sz w:val="20"/>
                <w:szCs w:val="20"/>
              </w:rPr>
              <w:t xml:space="preserve">18/36/0</w:t>
            </w:r>
          </w:p>
        </w:tc>
        <w:tc>
          <w:tcPr>
            <w:tcW w:type="dxa" w:w="2057"/>
            <w:vAlign w:val="center"/>
          </w:tcPr>
          <w:p>
            <w:pPr>
              <w:spacing w:before="20" w:after="20" w:line="260" w:lineRule="auto"/>
              <w:ind w:firstLine="0"/>
              <w:jc w:val="center"/>
            </w:pPr>
            <w:r>
              <w:rPr>
                <w:sz w:val="20"/>
                <w:szCs w:val="20"/>
              </w:rPr>
              <w:t xml:space="preserve">110.014</w:t>
            </w:r>
          </w:p>
        </w:tc>
        <w:tc>
          <w:tcPr>
            <w:tcW w:type="dxa" w:w="2251"/>
            <w:vAlign w:val="center"/>
          </w:tcPr>
          <w:p>
            <w:pPr>
              <w:spacing w:before="20" w:after="20" w:line="260" w:lineRule="auto"/>
              <w:ind w:firstLine="0"/>
              <w:jc w:val="center"/>
            </w:pPr>
            <w:r>
              <w:rPr>
                <w:sz w:val="20"/>
                <w:szCs w:val="20"/>
              </w:rPr>
              <w:t xml:space="preserve">81,02%</w:t>
            </w:r>
          </w:p>
        </w:tc>
      </w:tr>
      <w:tr>
        <w:trPr>
          <w:cantSplit/>
        </w:trPr>
        <w:tc>
          <w:tcPr>
            <w:tcW w:type="dxa" w:w="3519"/>
            <w:vAlign w:val="center"/>
          </w:tcPr>
          <w:p>
            <w:pPr>
              <w:spacing w:before="20" w:after="20" w:line="260" w:lineRule="auto"/>
              <w:ind w:firstLine="0"/>
              <w:jc w:val="left"/>
            </w:pPr>
            <w:r>
              <w:rPr>
                <w:sz w:val="20"/>
                <w:szCs w:val="20"/>
              </w:rPr>
              <w:t xml:space="preserve">EGGS</w:t>
            </w:r>
          </w:p>
        </w:tc>
        <w:tc>
          <w:tcPr>
            <w:tcW w:type="dxa" w:w="1244"/>
            <w:vAlign w:val="center"/>
          </w:tcPr>
          <w:p>
            <w:pPr>
              <w:spacing w:before="20" w:after="20" w:line="260" w:lineRule="auto"/>
              <w:ind w:firstLine="0"/>
              <w:jc w:val="center"/>
            </w:pPr>
            <w:r>
              <w:rPr>
                <w:sz w:val="20"/>
                <w:szCs w:val="20"/>
              </w:rPr>
              <w:t xml:space="preserve">10/44/0</w:t>
            </w:r>
          </w:p>
        </w:tc>
        <w:tc>
          <w:tcPr>
            <w:tcW w:type="dxa" w:w="2057"/>
            <w:vAlign w:val="center"/>
          </w:tcPr>
          <w:p>
            <w:pPr>
              <w:spacing w:before="20" w:after="20" w:line="260" w:lineRule="auto"/>
              <w:ind w:firstLine="0"/>
              <w:jc w:val="center"/>
            </w:pPr>
            <w:r>
              <w:rPr>
                <w:sz w:val="20"/>
                <w:szCs w:val="20"/>
              </w:rPr>
              <w:t xml:space="preserve">172.529</w:t>
            </w:r>
          </w:p>
        </w:tc>
        <w:tc>
          <w:tcPr>
            <w:tcW w:type="dxa" w:w="2251"/>
            <w:vAlign w:val="center"/>
          </w:tcPr>
          <w:p>
            <w:pPr>
              <w:spacing w:before="20" w:after="20" w:line="260" w:lineRule="auto"/>
              <w:ind w:firstLine="0"/>
              <w:jc w:val="center"/>
            </w:pPr>
            <w:r>
              <w:rPr>
                <w:sz w:val="20"/>
                <w:szCs w:val="20"/>
              </w:rPr>
              <w:t xml:space="preserve">75,58%</w:t>
            </w:r>
          </w:p>
        </w:tc>
      </w:tr>
      <w:tr>
        <w:trPr>
          <w:cantSplit/>
        </w:trPr>
        <w:tc>
          <w:tcPr>
            <w:tcW w:type="dxa" w:w="3519"/>
            <w:vAlign w:val="center"/>
          </w:tcPr>
          <w:p>
            <w:pPr>
              <w:spacing w:before="20" w:after="20" w:line="260" w:lineRule="auto"/>
              <w:ind w:firstLine="0"/>
              <w:jc w:val="left"/>
            </w:pPr>
            <w:r>
              <w:rPr>
                <w:sz w:val="20"/>
                <w:szCs w:val="20"/>
              </w:rPr>
              <w:t xml:space="preserve">MEATS</w:t>
            </w:r>
          </w:p>
        </w:tc>
        <w:tc>
          <w:tcPr>
            <w:tcW w:type="dxa" w:w="1244"/>
            <w:vAlign w:val="center"/>
          </w:tcPr>
          <w:p>
            <w:pPr>
              <w:spacing w:before="20" w:after="20" w:line="260" w:lineRule="auto"/>
              <w:ind w:firstLine="0"/>
              <w:jc w:val="center"/>
            </w:pPr>
            <w:r>
              <w:rPr>
                <w:sz w:val="20"/>
                <w:szCs w:val="20"/>
              </w:rPr>
              <w:t xml:space="preserve">5/49/0</w:t>
            </w:r>
          </w:p>
        </w:tc>
        <w:tc>
          <w:tcPr>
            <w:tcW w:type="dxa" w:w="2057"/>
            <w:vAlign w:val="center"/>
          </w:tcPr>
          <w:p>
            <w:pPr>
              <w:spacing w:before="20" w:after="20" w:line="260" w:lineRule="auto"/>
              <w:ind w:firstLine="0"/>
              <w:jc w:val="center"/>
            </w:pPr>
            <w:r>
              <w:rPr>
                <w:sz w:val="20"/>
                <w:szCs w:val="20"/>
              </w:rPr>
              <w:t xml:space="preserve">321.071</w:t>
            </w:r>
          </w:p>
        </w:tc>
        <w:tc>
          <w:tcPr>
            <w:tcW w:type="dxa" w:w="2251"/>
            <w:vAlign w:val="center"/>
          </w:tcPr>
          <w:p>
            <w:pPr>
              <w:spacing w:before="20" w:after="20" w:line="260" w:lineRule="auto"/>
              <w:ind w:firstLine="0"/>
              <w:jc w:val="center"/>
            </w:pPr>
            <w:r>
              <w:rPr>
                <w:sz w:val="20"/>
                <w:szCs w:val="20"/>
              </w:rPr>
              <w:t xml:space="preserve">79,17%</w:t>
            </w:r>
          </w:p>
        </w:tc>
      </w:tr>
      <w:tr>
        <w:trPr>
          <w:cantSplit/>
        </w:trPr>
        <w:tc>
          <w:tcPr>
            <w:tcW w:type="dxa" w:w="3519"/>
            <w:vAlign w:val="center"/>
          </w:tcPr>
          <w:p>
            <w:pPr>
              <w:spacing w:before="20" w:after="20" w:line="260" w:lineRule="auto"/>
              <w:ind w:firstLine="0"/>
              <w:jc w:val="left"/>
            </w:pPr>
            <w:r>
              <w:rPr>
                <w:sz w:val="20"/>
                <w:szCs w:val="20"/>
              </w:rPr>
              <w:t xml:space="preserve">POULTRY</w:t>
            </w:r>
          </w:p>
        </w:tc>
        <w:tc>
          <w:tcPr>
            <w:tcW w:type="dxa" w:w="1244"/>
            <w:vAlign w:val="center"/>
          </w:tcPr>
          <w:p>
            <w:pPr>
              <w:spacing w:before="20" w:after="20" w:line="260" w:lineRule="auto"/>
              <w:ind w:firstLine="0"/>
              <w:jc w:val="center"/>
            </w:pPr>
            <w:r>
              <w:rPr>
                <w:sz w:val="20"/>
                <w:szCs w:val="20"/>
              </w:rPr>
              <w:t xml:space="preserve">4/50/0</w:t>
            </w:r>
          </w:p>
        </w:tc>
        <w:tc>
          <w:tcPr>
            <w:tcW w:type="dxa" w:w="2057"/>
            <w:vAlign w:val="center"/>
          </w:tcPr>
          <w:p>
            <w:pPr>
              <w:spacing w:before="20" w:after="20" w:line="260" w:lineRule="auto"/>
              <w:ind w:firstLine="0"/>
              <w:jc w:val="center"/>
            </w:pPr>
            <w:r>
              <w:rPr>
                <w:sz w:val="20"/>
                <w:szCs w:val="20"/>
              </w:rPr>
              <w:t xml:space="preserve">323.560</w:t>
            </w:r>
          </w:p>
        </w:tc>
        <w:tc>
          <w:tcPr>
            <w:tcW w:type="dxa" w:w="2251"/>
            <w:vAlign w:val="center"/>
          </w:tcPr>
          <w:p>
            <w:pPr>
              <w:spacing w:before="20" w:after="20" w:line="260" w:lineRule="auto"/>
              <w:ind w:firstLine="0"/>
              <w:jc w:val="center"/>
            </w:pPr>
            <w:r>
              <w:rPr>
                <w:sz w:val="20"/>
                <w:szCs w:val="20"/>
              </w:rPr>
              <w:t xml:space="preserve">82,41%</w:t>
            </w:r>
          </w:p>
        </w:tc>
      </w:tr>
      <w:tr>
        <w:trPr>
          <w:cantSplit/>
        </w:trPr>
        <w:tc>
          <w:tcPr>
            <w:tcW w:type="dxa" w:w="3519"/>
            <w:vAlign w:val="center"/>
          </w:tcPr>
          <w:p>
            <w:pPr>
              <w:spacing w:before="20" w:after="20" w:line="260" w:lineRule="auto"/>
              <w:ind w:firstLine="0"/>
              <w:jc w:val="left"/>
            </w:pPr>
            <w:r>
              <w:rPr>
                <w:sz w:val="20"/>
                <w:szCs w:val="20"/>
              </w:rPr>
              <w:t xml:space="preserve">PERSONAL CARE</w:t>
            </w:r>
          </w:p>
        </w:tc>
        <w:tc>
          <w:tcPr>
            <w:tcW w:type="dxa" w:w="1244"/>
            <w:vAlign w:val="center"/>
          </w:tcPr>
          <w:p>
            <w:pPr>
              <w:spacing w:before="20" w:after="20" w:line="260" w:lineRule="auto"/>
              <w:ind w:firstLine="0"/>
              <w:jc w:val="center"/>
            </w:pPr>
            <w:r>
              <w:rPr>
                <w:sz w:val="20"/>
                <w:szCs w:val="20"/>
              </w:rPr>
              <w:t xml:space="preserve">2/52/0</w:t>
            </w:r>
          </w:p>
        </w:tc>
        <w:tc>
          <w:tcPr>
            <w:tcW w:type="dxa" w:w="2057"/>
            <w:vAlign w:val="center"/>
          </w:tcPr>
          <w:p>
            <w:pPr>
              <w:spacing w:before="20" w:after="20" w:line="260" w:lineRule="auto"/>
              <w:ind w:firstLine="0"/>
              <w:jc w:val="center"/>
            </w:pPr>
            <w:r>
              <w:rPr>
                <w:sz w:val="20"/>
                <w:szCs w:val="20"/>
              </w:rPr>
              <w:t xml:space="preserve">277.631</w:t>
            </w:r>
          </w:p>
        </w:tc>
        <w:tc>
          <w:tcPr>
            <w:tcW w:type="dxa" w:w="2251"/>
            <w:vAlign w:val="center"/>
          </w:tcPr>
          <w:p>
            <w:pPr>
              <w:spacing w:before="20" w:after="20" w:line="260" w:lineRule="auto"/>
              <w:ind w:firstLine="0"/>
              <w:jc w:val="center"/>
            </w:pPr>
            <w:r>
              <w:rPr>
                <w:sz w:val="20"/>
                <w:szCs w:val="20"/>
              </w:rPr>
              <w:t xml:space="preserve">76,97%</w:t>
            </w:r>
          </w:p>
        </w:tc>
      </w:tr>
      <w:tr>
        <w:trPr>
          <w:cantSplit/>
        </w:trPr>
        <w:tc>
          <w:tcPr>
            <w:tcW w:type="dxa" w:w="3519"/>
            <w:vAlign w:val="center"/>
          </w:tcPr>
          <w:p>
            <w:pPr>
              <w:spacing w:before="20" w:after="20" w:line="260" w:lineRule="auto"/>
              <w:ind w:firstLine="0"/>
              <w:jc w:val="left"/>
            </w:pPr>
            <w:r>
              <w:rPr>
                <w:sz w:val="20"/>
                <w:szCs w:val="20"/>
              </w:rPr>
              <w:t xml:space="preserve">DELI</w:t>
            </w:r>
          </w:p>
        </w:tc>
        <w:tc>
          <w:tcPr>
            <w:tcW w:type="dxa" w:w="1244"/>
            <w:vAlign w:val="center"/>
          </w:tcPr>
          <w:p>
            <w:pPr>
              <w:spacing w:before="20" w:after="20" w:line="260" w:lineRule="auto"/>
              <w:ind w:firstLine="0"/>
              <w:jc w:val="center"/>
            </w:pPr>
            <w:r>
              <w:rPr>
                <w:sz w:val="20"/>
                <w:szCs w:val="20"/>
              </w:rPr>
              <w:t xml:space="preserve">1/53/0</w:t>
            </w:r>
          </w:p>
        </w:tc>
        <w:tc>
          <w:tcPr>
            <w:tcW w:type="dxa" w:w="2057"/>
            <w:vAlign w:val="center"/>
          </w:tcPr>
          <w:p>
            <w:pPr>
              <w:spacing w:before="20" w:after="20" w:line="260" w:lineRule="auto"/>
              <w:ind w:firstLine="0"/>
              <w:jc w:val="center"/>
            </w:pPr>
            <w:r>
              <w:rPr>
                <w:sz w:val="20"/>
                <w:szCs w:val="20"/>
              </w:rPr>
              <w:t xml:space="preserve">261.903</w:t>
            </w:r>
          </w:p>
        </w:tc>
        <w:tc>
          <w:tcPr>
            <w:tcW w:type="dxa" w:w="2251"/>
            <w:vAlign w:val="center"/>
          </w:tcPr>
          <w:p>
            <w:pPr>
              <w:spacing w:before="20" w:after="20" w:line="260" w:lineRule="auto"/>
              <w:ind w:firstLine="0"/>
              <w:jc w:val="center"/>
            </w:pPr>
            <w:r>
              <w:rPr>
                <w:sz w:val="20"/>
                <w:szCs w:val="20"/>
              </w:rPr>
              <w:t xml:space="preserve">78,36%</w:t>
            </w:r>
          </w:p>
        </w:tc>
      </w:tr>
      <w:tr>
        <w:trPr>
          <w:cantSplit/>
        </w:trPr>
        <w:tc>
          <w:tcPr>
            <w:tcW w:type="dxa" w:w="3519"/>
            <w:vAlign w:val="center"/>
          </w:tcPr>
          <w:p>
            <w:pPr>
              <w:spacing w:before="20" w:after="20" w:line="260" w:lineRule="auto"/>
              <w:ind w:firstLine="0"/>
              <w:jc w:val="left"/>
            </w:pPr>
            <w:r>
              <w:rPr>
                <w:sz w:val="20"/>
                <w:szCs w:val="20"/>
              </w:rPr>
              <w:t xml:space="preserve">HOME CARE</w:t>
            </w:r>
          </w:p>
        </w:tc>
        <w:tc>
          <w:tcPr>
            <w:tcW w:type="dxa" w:w="1244"/>
            <w:vAlign w:val="center"/>
          </w:tcPr>
          <w:p>
            <w:pPr>
              <w:spacing w:before="20" w:after="20" w:line="260" w:lineRule="auto"/>
              <w:ind w:firstLine="0"/>
              <w:jc w:val="center"/>
            </w:pPr>
            <w:r>
              <w:rPr>
                <w:sz w:val="20"/>
                <w:szCs w:val="20"/>
              </w:rPr>
              <w:t xml:space="preserve">1/53/0</w:t>
            </w:r>
          </w:p>
        </w:tc>
        <w:tc>
          <w:tcPr>
            <w:tcW w:type="dxa" w:w="2057"/>
            <w:vAlign w:val="center"/>
          </w:tcPr>
          <w:p>
            <w:pPr>
              <w:spacing w:before="20" w:after="20" w:line="260" w:lineRule="auto"/>
              <w:ind w:firstLine="0"/>
              <w:jc w:val="center"/>
            </w:pPr>
            <w:r>
              <w:rPr>
                <w:sz w:val="20"/>
                <w:szCs w:val="20"/>
              </w:rPr>
              <w:t xml:space="preserve">251.893</w:t>
            </w:r>
          </w:p>
        </w:tc>
        <w:tc>
          <w:tcPr>
            <w:tcW w:type="dxa" w:w="2251"/>
            <w:vAlign w:val="center"/>
          </w:tcPr>
          <w:p>
            <w:pPr>
              <w:spacing w:before="20" w:after="20" w:line="260" w:lineRule="auto"/>
              <w:ind w:firstLine="0"/>
              <w:jc w:val="center"/>
            </w:pPr>
            <w:r>
              <w:rPr>
                <w:sz w:val="20"/>
                <w:szCs w:val="20"/>
              </w:rPr>
              <w:t xml:space="preserve">73,38%</w:t>
            </w:r>
          </w:p>
        </w:tc>
      </w:tr>
      <w:tr>
        <w:trPr>
          <w:cantSplit/>
        </w:trPr>
        <w:tc>
          <w:tcPr>
            <w:tcW w:type="dxa" w:w="3519"/>
            <w:vAlign w:val="center"/>
          </w:tcPr>
          <w:p>
            <w:pPr>
              <w:spacing w:before="20" w:after="20" w:line="260" w:lineRule="auto"/>
              <w:ind w:firstLine="0"/>
              <w:jc w:val="left"/>
            </w:pPr>
            <w:r>
              <w:rPr>
                <w:sz w:val="20"/>
                <w:szCs w:val="20"/>
              </w:rPr>
              <w:t xml:space="preserve">BREAD/BAKERY</w:t>
            </w:r>
          </w:p>
        </w:tc>
        <w:tc>
          <w:tcPr>
            <w:tcW w:type="dxa" w:w="1244"/>
            <w:vAlign w:val="center"/>
          </w:tcPr>
          <w:p>
            <w:pPr>
              <w:spacing w:before="20" w:after="20" w:line="260" w:lineRule="auto"/>
              <w:ind w:firstLine="0"/>
              <w:jc w:val="center"/>
            </w:pPr>
            <w:r>
              <w:rPr>
                <w:sz w:val="20"/>
                <w:szCs w:val="20"/>
              </w:rPr>
              <w:t xml:space="preserve">0/51/3</w:t>
            </w:r>
          </w:p>
        </w:tc>
        <w:tc>
          <w:tcPr>
            <w:tcW w:type="dxa" w:w="2057"/>
            <w:vAlign w:val="center"/>
          </w:tcPr>
          <w:p>
            <w:pPr>
              <w:spacing w:before="20" w:after="20" w:line="260" w:lineRule="auto"/>
              <w:ind w:firstLine="0"/>
              <w:jc w:val="center"/>
            </w:pPr>
            <w:r>
              <w:rPr>
                <w:sz w:val="20"/>
                <w:szCs w:val="20"/>
              </w:rPr>
              <w:t xml:space="preserve">466.796</w:t>
            </w:r>
          </w:p>
        </w:tc>
        <w:tc>
          <w:tcPr>
            <w:tcW w:type="dxa" w:w="2251"/>
            <w:vAlign w:val="center"/>
          </w:tcPr>
          <w:p>
            <w:pPr>
              <w:spacing w:before="20" w:after="20" w:line="260" w:lineRule="auto"/>
              <w:ind w:firstLine="0"/>
              <w:jc w:val="center"/>
            </w:pPr>
            <w:r>
              <w:rPr>
                <w:sz w:val="20"/>
                <w:szCs w:val="20"/>
              </w:rPr>
              <w:t xml:space="preserve">79,63%</w:t>
            </w:r>
          </w:p>
        </w:tc>
      </w:tr>
      <w:tr>
        <w:trPr>
          <w:cantSplit/>
        </w:trPr>
        <w:tc>
          <w:tcPr>
            <w:tcW w:type="dxa" w:w="3519"/>
            <w:vAlign w:val="center"/>
          </w:tcPr>
          <w:p>
            <w:pPr>
              <w:spacing w:before="20" w:after="20" w:line="260" w:lineRule="auto"/>
              <w:ind w:firstLine="0"/>
              <w:jc w:val="left"/>
            </w:pPr>
            <w:r>
              <w:rPr>
                <w:sz w:val="20"/>
                <w:szCs w:val="20"/>
              </w:rPr>
              <w:t xml:space="preserve">DAIRY</w:t>
            </w:r>
          </w:p>
        </w:tc>
        <w:tc>
          <w:tcPr>
            <w:tcW w:type="dxa" w:w="1244"/>
            <w:vAlign w:val="center"/>
          </w:tcPr>
          <w:p>
            <w:pPr>
              <w:spacing w:before="20" w:after="20" w:line="260" w:lineRule="auto"/>
              <w:ind w:firstLine="0"/>
              <w:jc w:val="center"/>
            </w:pPr>
            <w:r>
              <w:rPr>
                <w:sz w:val="20"/>
                <w:szCs w:val="20"/>
              </w:rPr>
              <w:t xml:space="preserve">0/51/3</w:t>
            </w:r>
          </w:p>
        </w:tc>
        <w:tc>
          <w:tcPr>
            <w:tcW w:type="dxa" w:w="2057"/>
            <w:vAlign w:val="center"/>
          </w:tcPr>
          <w:p>
            <w:pPr>
              <w:spacing w:before="20" w:after="20" w:line="260" w:lineRule="auto"/>
              <w:ind w:firstLine="0"/>
              <w:jc w:val="center"/>
            </w:pPr>
            <w:r>
              <w:rPr>
                <w:sz w:val="20"/>
                <w:szCs w:val="20"/>
              </w:rPr>
              <w:t xml:space="preserve">721.034</w:t>
            </w:r>
          </w:p>
        </w:tc>
        <w:tc>
          <w:tcPr>
            <w:tcW w:type="dxa" w:w="2251"/>
            <w:vAlign w:val="center"/>
          </w:tcPr>
          <w:p>
            <w:pPr>
              <w:spacing w:before="20" w:after="20" w:line="260" w:lineRule="auto"/>
              <w:ind w:firstLine="0"/>
              <w:jc w:val="center"/>
            </w:pPr>
            <w:r>
              <w:rPr>
                <w:sz w:val="20"/>
                <w:szCs w:val="20"/>
              </w:rPr>
              <w:t xml:space="preserve">77,66%</w:t>
            </w:r>
          </w:p>
        </w:tc>
      </w:tr>
      <w:tr>
        <w:trPr>
          <w:cantSplit/>
        </w:trPr>
        <w:tc>
          <w:tcPr>
            <w:tcW w:type="dxa" w:w="3519"/>
            <w:vAlign w:val="center"/>
          </w:tcPr>
          <w:p>
            <w:pPr>
              <w:spacing w:before="20" w:after="20" w:line="260" w:lineRule="auto"/>
              <w:ind w:firstLine="0"/>
              <w:jc w:val="left"/>
            </w:pPr>
            <w:r>
              <w:rPr>
                <w:sz w:val="20"/>
                <w:szCs w:val="20"/>
              </w:rPr>
              <w:t xml:space="preserve">CLEANING</w:t>
            </w:r>
          </w:p>
        </w:tc>
        <w:tc>
          <w:tcPr>
            <w:tcW w:type="dxa" w:w="1244"/>
            <w:vAlign w:val="center"/>
          </w:tcPr>
          <w:p>
            <w:pPr>
              <w:spacing w:before="20" w:after="20" w:line="260" w:lineRule="auto"/>
              <w:ind w:firstLine="0"/>
              <w:jc w:val="center"/>
            </w:pPr>
            <w:r>
              <w:rPr>
                <w:sz w:val="20"/>
                <w:szCs w:val="20"/>
              </w:rPr>
              <w:t xml:space="preserve">0/46/8</w:t>
            </w:r>
          </w:p>
        </w:tc>
        <w:tc>
          <w:tcPr>
            <w:tcW w:type="dxa" w:w="2057"/>
            <w:vAlign w:val="center"/>
          </w:tcPr>
          <w:p>
            <w:pPr>
              <w:spacing w:before="20" w:after="20" w:line="260" w:lineRule="auto"/>
              <w:ind w:firstLine="0"/>
              <w:jc w:val="center"/>
            </w:pPr>
            <w:r>
              <w:rPr>
                <w:sz w:val="20"/>
                <w:szCs w:val="20"/>
              </w:rPr>
              <w:t xml:space="preserve">1.065.243</w:t>
            </w:r>
          </w:p>
        </w:tc>
        <w:tc>
          <w:tcPr>
            <w:tcW w:type="dxa" w:w="2251"/>
            <w:vAlign w:val="center"/>
          </w:tcPr>
          <w:p>
            <w:pPr>
              <w:spacing w:before="20" w:after="20" w:line="260" w:lineRule="auto"/>
              <w:ind w:firstLine="0"/>
              <w:jc w:val="center"/>
            </w:pPr>
            <w:r>
              <w:rPr>
                <w:sz w:val="20"/>
                <w:szCs w:val="20"/>
              </w:rPr>
              <w:t xml:space="preserve">60,88%</w:t>
            </w:r>
          </w:p>
        </w:tc>
      </w:tr>
      <w:tr>
        <w:trPr>
          <w:cantSplit/>
        </w:trPr>
        <w:tc>
          <w:tcPr>
            <w:tcW w:type="dxa" w:w="3519"/>
            <w:vAlign w:val="center"/>
          </w:tcPr>
          <w:p>
            <w:pPr>
              <w:spacing w:before="20" w:after="20" w:line="260" w:lineRule="auto"/>
              <w:ind w:firstLine="0"/>
              <w:jc w:val="left"/>
            </w:pPr>
            <w:r>
              <w:rPr>
                <w:sz w:val="20"/>
                <w:szCs w:val="20"/>
              </w:rPr>
              <w:t xml:space="preserve">PRODUCE</w:t>
            </w:r>
          </w:p>
        </w:tc>
        <w:tc>
          <w:tcPr>
            <w:tcW w:type="dxa" w:w="1244"/>
            <w:vAlign w:val="center"/>
          </w:tcPr>
          <w:p>
            <w:pPr>
              <w:spacing w:before="20" w:after="20" w:line="260" w:lineRule="auto"/>
              <w:ind w:firstLine="0"/>
              <w:jc w:val="center"/>
            </w:pPr>
            <w:r>
              <w:rPr>
                <w:sz w:val="20"/>
                <w:szCs w:val="20"/>
              </w:rPr>
              <w:t xml:space="preserve">0/44/10</w:t>
            </w:r>
          </w:p>
        </w:tc>
        <w:tc>
          <w:tcPr>
            <w:tcW w:type="dxa" w:w="2057"/>
            <w:vAlign w:val="center"/>
          </w:tcPr>
          <w:p>
            <w:pPr>
              <w:spacing w:before="20" w:after="20" w:line="260" w:lineRule="auto"/>
              <w:ind w:firstLine="0"/>
              <w:jc w:val="center"/>
            </w:pPr>
            <w:r>
              <w:rPr>
                <w:sz w:val="20"/>
                <w:szCs w:val="20"/>
              </w:rPr>
              <w:t xml:space="preserve">1.977.480</w:t>
            </w:r>
          </w:p>
        </w:tc>
        <w:tc>
          <w:tcPr>
            <w:tcW w:type="dxa" w:w="2251"/>
            <w:vAlign w:val="center"/>
          </w:tcPr>
          <w:p>
            <w:pPr>
              <w:spacing w:before="20" w:after="20" w:line="260" w:lineRule="auto"/>
              <w:ind w:firstLine="0"/>
              <w:jc w:val="center"/>
            </w:pPr>
            <w:r>
              <w:rPr>
                <w:sz w:val="20"/>
                <w:szCs w:val="20"/>
              </w:rPr>
              <w:t xml:space="preserve">82,87%</w:t>
            </w:r>
          </w:p>
        </w:tc>
      </w:tr>
      <w:tr>
        <w:trPr>
          <w:cantSplit/>
        </w:trPr>
        <w:tc>
          <w:tcPr>
            <w:tcW w:type="dxa" w:w="3519"/>
            <w:vAlign w:val="center"/>
          </w:tcPr>
          <w:p>
            <w:pPr>
              <w:spacing w:before="20" w:after="20" w:line="260" w:lineRule="auto"/>
              <w:ind w:firstLine="0"/>
              <w:jc w:val="left"/>
            </w:pPr>
            <w:r>
              <w:rPr>
                <w:sz w:val="20"/>
                <w:szCs w:val="20"/>
              </w:rPr>
              <w:t xml:space="preserve">BEVERAGES</w:t>
            </w:r>
          </w:p>
        </w:tc>
        <w:tc>
          <w:tcPr>
            <w:tcW w:type="dxa" w:w="1244"/>
            <w:vAlign w:val="center"/>
          </w:tcPr>
          <w:p>
            <w:pPr>
              <w:spacing w:before="20" w:after="20" w:line="260" w:lineRule="auto"/>
              <w:ind w:firstLine="0"/>
              <w:jc w:val="center"/>
            </w:pPr>
            <w:r>
              <w:rPr>
                <w:sz w:val="20"/>
                <w:szCs w:val="20"/>
              </w:rPr>
              <w:t xml:space="preserve">1/29/24</w:t>
            </w:r>
          </w:p>
        </w:tc>
        <w:tc>
          <w:tcPr>
            <w:tcW w:type="dxa" w:w="2057"/>
            <w:vAlign w:val="center"/>
          </w:tcPr>
          <w:p>
            <w:pPr>
              <w:spacing w:before="20" w:after="20" w:line="260" w:lineRule="auto"/>
              <w:ind w:firstLine="0"/>
              <w:jc w:val="center"/>
            </w:pPr>
            <w:r>
              <w:rPr>
                <w:sz w:val="20"/>
                <w:szCs w:val="20"/>
              </w:rPr>
              <w:t xml:space="preserve">3.005.407</w:t>
            </w:r>
          </w:p>
        </w:tc>
        <w:tc>
          <w:tcPr>
            <w:tcW w:type="dxa" w:w="2251"/>
            <w:vAlign w:val="center"/>
          </w:tcPr>
          <w:p>
            <w:pPr>
              <w:spacing w:before="20" w:after="20" w:line="260" w:lineRule="auto"/>
              <w:ind w:firstLine="0"/>
              <w:jc w:val="center"/>
            </w:pPr>
            <w:r>
              <w:rPr>
                <w:sz w:val="20"/>
                <w:szCs w:val="20"/>
              </w:rPr>
              <w:t xml:space="preserve">60,53%</w:t>
            </w:r>
          </w:p>
        </w:tc>
      </w:tr>
      <w:tr>
        <w:trPr>
          <w:cantSplit/>
        </w:trPr>
        <w:tc>
          <w:tcPr>
            <w:tcW w:type="dxa" w:w="3519"/>
            <w:vAlign w:val="center"/>
          </w:tcPr>
          <w:p>
            <w:pPr>
              <w:spacing w:before="20" w:after="20" w:line="260" w:lineRule="auto"/>
              <w:ind w:firstLine="0"/>
              <w:jc w:val="left"/>
            </w:pPr>
            <w:r>
              <w:rPr>
                <w:sz w:val="20"/>
                <w:szCs w:val="20"/>
              </w:rPr>
              <w:t xml:space="preserve">GROCERY I</w:t>
            </w:r>
          </w:p>
        </w:tc>
        <w:tc>
          <w:tcPr>
            <w:tcW w:type="dxa" w:w="1244"/>
            <w:vAlign w:val="center"/>
          </w:tcPr>
          <w:p>
            <w:pPr>
              <w:spacing w:before="20" w:after="20" w:line="260" w:lineRule="auto"/>
              <w:ind w:firstLine="0"/>
              <w:jc w:val="center"/>
            </w:pPr>
            <w:r>
              <w:rPr>
                <w:sz w:val="20"/>
                <w:szCs w:val="20"/>
              </w:rPr>
              <w:t xml:space="preserve">0/18/36</w:t>
            </w:r>
          </w:p>
        </w:tc>
        <w:tc>
          <w:tcPr>
            <w:tcW w:type="dxa" w:w="2057"/>
            <w:vAlign w:val="center"/>
          </w:tcPr>
          <w:p>
            <w:pPr>
              <w:spacing w:before="20" w:after="20" w:line="260" w:lineRule="auto"/>
              <w:ind w:firstLine="0"/>
              <w:jc w:val="center"/>
            </w:pPr>
            <w:r>
              <w:rPr>
                <w:sz w:val="20"/>
                <w:szCs w:val="20"/>
              </w:rPr>
              <w:t xml:space="preserve">3.980.412</w:t>
            </w:r>
          </w:p>
        </w:tc>
        <w:tc>
          <w:tcPr>
            <w:tcW w:type="dxa" w:w="2251"/>
            <w:vAlign w:val="center"/>
          </w:tcPr>
          <w:p>
            <w:pPr>
              <w:spacing w:before="20" w:after="20" w:line="260" w:lineRule="auto"/>
              <w:ind w:firstLine="0"/>
              <w:jc w:val="center"/>
            </w:pPr>
            <w:r>
              <w:rPr>
                <w:sz w:val="20"/>
                <w:szCs w:val="20"/>
              </w:rPr>
              <w:t xml:space="preserve">67,36%</w:t>
            </w:r>
          </w:p>
        </w:tc>
      </w:tr>
    </w:tbl>
    <w:p>
      <w:pPr>
        <w:spacing w:before="40" w:after="160"/>
        <w:ind w:firstLine="0"/>
      </w:pPr>
      <w:r>
        <w:rPr>
          <w:i/>
          <w:sz w:val="22"/>
          <w:szCs w:val="22"/>
        </w:rPr>
        <w:t xml:space="preserve">Nguồn: inventory_recommendations.csv (nhãn); error_by_family.csv và 13_probabilistic_by_family.csv (tổng thực tế, bao phủ).</w:t>
      </w:r>
    </w:p>
    <w:p>
      <w:pPr>
        <w:keepLines w:val="0"/>
        <w:spacing w:after="120"/>
        <w:ind w:firstLine="567"/>
      </w:pPr>
      <w:r>
        <w:t xml:space="preserve">Đặt cột nhãn cạnh cột bao phủ, Bảng 4.17 cho thấy nhãn rủi ro không phải là chỉ báo về mức hiệu chỉnh của khoảng dự báo. Các nhóm toàn HIGH có độ bao phủ phân tán, từ 53,12% (BOOKS) đến 89,93% (PLAYERS AND ELECTRONICS), tức nhãn HIGH không hàm ý khoảng dự báo luôn chứa hay luôn bỏ sót giá trị thực tế; các nhóm lớn như PRODUCE (82,87%), DAIRY (77,66%) hay BREAD/BAKERY (79,63%) đạt mức gần danh nghĩa. Điểm yếu còn lại tập trung ở ba nhóm có quy mô rất lớn là BEVERAGES (60,53%), CLEANING (60,88%) và GROCERY I (67,36%), cũng chính là ba nhóm đóng góp phần lớn chuỗi LOW. Nói cách khác, nhãn LOW, vốn được hiểu là an toàn, lại tập trung ở những nơi khoảng dự báo hẹp hơn biến động thực tế.</w:t>
      </w:r>
    </w:p>
    <w:p>
      <w:pPr>
        <w:pStyle w:val="Heading3"/>
        <w:keepNext/>
      </w:pPr>
      <w:r>
        <w:t xml:space="preserve">4.11.4. Phân phối lượng bổ sung gợi ý</w:t>
      </w:r>
    </w:p>
    <w:p>
      <w:pPr>
        <w:keepLines w:val="0"/>
        <w:spacing w:after="120"/>
        <w:ind w:firstLine="567"/>
      </w:pPr>
      <w:r>
        <w:t xml:space="preserve">Hình 4.19 biểu diễn phân phối lượng bổ sung gợi ý của 1.782 chuỗi, hiển thị đến phân vị 99. Phân phối lệch phải rất mạnh: cột đầu tiên chứa khoảng một nghìn chuỗi, số chuỗi giảm nhanh khi lượng bổ sung tăng, và một cụm nhỏ nằm rải rác ở vùng từ hơn 10.000 đến gần 30.000 đơn vị. Trung vị là 454,83, còn giá trị lớn nhất là 48.226,90 thuộc CH 45 – GROCERY I; tính lại từ tệp kết quả, 1.100 chuỗi có lượng bổ sung không quá 1.000 đơn vị và giá trị nhỏ nhất là 64,00, đúng bằng tồn kho an toàn nhỏ nhất ở chuỗi có P50 bằng 0. Như vậy chuỗi nhỏ nhận lượng bổ sung nhỏ tương ứng với quy mô. Cụm chuỗi ở vùng giá trị lớn thuộc các nhóm có quy mô lớn nhất: trong 177 chuỗi có lượng bổ sung từ 12.000 đơn vị trở lên, GROCERY I góp 54, BEVERAGES 52, PRODUCE 35, CLEANING 21, DAIRY 11, BREAD/BAKERY 3 và POULTRY 1.</w:t>
      </w:r>
    </w:p>
    <w:p>
      <w:pPr>
        <w:jc w:val="center"/>
      </w:pPr>
      <w:r>
        <w:drawing>
          <wp:inline xmlns:a="http://schemas.openxmlformats.org/drawingml/2006/main" xmlns:pic="http://schemas.openxmlformats.org/drawingml/2006/picture">
            <wp:extent cx="5580000" cy="3051562"/>
            <wp:docPr id="5023" name="Picture 5023"/>
            <wp:cNvGraphicFramePr>
              <a:graphicFrameLocks noChangeAspect="1"/>
            </wp:cNvGraphicFramePr>
            <a:graphic>
              <a:graphicData uri="http://schemas.openxmlformats.org/drawingml/2006/picture">
                <pic:pic>
                  <pic:nvPicPr>
                    <pic:cNvPr id="0" name="F24_replenishment_distribution_1023.png"/>
                    <pic:cNvPicPr/>
                  </pic:nvPicPr>
                  <pic:blipFill>
                    <a:blip r:embed="rId122"/>
                    <a:stretch>
                      <a:fillRect/>
                    </a:stretch>
                  </pic:blipFill>
                  <pic:spPr>
                    <a:xfrm>
                      <a:off x="0" y="0"/>
                      <a:ext cx="5580000" cy="3051562"/>
                    </a:xfrm>
                    <a:prstGeom prst="rect"/>
                  </pic:spPr>
                </pic:pic>
              </a:graphicData>
            </a:graphic>
          </wp:inline>
        </w:drawing>
      </w:r>
    </w:p>
    <w:p>
      <w:pPr>
        <w:keepNext w:val="0"/>
        <w:spacing w:after="160"/>
        <w:ind w:firstLine="0"/>
        <w:jc w:val="center"/>
      </w:pPr>
      <w:r>
        <w:t xml:space="preserve">Hình 4.19. Phân phối lượng bổ sung gợi ý của 1.782 chuỗi trong kỳ 16 ngày (hiển thị đến phân vị 99)</w:t>
      </w:r>
    </w:p>
    <w:p>
      <w:pPr>
        <w:spacing w:before="0" w:after="160"/>
        <w:ind w:firstLine="0"/>
        <w:jc w:val="center"/>
      </w:pPr>
      <w:r>
        <w:rPr>
          <w:i/>
          <w:sz w:val="22"/>
          <w:szCs w:val="22"/>
        </w:rPr>
        <w:t xml:space="preserve">Nguồn: REPORT_READY/figures/F24_replenishment_distribution.png</w:t>
      </w:r>
    </w:p>
    <w:p>
      <w:pPr>
        <w:keepLines w:val="0"/>
        <w:spacing w:after="120"/>
        <w:ind w:firstLine="567"/>
      </w:pPr>
      <w:r>
        <w:t xml:space="preserve">Phân rã theo nhãn làm rõ hơn nguồn gốc của lượng bổ sung. Tính lại từ inventory_recommendations.csv, 1.064 chuỗi HIGH nhận 4,55% tổng lượng bổ sung, 634 chuỗi MEDIUM nhận 58,51% và 84 chuỗi LOW nhận 36,94%, tức phân bố lượng bổ sung đi gần với phân bố quy mô. Tỷ lệ tồn kho an toàn trên P50 lại giảm dần theo nhãn, với trung vị 1,104 ở HIGH (tính trên các chuỗi có P50 &gt; 0), 0,281 ở MEDIUM và 0,163 ở LOW; hệ quả là phần do giả định vị thế (0,2 × P50) chiếm 20,50% lượng bổ sung của nhóm HIGH, 39,73% của MEDIUM và tới 59,73% của LOW. Với chuỗi nhỏ, tồn kho an toàn còn lớn hơn cả P50, cho thấy phân phối phần dư của cầu thấp và gián đoạn chưa được mô tả tốt; các phương pháp chuyên biệt như Croston (1972) và việc phân loại dạng cầu theo khoảng cách giữa các lần phát sinh và độ biến thiên (Syntetos và cộng sự, 2005) là hướng phù hợp hơn cho nhóm này.</w:t>
      </w:r>
    </w:p>
    <w:p>
      <w:pPr>
        <w:pStyle w:val="Heading3"/>
        <w:keepNext/>
      </w:pPr>
      <w:r>
        <w:t xml:space="preserve">4.11.5. Đối chiếu nhãn rủi ro với độ bao phủ và hướng hiệu chỉnh</w:t>
      </w:r>
    </w:p>
    <w:p>
      <w:pPr>
        <w:keepLines w:val="0"/>
        <w:spacing w:after="120"/>
        <w:ind w:firstLine="567"/>
      </w:pPr>
      <w:r>
        <w:t xml:space="preserve">Ghép tệp tồn kho với tệp sai số theo chuỗi cho phép kiểm tra trực tiếp mối liên hệ giữa nhãn và mức hiệu chỉnh. Độ bao phủ trung bình theo chuỗi đạt 76,32% ở nhóm HIGH và 76,12% ở MEDIUM, nhưng chỉ 58,18% ở LOW. Chênh lệch khoảng 18 điểm phần trăm này là hệ quả của cách nhóm Mondrian được xác định. Tính lại từ tệp dự báo, 83,48% số quan sát ngày của 84 chuỗi LOW có dự báo điểm thuộc nhóm cao nhất, so với 17,75% ở MEDIUM và 0,08% ở HIGH; trong nhóm này, độ rộng là một giá trị chung cho cả đoạn quy mô rộng, nên chuỗi càng lớn thì khoảng càng hẹp tương đối và càng dễ bị vượt. Theo nguyên tắc tối đa hóa độ sắc nét với ràng buộc hiệu chỉnh (Gneiting và cộng sự, 2007), một khoảng hẹp chỉ có giá trị khi đã được hiệu chỉnh, và điều kiện đó mới được thỏa mãn một phần ở nhóm LOW.</w:t>
      </w:r>
    </w:p>
    <w:p>
      <w:pPr>
        <w:keepLines w:val="0"/>
        <w:spacing w:after="120"/>
        <w:ind w:firstLine="567"/>
      </w:pPr>
      <w:r>
        <w:t xml:space="preserve">Việc tính phân vị phần dư riêng cho từng nhóm quy mô giữ độ bao phủ theo mức nhu cầu trong khoảng 70,86% đến 81,90%, đúng với tính chất rằng phân vị phần dư riêng cho từng nhóm hướng tới bao phủ có điều kiện theo nhóm (Angelopoulos và Bates, 2023), trong khi split conformal với một bộ phân vị chung chỉ bảo đảm bao phủ biên dưới giả định hoán đổi được (Lei và cộng sự, 2018). Tuy nhiên còn hai vấn đề: quy tắc nhãn r với ngưỡng cố định vẫn gắn với quy mô, và nhóm quy mô cao nhất còn quá rộng. Các hướng hiệu chỉnh khả thi, chưa được triển khai trong lần chạy này, gồm:</w:t>
      </w:r>
    </w:p>
    <w:p>
      <w:pPr>
        <w:keepLines w:val="0"/>
        <w:spacing w:after="60"/>
        <w:ind w:left="851" w:hanging="284"/>
      </w:pPr>
      <w:r>
        <w:t xml:space="preserve">–	Chia nhỏ nhóm Mondrian ở vùng quy mô lớn (ví dụ theo phân vị có trọng số theo doanh số thay vì theo số quan sát), để độ rộng co giãn liên tục hơn với chuỗi lớn.</w:t>
      </w:r>
    </w:p>
    <w:p>
      <w:pPr>
        <w:keepLines w:val="0"/>
        <w:spacing w:after="60"/>
        <w:ind w:left="851" w:hanging="284"/>
      </w:pPr>
      <w:r>
        <w:t xml:space="preserve">–	Dùng hồi quy phân vị được conformal hóa (Romano và cộng sự, 2019) để khoảng thích ứng theo đặc trưng của từng quan sát.</w:t>
      </w:r>
    </w:p>
    <w:p>
      <w:pPr>
        <w:keepLines w:val="0"/>
        <w:spacing w:after="60"/>
        <w:ind w:left="851" w:hanging="284"/>
      </w:pPr>
      <w:r>
        <w:t xml:space="preserve">–	Thay nhãn dựa trên r bằng thứ tự ưu tiên có trọng số kinh doanh, kết hợp quy mô, độ rộng tuyệt đối và sai số gần đây; Stage 08 đã đi một bước theo hướng này bằng mã LARGE_SERIES (mục 4.12).</w:t>
      </w:r>
    </w:p>
    <w:p>
      <w:pPr>
        <w:pStyle w:val="Heading2"/>
        <w:keepNext/>
      </w:pPr>
      <w:r>
        <w:t xml:space="preserve">4.12. Lớp Generative AI, RAG và HITL trong lần chạy</w:t>
      </w:r>
    </w:p>
    <w:p>
      <w:pPr>
        <w:pStyle w:val="Heading3"/>
        <w:keepNext/>
      </w:pPr>
      <w:r>
        <w:t xml:space="preserve">4.12.1. Trạng thái thực thi và cơ cấu hàng đợi quyết định</w:t>
      </w:r>
    </w:p>
    <w:p>
      <w:pPr>
        <w:keepLines w:val="0"/>
        <w:spacing w:after="120"/>
        <w:ind w:firstLine="567"/>
      </w:pPr>
      <w:r>
        <w:t xml:space="preserve">Lớp Generative AI của Stage 08 được tổ chức quanh một bộ máy khuyến nghị có căn cứ (deterministic decision engine): mọi con số trong phiếu khuyến nghị lấy trực tiếp hoặc tính minh bạch từ đầu ra của Stage 05, 06 và 07, còn mô hình ngôn ngữ lớn (LLM), nếu được bật, chỉ viết lại phần diễn giải. Theo genai_run_status.csv, lần chạy tạo phiếu cho toàn bộ 1.782 chuỗi, với api_key_present = False; vì vậy cả 1.782 phiếu đều ở chế độ RULE_BASED, không có bản LLM nào được tạo hay bị loại, và 30 phiếu Markdown đầu hàng đợi được xuất ra thư mục decision_briefs. Bảng 4.18 tổng hợp trạng thái chạy và phân bố các trường chính của decision_queue.csv. Luận văn vì vậy đánh giá được kiến trúc và nội dung phiếu, nhưng không có bằng chứng về chất lượng văn bản LLM hay tỷ lệ ảo giác trong điều kiện thật, vốn là rủi ro trọng yếu của sinh ngôn ngữ tự nhiên (Ji và cộng sự, 2023).</w:t>
      </w:r>
    </w:p>
    <w:p>
      <w:pPr>
        <w:keepNext/>
        <w:spacing w:before="120" w:after="60"/>
        <w:ind w:firstLine="0"/>
        <w:jc w:val="center"/>
      </w:pPr>
      <w:r>
        <w:t xml:space="preserve">Bảng 4.18. Trạng thái chạy của Stage 08 và phân bố mã lý do, hành động, mức tin cậy, khuyến nghị khuyến mãi trên 1.782 phiếu</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629"/>
        <w:gridCol w:w="6442"/>
      </w:tblGrid>
      <w:tr>
        <w:trPr>
          <w:tblHeader/>
          <w:cantSplit/>
        </w:trPr>
        <w:tc>
          <w:tcPr>
            <w:tcW w:type="dxa" w:w="2629"/>
            <w:shd w:val="clear" w:color="auto" w:fill="D9E2F3"/>
            <w:vAlign w:val="center"/>
          </w:tcPr>
          <w:p>
            <w:pPr>
              <w:spacing w:before="20" w:after="20" w:line="260" w:lineRule="auto"/>
              <w:ind w:firstLine="0"/>
              <w:jc w:val="center"/>
            </w:pPr>
            <w:r>
              <w:rPr>
                <w:b/>
                <w:sz w:val="20"/>
                <w:szCs w:val="20"/>
              </w:rPr>
              <w:t xml:space="preserve">Hạng mục</w:t>
            </w:r>
          </w:p>
        </w:tc>
        <w:tc>
          <w:tcPr>
            <w:tcW w:type="dxa" w:w="6442"/>
            <w:shd w:val="clear" w:color="auto" w:fill="D9E2F3"/>
            <w:vAlign w:val="center"/>
          </w:tcPr>
          <w:p>
            <w:pPr>
              <w:spacing w:before="20" w:after="20" w:line="260" w:lineRule="auto"/>
              <w:ind w:firstLine="0"/>
              <w:jc w:val="center"/>
            </w:pPr>
            <w:r>
              <w:rPr>
                <w:b/>
                <w:sz w:val="20"/>
                <w:szCs w:val="20"/>
              </w:rPr>
              <w:t xml:space="preserve">Kết quả ghi nhận</w:t>
            </w:r>
          </w:p>
        </w:tc>
      </w:tr>
      <w:tr>
        <w:trPr>
          <w:cantSplit/>
        </w:trPr>
        <w:tc>
          <w:tcPr>
            <w:tcW w:type="dxa" w:w="2629"/>
            <w:vAlign w:val="center"/>
          </w:tcPr>
          <w:p>
            <w:pPr>
              <w:spacing w:before="20" w:after="20" w:line="260" w:lineRule="auto"/>
              <w:ind w:firstLine="0"/>
              <w:jc w:val="left"/>
            </w:pPr>
            <w:r>
              <w:rPr>
                <w:sz w:val="20"/>
                <w:szCs w:val="20"/>
              </w:rPr>
              <w:t xml:space="preserve">Số phiếu / mô hình</w:t>
            </w:r>
          </w:p>
        </w:tc>
        <w:tc>
          <w:tcPr>
            <w:tcW w:type="dxa" w:w="6442"/>
            <w:vAlign w:val="center"/>
          </w:tcPr>
          <w:p>
            <w:pPr>
              <w:spacing w:before="20" w:after="20" w:line="260" w:lineRule="auto"/>
              <w:ind w:firstLine="0"/>
              <w:jc w:val="left"/>
            </w:pPr>
            <w:r>
              <w:rPr>
                <w:sz w:val="20"/>
                <w:szCs w:val="20"/>
              </w:rPr>
              <w:t xml:space="preserve">1.782 phiếu (mọi chuỗi); mô hình dự báo XGBoost</w:t>
            </w:r>
          </w:p>
        </w:tc>
      </w:tr>
      <w:tr>
        <w:trPr>
          <w:cantSplit/>
        </w:trPr>
        <w:tc>
          <w:tcPr>
            <w:tcW w:type="dxa" w:w="2629"/>
            <w:vAlign w:val="center"/>
          </w:tcPr>
          <w:p>
            <w:pPr>
              <w:spacing w:before="20" w:after="20" w:line="260" w:lineRule="auto"/>
              <w:ind w:firstLine="0"/>
              <w:jc w:val="left"/>
            </w:pPr>
            <w:r>
              <w:rPr>
                <w:sz w:val="20"/>
                <w:szCs w:val="20"/>
              </w:rPr>
              <w:t xml:space="preserve">Khóa API / chế độ</w:t>
            </w:r>
          </w:p>
        </w:tc>
        <w:tc>
          <w:tcPr>
            <w:tcW w:type="dxa" w:w="6442"/>
            <w:vAlign w:val="center"/>
          </w:tcPr>
          <w:p>
            <w:pPr>
              <w:spacing w:before="20" w:after="20" w:line="260" w:lineRule="auto"/>
              <w:ind w:firstLine="0"/>
              <w:jc w:val="left"/>
            </w:pPr>
            <w:r>
              <w:rPr>
                <w:sz w:val="20"/>
                <w:szCs w:val="20"/>
              </w:rPr>
              <w:t xml:space="preserve">api_key_present = False; RULE_BASED 1.782/1.782; số bản LLM bị loại 0; mô hình mặc định gpt-5-mini, tối đa 30 phiếu</w:t>
            </w:r>
          </w:p>
        </w:tc>
      </w:tr>
      <w:tr>
        <w:trPr>
          <w:cantSplit/>
        </w:trPr>
        <w:tc>
          <w:tcPr>
            <w:tcW w:type="dxa" w:w="2629"/>
            <w:vAlign w:val="center"/>
          </w:tcPr>
          <w:p>
            <w:pPr>
              <w:spacing w:before="20" w:after="20" w:line="260" w:lineRule="auto"/>
              <w:ind w:firstLine="0"/>
              <w:jc w:val="left"/>
            </w:pPr>
            <w:r>
              <w:rPr>
                <w:sz w:val="20"/>
                <w:szCs w:val="20"/>
              </w:rPr>
              <w:t xml:space="preserve">Mã lý do</w:t>
            </w:r>
          </w:p>
        </w:tc>
        <w:tc>
          <w:tcPr>
            <w:tcW w:type="dxa" w:w="6442"/>
            <w:vAlign w:val="center"/>
          </w:tcPr>
          <w:p>
            <w:pPr>
              <w:spacing w:before="20" w:after="20" w:line="260" w:lineRule="auto"/>
              <w:ind w:firstLine="0"/>
              <w:jc w:val="left"/>
            </w:pPr>
            <w:r>
              <w:rPr>
                <w:sz w:val="20"/>
                <w:szCs w:val="20"/>
              </w:rPr>
              <w:t xml:space="preserve">RISK_HIGH|PROMO_EXTRAPOLATION 806; RISK_MEDIUM|LARGE_SERIES 359; RISK_MEDIUM 272; RISK_HIGH 257; RISK_LOW|LARGE_SERIES 84; RISK_MEDIUM|PROMO_EXTRAPOLATION 3; RISK_HIGH|LARGE_SERIES 1</w:t>
            </w:r>
          </w:p>
        </w:tc>
      </w:tr>
      <w:tr>
        <w:trPr>
          <w:cantSplit/>
        </w:trPr>
        <w:tc>
          <w:tcPr>
            <w:tcW w:type="dxa" w:w="2629"/>
            <w:vAlign w:val="center"/>
          </w:tcPr>
          <w:p>
            <w:pPr>
              <w:spacing w:before="20" w:after="20" w:line="260" w:lineRule="auto"/>
              <w:ind w:firstLine="0"/>
              <w:jc w:val="left"/>
            </w:pPr>
            <w:r>
              <w:rPr>
                <w:sz w:val="20"/>
                <w:szCs w:val="20"/>
              </w:rPr>
              <w:t xml:space="preserve">Điểm ưu tiên</w:t>
            </w:r>
          </w:p>
        </w:tc>
        <w:tc>
          <w:tcPr>
            <w:tcW w:type="dxa" w:w="6442"/>
            <w:vAlign w:val="center"/>
          </w:tcPr>
          <w:p>
            <w:pPr>
              <w:spacing w:before="20" w:after="20" w:line="260" w:lineRule="auto"/>
              <w:ind w:firstLine="0"/>
              <w:jc w:val="left"/>
            </w:pPr>
            <w:r>
              <w:rPr>
                <w:sz w:val="20"/>
                <w:szCs w:val="20"/>
              </w:rPr>
              <w:t xml:space="preserve">5 điểm: 1; 4 điểm: 359; 3 điểm: 890; 2 điểm: 260; 1 điểm: 272</w:t>
            </w:r>
          </w:p>
        </w:tc>
      </w:tr>
      <w:tr>
        <w:trPr>
          <w:cantSplit/>
        </w:trPr>
        <w:tc>
          <w:tcPr>
            <w:tcW w:type="dxa" w:w="2629"/>
            <w:vAlign w:val="center"/>
          </w:tcPr>
          <w:p>
            <w:pPr>
              <w:spacing w:before="20" w:after="20" w:line="260" w:lineRule="auto"/>
              <w:ind w:firstLine="0"/>
              <w:jc w:val="left"/>
            </w:pPr>
            <w:r>
              <w:rPr>
                <w:sz w:val="20"/>
                <w:szCs w:val="20"/>
              </w:rPr>
              <w:t xml:space="preserve">Hành động</w:t>
            </w:r>
          </w:p>
        </w:tc>
        <w:tc>
          <w:tcPr>
            <w:tcW w:type="dxa" w:w="6442"/>
            <w:vAlign w:val="center"/>
          </w:tcPr>
          <w:p>
            <w:pPr>
              <w:spacing w:before="20" w:after="20" w:line="260" w:lineRule="auto"/>
              <w:ind w:firstLine="0"/>
              <w:jc w:val="left"/>
            </w:pPr>
            <w:r>
              <w:rPr>
                <w:sz w:val="20"/>
                <w:szCs w:val="20"/>
              </w:rPr>
              <w:t xml:space="preserve">BỔ SUNG THẬN TRỌNG 1.063; BỔ SUNG THEO P90 · RÀ SOÁT KHOẢNG DỰ BÁO 444; BỔ SUNG THEO P90 275</w:t>
            </w:r>
          </w:p>
        </w:tc>
      </w:tr>
      <w:tr>
        <w:trPr>
          <w:cantSplit/>
        </w:trPr>
        <w:tc>
          <w:tcPr>
            <w:tcW w:type="dxa" w:w="2629"/>
            <w:vAlign w:val="center"/>
          </w:tcPr>
          <w:p>
            <w:pPr>
              <w:spacing w:before="20" w:after="20" w:line="260" w:lineRule="auto"/>
              <w:ind w:firstLine="0"/>
              <w:jc w:val="left"/>
            </w:pPr>
            <w:r>
              <w:rPr>
                <w:sz w:val="20"/>
                <w:szCs w:val="20"/>
              </w:rPr>
              <w:t xml:space="preserve">Mức tin cậy</w:t>
            </w:r>
          </w:p>
        </w:tc>
        <w:tc>
          <w:tcPr>
            <w:tcW w:type="dxa" w:w="6442"/>
            <w:vAlign w:val="center"/>
          </w:tcPr>
          <w:p>
            <w:pPr>
              <w:spacing w:before="20" w:after="20" w:line="260" w:lineRule="auto"/>
              <w:ind w:firstLine="0"/>
              <w:jc w:val="left"/>
            </w:pPr>
            <w:r>
              <w:rPr>
                <w:sz w:val="20"/>
                <w:szCs w:val="20"/>
              </w:rPr>
              <w:t xml:space="preserve">TRUNG BÌNH 1.506; CAO 275; THẤP 1</w:t>
            </w:r>
          </w:p>
        </w:tc>
      </w:tr>
      <w:tr>
        <w:trPr>
          <w:cantSplit/>
        </w:trPr>
        <w:tc>
          <w:tcPr>
            <w:tcW w:type="dxa" w:w="2629"/>
            <w:vAlign w:val="center"/>
          </w:tcPr>
          <w:p>
            <w:pPr>
              <w:spacing w:before="20" w:after="20" w:line="260" w:lineRule="auto"/>
              <w:ind w:firstLine="0"/>
              <w:jc w:val="left"/>
            </w:pPr>
            <w:r>
              <w:rPr>
                <w:sz w:val="20"/>
                <w:szCs w:val="20"/>
              </w:rPr>
              <w:t xml:space="preserve">Khuyến mãi</w:t>
            </w:r>
          </w:p>
        </w:tc>
        <w:tc>
          <w:tcPr>
            <w:tcW w:type="dxa" w:w="6442"/>
            <w:vAlign w:val="center"/>
          </w:tcPr>
          <w:p>
            <w:pPr>
              <w:spacing w:before="20" w:after="20" w:line="260" w:lineRule="auto"/>
              <w:ind w:firstLine="0"/>
              <w:jc w:val="left"/>
            </w:pPr>
            <w:r>
              <w:rPr>
                <w:sz w:val="20"/>
                <w:szCs w:val="20"/>
              </w:rPr>
              <w:t xml:space="preserve">KHÔNG ĐỀ XUẤT TĂNG 1.099; CÂN NHẮC THỬ NGHIỆM 683; cảnh báo ngoại suy 809</w:t>
            </w:r>
          </w:p>
        </w:tc>
      </w:tr>
      <w:tr>
        <w:trPr>
          <w:cantSplit/>
        </w:trPr>
        <w:tc>
          <w:tcPr>
            <w:tcW w:type="dxa" w:w="2629"/>
            <w:vAlign w:val="center"/>
          </w:tcPr>
          <w:p>
            <w:pPr>
              <w:spacing w:before="20" w:after="20" w:line="260" w:lineRule="auto"/>
              <w:ind w:firstLine="0"/>
              <w:jc w:val="left"/>
            </w:pPr>
            <w:r>
              <w:rPr>
                <w:sz w:val="20"/>
                <w:szCs w:val="20"/>
              </w:rPr>
              <w:t xml:space="preserve">Trạng thái phê duyệt</w:t>
            </w:r>
          </w:p>
        </w:tc>
        <w:tc>
          <w:tcPr>
            <w:tcW w:type="dxa" w:w="6442"/>
            <w:vAlign w:val="center"/>
          </w:tcPr>
          <w:p>
            <w:pPr>
              <w:spacing w:before="20" w:after="20" w:line="260" w:lineRule="auto"/>
              <w:ind w:firstLine="0"/>
              <w:jc w:val="left"/>
            </w:pPr>
            <w:r>
              <w:rPr>
                <w:sz w:val="20"/>
                <w:szCs w:val="20"/>
              </w:rPr>
              <w:t xml:space="preserve">PENDING_HUMAN_REVIEW ở mọi phiếu</w:t>
            </w:r>
          </w:p>
        </w:tc>
      </w:tr>
    </w:tbl>
    <w:p>
      <w:pPr>
        <w:spacing w:before="40" w:after="160"/>
        <w:ind w:firstLine="0"/>
      </w:pPr>
      <w:r>
        <w:rPr>
          <w:i/>
          <w:sz w:val="22"/>
          <w:szCs w:val="22"/>
        </w:rPr>
        <w:t xml:space="preserve">Nguồn: genai_run_status.csv và decision_queue.csv (outputs/08_genai_decision_support).</w:t>
      </w:r>
    </w:p>
    <w:p>
      <w:pPr>
        <w:keepLines w:val="0"/>
        <w:spacing w:after="120"/>
        <w:ind w:firstLine="567"/>
      </w:pPr>
      <w:r>
        <w:t xml:space="preserve">Phân bố mã lý do phản ánh trực tiếp các kết quả của mục 4.10 và 4.11. Mã LARGE_SERIES xuất hiện ở 444 phiếu, trùng khớp với số phiếu nhận hành động BỔ SUNG THEO P90 · RÀ SOÁT KHOẢNG DỰ BÁO; toàn bộ 84 chuỗi LOW đều thuộc nhóm này. Mã PROMO_EXTRAPOLATION xuất hiện ở 809 phiếu, và gần như luôn đi cùng RISK_HIGH (806 phiếu), vì các chuỗi bị kịch bản đẩy ra ngoài miền dữ liệu chủ yếu là chuỗi nhỏ. Hành động được suy ra tất định: 1.063 chuỗi HIGH không thuộc nhóm lớn nhận BỔ SUNG THẬN TRỌNG (phương án B, POL-INV-005). Mức tin cậy bắt đầu từ 3 và trừ 1 cho mỗi mã RISK_HIGH hoặc LARGE_SERIES, nên chỉ đúng một phiếu, là chuỗi vừa HIGH vừa thuộc nhóm lớn, nhận mức THẤP.</w:t>
      </w:r>
    </w:p>
    <w:p>
      <w:pPr>
        <w:pStyle w:val="Heading3"/>
        <w:keepNext/>
      </w:pPr>
      <w:r>
        <w:t xml:space="preserve">4.12.2. Điểm ưu tiên và mười phiếu đầu hàng đợi</w:t>
      </w:r>
    </w:p>
    <w:p>
      <w:pPr>
        <w:keepLines w:val="0"/>
        <w:spacing w:after="120"/>
        <w:ind w:firstLine="567"/>
      </w:pPr>
      <w:r>
        <w:t xml:space="preserve">Thứ tự của hàng đợi được xác định bằng điểm ưu tiên cộng dồn: LARGE_SERIES được 3 điểm, RISK_HIGH 2 điểm, RISK_MEDIUM 1 điểm, RISK_LOW 0 điểm và PROMO_EXTRAPOLATION 1 điểm; các phiếu cùng điểm được xếp theo P50 giảm dần. Trọng số 3 cho LARGE_SERIES là lựa chọn thiết kế có chủ đích, nhằm bù cho điểm yếu của nhãn r đã nêu ở mục 4.11: nếu chỉ xếp theo nhãn, những chuỗi quyết định phần lớn doanh số sẽ bị đẩy xuống cuối hàng đợi. Bảng 4.19 liệt kê mười phiếu đầu. Phiếu #1 là chuỗi duy nhất đạt 5 điểm; chín phiếu tiếp theo đều đạt 4 điểm với mã RISK_MEDIUM|LARGE_SERIES, thuộc hai nhóm BEVERAGES và GROCERY I. Trong 30 phiếu đã xuất, BEVERAGES có 13 phiếu, GROCERY I 8, PRODUCE 5, CLEANING 3 và DAIRY 1, tức đầu hàng đợi tập trung vào các nhóm có khối lượng lớn nhất, trong đó BEVERAGES, GROCERY I và CLEANING cũng là ba nhóm lớn có độ bao phủ thấp nhất ở mục 4.11.3.</w:t>
      </w:r>
    </w:p>
    <w:p>
      <w:pPr>
        <w:keepNext/>
        <w:spacing w:before="120" w:after="60"/>
        <w:ind w:firstLine="0"/>
        <w:jc w:val="center"/>
      </w:pPr>
      <w:r>
        <w:t xml:space="preserve">Bảng 4.19. Mười phiếu khuyến nghị đầu hàng đợi ưu tiên của Stage 08</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98"/>
        <w:gridCol w:w="1455"/>
        <w:gridCol w:w="998"/>
        <w:gridCol w:w="998"/>
        <w:gridCol w:w="2232"/>
        <w:gridCol w:w="1272"/>
        <w:gridCol w:w="1118"/>
      </w:tblGrid>
      <w:tr>
        <w:trPr>
          <w:tblHeader/>
          <w:cantSplit/>
        </w:trPr>
        <w:tc>
          <w:tcPr>
            <w:tcW w:type="dxa" w:w="998"/>
            <w:shd w:val="clear" w:color="auto" w:fill="D9E2F3"/>
            <w:vAlign w:val="center"/>
          </w:tcPr>
          <w:p>
            <w:pPr>
              <w:spacing w:before="20" w:after="20" w:line="260" w:lineRule="auto"/>
              <w:ind w:firstLine="0"/>
              <w:jc w:val="center"/>
            </w:pPr>
            <w:r>
              <w:rPr>
                <w:b/>
                <w:sz w:val="20"/>
                <w:szCs w:val="20"/>
              </w:rPr>
              <w:t xml:space="preserve">Thứ hạng</w:t>
            </w:r>
          </w:p>
        </w:tc>
        <w:tc>
          <w:tcPr>
            <w:tcW w:type="dxa" w:w="1455"/>
            <w:shd w:val="clear" w:color="auto" w:fill="D9E2F3"/>
            <w:vAlign w:val="center"/>
          </w:tcPr>
          <w:p>
            <w:pPr>
              <w:spacing w:before="20" w:after="20" w:line="260" w:lineRule="auto"/>
              <w:ind w:firstLine="0"/>
              <w:jc w:val="center"/>
            </w:pPr>
            <w:r>
              <w:rPr>
                <w:b/>
                <w:sz w:val="20"/>
                <w:szCs w:val="20"/>
              </w:rPr>
              <w:t xml:space="preserve">Mã phiếu</w:t>
            </w:r>
          </w:p>
        </w:tc>
        <w:tc>
          <w:tcPr>
            <w:tcW w:type="dxa" w:w="998"/>
            <w:shd w:val="clear" w:color="auto" w:fill="D9E2F3"/>
            <w:vAlign w:val="center"/>
          </w:tcPr>
          <w:p>
            <w:pPr>
              <w:spacing w:before="20" w:after="20" w:line="260" w:lineRule="auto"/>
              <w:ind w:firstLine="0"/>
              <w:jc w:val="center"/>
            </w:pPr>
            <w:r>
              <w:rPr>
                <w:b/>
                <w:sz w:val="20"/>
                <w:szCs w:val="20"/>
              </w:rPr>
              <w:t xml:space="preserve">Nhãn</w:t>
            </w:r>
          </w:p>
        </w:tc>
        <w:tc>
          <w:tcPr>
            <w:tcW w:type="dxa" w:w="998"/>
            <w:shd w:val="clear" w:color="auto" w:fill="D9E2F3"/>
            <w:vAlign w:val="center"/>
          </w:tcPr>
          <w:p>
            <w:pPr>
              <w:spacing w:before="20" w:after="20" w:line="260" w:lineRule="auto"/>
              <w:ind w:firstLine="0"/>
              <w:jc w:val="center"/>
            </w:pPr>
            <w:r>
              <w:rPr>
                <w:b/>
                <w:sz w:val="20"/>
                <w:szCs w:val="20"/>
              </w:rPr>
              <w:t xml:space="preserve">Điểm</w:t>
            </w:r>
          </w:p>
        </w:tc>
        <w:tc>
          <w:tcPr>
            <w:tcW w:type="dxa" w:w="2232"/>
            <w:shd w:val="clear" w:color="auto" w:fill="D9E2F3"/>
            <w:vAlign w:val="center"/>
          </w:tcPr>
          <w:p>
            <w:pPr>
              <w:spacing w:before="20" w:after="20" w:line="260" w:lineRule="auto"/>
              <w:ind w:firstLine="0"/>
              <w:jc w:val="center"/>
            </w:pPr>
            <w:r>
              <w:rPr>
                <w:b/>
                <w:sz w:val="20"/>
                <w:szCs w:val="20"/>
              </w:rPr>
              <w:t xml:space="preserve">Hành động</w:t>
            </w:r>
          </w:p>
        </w:tc>
        <w:tc>
          <w:tcPr>
            <w:tcW w:type="dxa" w:w="1272"/>
            <w:shd w:val="clear" w:color="auto" w:fill="D9E2F3"/>
            <w:vAlign w:val="center"/>
          </w:tcPr>
          <w:p>
            <w:pPr>
              <w:spacing w:before="20" w:after="20" w:line="260" w:lineRule="auto"/>
              <w:ind w:firstLine="0"/>
              <w:jc w:val="center"/>
            </w:pPr>
            <w:r>
              <w:rPr>
                <w:b/>
                <w:sz w:val="20"/>
                <w:szCs w:val="20"/>
              </w:rPr>
              <w:t xml:space="preserve">Lượng bổ sung</w:t>
            </w:r>
          </w:p>
        </w:tc>
        <w:tc>
          <w:tcPr>
            <w:tcW w:type="dxa" w:w="1118"/>
            <w:shd w:val="clear" w:color="auto" w:fill="D9E2F3"/>
            <w:vAlign w:val="center"/>
          </w:tcPr>
          <w:p>
            <w:pPr>
              <w:spacing w:before="20" w:after="20" w:line="260" w:lineRule="auto"/>
              <w:ind w:firstLine="0"/>
              <w:jc w:val="center"/>
            </w:pPr>
            <w:r>
              <w:rPr>
                <w:b/>
                <w:sz w:val="20"/>
                <w:szCs w:val="20"/>
              </w:rPr>
              <w:t xml:space="preserve">Tin cậy</w:t>
            </w:r>
          </w:p>
        </w:tc>
      </w:tr>
      <w:tr>
        <w:trPr>
          <w:cantSplit/>
        </w:trPr>
        <w:tc>
          <w:tcPr>
            <w:tcW w:type="dxa" w:w="998"/>
            <w:vAlign w:val="center"/>
          </w:tcPr>
          <w:p>
            <w:pPr>
              <w:spacing w:before="20" w:after="20" w:line="260" w:lineRule="auto"/>
              <w:ind w:firstLine="0"/>
              <w:jc w:val="center"/>
            </w:pPr>
            <w:r>
              <w:rPr>
                <w:sz w:val="20"/>
                <w:szCs w:val="20"/>
              </w:rPr>
              <w:t xml:space="preserve">1</w:t>
            </w:r>
          </w:p>
        </w:tc>
        <w:tc>
          <w:tcPr>
            <w:tcW w:type="dxa" w:w="1455"/>
            <w:vAlign w:val="center"/>
          </w:tcPr>
          <w:p>
            <w:pPr>
              <w:spacing w:before="20" w:after="20" w:line="260" w:lineRule="auto"/>
              <w:ind w:firstLine="0"/>
              <w:jc w:val="left"/>
            </w:pPr>
            <w:r>
              <w:rPr>
                <w:sz w:val="20"/>
                <w:szCs w:val="20"/>
              </w:rPr>
              <w:t xml:space="preserve">DEC-S10-BEVERAGES</w:t>
            </w:r>
          </w:p>
        </w:tc>
        <w:tc>
          <w:tcPr>
            <w:tcW w:type="dxa" w:w="998"/>
            <w:vAlign w:val="center"/>
          </w:tcPr>
          <w:p>
            <w:pPr>
              <w:spacing w:before="20" w:after="20" w:line="260" w:lineRule="auto"/>
              <w:ind w:firstLine="0"/>
              <w:jc w:val="left"/>
            </w:pPr>
            <w:r>
              <w:rPr>
                <w:sz w:val="20"/>
                <w:szCs w:val="20"/>
              </w:rPr>
              <w:t xml:space="preserve">HIGH</w:t>
            </w:r>
          </w:p>
        </w:tc>
        <w:tc>
          <w:tcPr>
            <w:tcW w:type="dxa" w:w="998"/>
            <w:vAlign w:val="center"/>
          </w:tcPr>
          <w:p>
            <w:pPr>
              <w:spacing w:before="20" w:after="20" w:line="260" w:lineRule="auto"/>
              <w:ind w:firstLine="0"/>
              <w:jc w:val="center"/>
            </w:pPr>
            <w:r>
              <w:rPr>
                <w:sz w:val="20"/>
                <w:szCs w:val="20"/>
              </w:rPr>
              <w:t xml:space="preserve">5</w:t>
            </w:r>
          </w:p>
        </w:tc>
        <w:tc>
          <w:tcPr>
            <w:tcW w:type="dxa" w:w="2232"/>
            <w:vAlign w:val="center"/>
          </w:tcPr>
          <w:p>
            <w:pPr>
              <w:spacing w:before="20" w:after="20" w:line="260" w:lineRule="auto"/>
              <w:ind w:firstLine="0"/>
              <w:jc w:val="left"/>
            </w:pPr>
            <w:r>
              <w:rPr>
                <w:sz w:val="20"/>
                <w:szCs w:val="20"/>
              </w:rPr>
              <w:t xml:space="preserve">BỔ SUNG THEO P90 · RÀ SOÁT KHOẢNG DỰ BÁO</w:t>
            </w:r>
          </w:p>
        </w:tc>
        <w:tc>
          <w:tcPr>
            <w:tcW w:type="dxa" w:w="1272"/>
            <w:vAlign w:val="center"/>
          </w:tcPr>
          <w:p>
            <w:pPr>
              <w:spacing w:before="20" w:after="20" w:line="260" w:lineRule="auto"/>
              <w:ind w:firstLine="0"/>
              <w:jc w:val="center"/>
            </w:pPr>
            <w:r>
              <w:rPr>
                <w:sz w:val="20"/>
                <w:szCs w:val="20"/>
              </w:rPr>
              <w:t xml:space="preserve">15.361</w:t>
            </w:r>
          </w:p>
        </w:tc>
        <w:tc>
          <w:tcPr>
            <w:tcW w:type="dxa" w:w="1118"/>
            <w:vAlign w:val="center"/>
          </w:tcPr>
          <w:p>
            <w:pPr>
              <w:spacing w:before="20" w:after="20" w:line="260" w:lineRule="auto"/>
              <w:ind w:firstLine="0"/>
              <w:jc w:val="left"/>
            </w:pPr>
            <w:r>
              <w:rPr>
                <w:sz w:val="20"/>
                <w:szCs w:val="20"/>
              </w:rPr>
              <w:t xml:space="preserve">THẤP</w:t>
            </w:r>
          </w:p>
        </w:tc>
      </w:tr>
      <w:tr>
        <w:trPr>
          <w:cantSplit/>
        </w:trPr>
        <w:tc>
          <w:tcPr>
            <w:tcW w:type="dxa" w:w="998"/>
            <w:vAlign w:val="center"/>
          </w:tcPr>
          <w:p>
            <w:pPr>
              <w:spacing w:before="20" w:after="20" w:line="260" w:lineRule="auto"/>
              <w:ind w:firstLine="0"/>
              <w:jc w:val="center"/>
            </w:pPr>
            <w:r>
              <w:rPr>
                <w:sz w:val="20"/>
                <w:szCs w:val="20"/>
              </w:rPr>
              <w:t xml:space="preserve">2</w:t>
            </w:r>
          </w:p>
        </w:tc>
        <w:tc>
          <w:tcPr>
            <w:tcW w:type="dxa" w:w="1455"/>
            <w:vAlign w:val="center"/>
          </w:tcPr>
          <w:p>
            <w:pPr>
              <w:spacing w:before="20" w:after="20" w:line="260" w:lineRule="auto"/>
              <w:ind w:firstLine="0"/>
              <w:jc w:val="left"/>
            </w:pPr>
            <w:r>
              <w:rPr>
                <w:sz w:val="20"/>
                <w:szCs w:val="20"/>
              </w:rPr>
              <w:t xml:space="preserve">DEC-S54-GROCERY_I</w:t>
            </w:r>
          </w:p>
        </w:tc>
        <w:tc>
          <w:tcPr>
            <w:tcW w:type="dxa" w:w="998"/>
            <w:vAlign w:val="center"/>
          </w:tcPr>
          <w:p>
            <w:pPr>
              <w:spacing w:before="20" w:after="20" w:line="260" w:lineRule="auto"/>
              <w:ind w:firstLine="0"/>
              <w:jc w:val="left"/>
            </w:pPr>
            <w:r>
              <w:rPr>
                <w:sz w:val="20"/>
                <w:szCs w:val="20"/>
              </w:rPr>
              <w:t xml:space="preserve">MEDIUM</w:t>
            </w:r>
          </w:p>
        </w:tc>
        <w:tc>
          <w:tcPr>
            <w:tcW w:type="dxa" w:w="998"/>
            <w:vAlign w:val="center"/>
          </w:tcPr>
          <w:p>
            <w:pPr>
              <w:spacing w:before="20" w:after="20" w:line="260" w:lineRule="auto"/>
              <w:ind w:firstLine="0"/>
              <w:jc w:val="center"/>
            </w:pPr>
            <w:r>
              <w:rPr>
                <w:sz w:val="20"/>
                <w:szCs w:val="20"/>
              </w:rPr>
              <w:t xml:space="preserve">4</w:t>
            </w:r>
          </w:p>
        </w:tc>
        <w:tc>
          <w:tcPr>
            <w:tcW w:type="dxa" w:w="2232"/>
            <w:vAlign w:val="center"/>
          </w:tcPr>
          <w:p>
            <w:pPr>
              <w:spacing w:before="20" w:after="20" w:line="260" w:lineRule="auto"/>
              <w:ind w:firstLine="0"/>
              <w:jc w:val="left"/>
            </w:pPr>
            <w:r>
              <w:rPr>
                <w:sz w:val="20"/>
                <w:szCs w:val="20"/>
              </w:rPr>
              <w:t xml:space="preserve">BỔ SUNG THEO P90 · RÀ SOÁT KHOẢNG DỰ BÁO</w:t>
            </w:r>
          </w:p>
        </w:tc>
        <w:tc>
          <w:tcPr>
            <w:tcW w:type="dxa" w:w="1272"/>
            <w:vAlign w:val="center"/>
          </w:tcPr>
          <w:p>
            <w:pPr>
              <w:spacing w:before="20" w:after="20" w:line="260" w:lineRule="auto"/>
              <w:ind w:firstLine="0"/>
              <w:jc w:val="center"/>
            </w:pPr>
            <w:r>
              <w:rPr>
                <w:sz w:val="20"/>
                <w:szCs w:val="20"/>
              </w:rPr>
              <w:t xml:space="preserve">22.730</w:t>
            </w:r>
          </w:p>
        </w:tc>
        <w:tc>
          <w:tcPr>
            <w:tcW w:type="dxa" w:w="1118"/>
            <w:vAlign w:val="center"/>
          </w:tcPr>
          <w:p>
            <w:pPr>
              <w:spacing w:before="20" w:after="20" w:line="260" w:lineRule="auto"/>
              <w:ind w:firstLine="0"/>
              <w:jc w:val="left"/>
            </w:pPr>
            <w:r>
              <w:rPr>
                <w:sz w:val="20"/>
                <w:szCs w:val="20"/>
              </w:rPr>
              <w:t xml:space="preserve">TRUNG BÌNH</w:t>
            </w:r>
          </w:p>
        </w:tc>
      </w:tr>
      <w:tr>
        <w:trPr>
          <w:cantSplit/>
        </w:trPr>
        <w:tc>
          <w:tcPr>
            <w:tcW w:type="dxa" w:w="998"/>
            <w:vAlign w:val="center"/>
          </w:tcPr>
          <w:p>
            <w:pPr>
              <w:spacing w:before="20" w:after="20" w:line="260" w:lineRule="auto"/>
              <w:ind w:firstLine="0"/>
              <w:jc w:val="center"/>
            </w:pPr>
            <w:r>
              <w:rPr>
                <w:sz w:val="20"/>
                <w:szCs w:val="20"/>
              </w:rPr>
              <w:t xml:space="preserve">3</w:t>
            </w:r>
          </w:p>
        </w:tc>
        <w:tc>
          <w:tcPr>
            <w:tcW w:type="dxa" w:w="1455"/>
            <w:vAlign w:val="center"/>
          </w:tcPr>
          <w:p>
            <w:pPr>
              <w:spacing w:before="20" w:after="20" w:line="260" w:lineRule="auto"/>
              <w:ind w:firstLine="0"/>
              <w:jc w:val="left"/>
            </w:pPr>
            <w:r>
              <w:rPr>
                <w:sz w:val="20"/>
                <w:szCs w:val="20"/>
              </w:rPr>
              <w:t xml:space="preserve">DEC-S31-BEVERAGES</w:t>
            </w:r>
          </w:p>
        </w:tc>
        <w:tc>
          <w:tcPr>
            <w:tcW w:type="dxa" w:w="998"/>
            <w:vAlign w:val="center"/>
          </w:tcPr>
          <w:p>
            <w:pPr>
              <w:spacing w:before="20" w:after="20" w:line="260" w:lineRule="auto"/>
              <w:ind w:firstLine="0"/>
              <w:jc w:val="left"/>
            </w:pPr>
            <w:r>
              <w:rPr>
                <w:sz w:val="20"/>
                <w:szCs w:val="20"/>
              </w:rPr>
              <w:t xml:space="preserve">MEDIUM</w:t>
            </w:r>
          </w:p>
        </w:tc>
        <w:tc>
          <w:tcPr>
            <w:tcW w:type="dxa" w:w="998"/>
            <w:vAlign w:val="center"/>
          </w:tcPr>
          <w:p>
            <w:pPr>
              <w:spacing w:before="20" w:after="20" w:line="260" w:lineRule="auto"/>
              <w:ind w:firstLine="0"/>
              <w:jc w:val="center"/>
            </w:pPr>
            <w:r>
              <w:rPr>
                <w:sz w:val="20"/>
                <w:szCs w:val="20"/>
              </w:rPr>
              <w:t xml:space="preserve">4</w:t>
            </w:r>
          </w:p>
        </w:tc>
        <w:tc>
          <w:tcPr>
            <w:tcW w:type="dxa" w:w="2232"/>
            <w:vAlign w:val="center"/>
          </w:tcPr>
          <w:p>
            <w:pPr>
              <w:spacing w:before="20" w:after="20" w:line="260" w:lineRule="auto"/>
              <w:ind w:firstLine="0"/>
              <w:jc w:val="left"/>
            </w:pPr>
            <w:r>
              <w:rPr>
                <w:sz w:val="20"/>
                <w:szCs w:val="20"/>
              </w:rPr>
              <w:t xml:space="preserve">BỔ SUNG THEO P90 · RÀ SOÁT KHOẢNG DỰ BÁO</w:t>
            </w:r>
          </w:p>
        </w:tc>
        <w:tc>
          <w:tcPr>
            <w:tcW w:type="dxa" w:w="1272"/>
            <w:vAlign w:val="center"/>
          </w:tcPr>
          <w:p>
            <w:pPr>
              <w:spacing w:before="20" w:after="20" w:line="260" w:lineRule="auto"/>
              <w:ind w:firstLine="0"/>
              <w:jc w:val="center"/>
            </w:pPr>
            <w:r>
              <w:rPr>
                <w:sz w:val="20"/>
                <w:szCs w:val="20"/>
              </w:rPr>
              <w:t xml:space="preserve">22.615</w:t>
            </w:r>
          </w:p>
        </w:tc>
        <w:tc>
          <w:tcPr>
            <w:tcW w:type="dxa" w:w="1118"/>
            <w:vAlign w:val="center"/>
          </w:tcPr>
          <w:p>
            <w:pPr>
              <w:spacing w:before="20" w:after="20" w:line="260" w:lineRule="auto"/>
              <w:ind w:firstLine="0"/>
              <w:jc w:val="left"/>
            </w:pPr>
            <w:r>
              <w:rPr>
                <w:sz w:val="20"/>
                <w:szCs w:val="20"/>
              </w:rPr>
              <w:t xml:space="preserve">TRUNG BÌNH</w:t>
            </w:r>
          </w:p>
        </w:tc>
      </w:tr>
      <w:tr>
        <w:trPr>
          <w:cantSplit/>
        </w:trPr>
        <w:tc>
          <w:tcPr>
            <w:tcW w:type="dxa" w:w="998"/>
            <w:vAlign w:val="center"/>
          </w:tcPr>
          <w:p>
            <w:pPr>
              <w:spacing w:before="20" w:after="20" w:line="260" w:lineRule="auto"/>
              <w:ind w:firstLine="0"/>
              <w:jc w:val="center"/>
            </w:pPr>
            <w:r>
              <w:rPr>
                <w:sz w:val="20"/>
                <w:szCs w:val="20"/>
              </w:rPr>
              <w:t xml:space="preserve">4</w:t>
            </w:r>
          </w:p>
        </w:tc>
        <w:tc>
          <w:tcPr>
            <w:tcW w:type="dxa" w:w="1455"/>
            <w:vAlign w:val="center"/>
          </w:tcPr>
          <w:p>
            <w:pPr>
              <w:spacing w:before="20" w:after="20" w:line="260" w:lineRule="auto"/>
              <w:ind w:firstLine="0"/>
              <w:jc w:val="left"/>
            </w:pPr>
            <w:r>
              <w:rPr>
                <w:sz w:val="20"/>
                <w:szCs w:val="20"/>
              </w:rPr>
              <w:t xml:space="preserve">DEC-S02-BEVERAGES</w:t>
            </w:r>
          </w:p>
        </w:tc>
        <w:tc>
          <w:tcPr>
            <w:tcW w:type="dxa" w:w="998"/>
            <w:vAlign w:val="center"/>
          </w:tcPr>
          <w:p>
            <w:pPr>
              <w:spacing w:before="20" w:after="20" w:line="260" w:lineRule="auto"/>
              <w:ind w:firstLine="0"/>
              <w:jc w:val="left"/>
            </w:pPr>
            <w:r>
              <w:rPr>
                <w:sz w:val="20"/>
                <w:szCs w:val="20"/>
              </w:rPr>
              <w:t xml:space="preserve">MEDIUM</w:t>
            </w:r>
          </w:p>
        </w:tc>
        <w:tc>
          <w:tcPr>
            <w:tcW w:type="dxa" w:w="998"/>
            <w:vAlign w:val="center"/>
          </w:tcPr>
          <w:p>
            <w:pPr>
              <w:spacing w:before="20" w:after="20" w:line="260" w:lineRule="auto"/>
              <w:ind w:firstLine="0"/>
              <w:jc w:val="center"/>
            </w:pPr>
            <w:r>
              <w:rPr>
                <w:sz w:val="20"/>
                <w:szCs w:val="20"/>
              </w:rPr>
              <w:t xml:space="preserve">4</w:t>
            </w:r>
          </w:p>
        </w:tc>
        <w:tc>
          <w:tcPr>
            <w:tcW w:type="dxa" w:w="2232"/>
            <w:vAlign w:val="center"/>
          </w:tcPr>
          <w:p>
            <w:pPr>
              <w:spacing w:before="20" w:after="20" w:line="260" w:lineRule="auto"/>
              <w:ind w:firstLine="0"/>
              <w:jc w:val="left"/>
            </w:pPr>
            <w:r>
              <w:rPr>
                <w:sz w:val="20"/>
                <w:szCs w:val="20"/>
              </w:rPr>
              <w:t xml:space="preserve">BỔ SUNG THEO P90 · RÀ SOÁT KHOẢNG DỰ BÁO</w:t>
            </w:r>
          </w:p>
        </w:tc>
        <w:tc>
          <w:tcPr>
            <w:tcW w:type="dxa" w:w="1272"/>
            <w:vAlign w:val="center"/>
          </w:tcPr>
          <w:p>
            <w:pPr>
              <w:spacing w:before="20" w:after="20" w:line="260" w:lineRule="auto"/>
              <w:ind w:firstLine="0"/>
              <w:jc w:val="center"/>
            </w:pPr>
            <w:r>
              <w:rPr>
                <w:sz w:val="20"/>
                <w:szCs w:val="20"/>
              </w:rPr>
              <w:t xml:space="preserve">22.505</w:t>
            </w:r>
          </w:p>
        </w:tc>
        <w:tc>
          <w:tcPr>
            <w:tcW w:type="dxa" w:w="1118"/>
            <w:vAlign w:val="center"/>
          </w:tcPr>
          <w:p>
            <w:pPr>
              <w:spacing w:before="20" w:after="20" w:line="260" w:lineRule="auto"/>
              <w:ind w:firstLine="0"/>
              <w:jc w:val="left"/>
            </w:pPr>
            <w:r>
              <w:rPr>
                <w:sz w:val="20"/>
                <w:szCs w:val="20"/>
              </w:rPr>
              <w:t xml:space="preserve">TRUNG BÌNH</w:t>
            </w:r>
          </w:p>
        </w:tc>
      </w:tr>
      <w:tr>
        <w:trPr>
          <w:cantSplit/>
        </w:trPr>
        <w:tc>
          <w:tcPr>
            <w:tcW w:type="dxa" w:w="998"/>
            <w:vAlign w:val="center"/>
          </w:tcPr>
          <w:p>
            <w:pPr>
              <w:spacing w:before="20" w:after="20" w:line="260" w:lineRule="auto"/>
              <w:ind w:firstLine="0"/>
              <w:jc w:val="center"/>
            </w:pPr>
            <w:r>
              <w:rPr>
                <w:sz w:val="20"/>
                <w:szCs w:val="20"/>
              </w:rPr>
              <w:t xml:space="preserve">5</w:t>
            </w:r>
          </w:p>
        </w:tc>
        <w:tc>
          <w:tcPr>
            <w:tcW w:type="dxa" w:w="1455"/>
            <w:vAlign w:val="center"/>
          </w:tcPr>
          <w:p>
            <w:pPr>
              <w:spacing w:before="20" w:after="20" w:line="260" w:lineRule="auto"/>
              <w:ind w:firstLine="0"/>
              <w:jc w:val="left"/>
            </w:pPr>
            <w:r>
              <w:rPr>
                <w:sz w:val="20"/>
                <w:szCs w:val="20"/>
              </w:rPr>
              <w:t xml:space="preserve">DEC-S29-BEVERAGES</w:t>
            </w:r>
          </w:p>
        </w:tc>
        <w:tc>
          <w:tcPr>
            <w:tcW w:type="dxa" w:w="998"/>
            <w:vAlign w:val="center"/>
          </w:tcPr>
          <w:p>
            <w:pPr>
              <w:spacing w:before="20" w:after="20" w:line="260" w:lineRule="auto"/>
              <w:ind w:firstLine="0"/>
              <w:jc w:val="left"/>
            </w:pPr>
            <w:r>
              <w:rPr>
                <w:sz w:val="20"/>
                <w:szCs w:val="20"/>
              </w:rPr>
              <w:t xml:space="preserve">MEDIUM</w:t>
            </w:r>
          </w:p>
        </w:tc>
        <w:tc>
          <w:tcPr>
            <w:tcW w:type="dxa" w:w="998"/>
            <w:vAlign w:val="center"/>
          </w:tcPr>
          <w:p>
            <w:pPr>
              <w:spacing w:before="20" w:after="20" w:line="260" w:lineRule="auto"/>
              <w:ind w:firstLine="0"/>
              <w:jc w:val="center"/>
            </w:pPr>
            <w:r>
              <w:rPr>
                <w:sz w:val="20"/>
                <w:szCs w:val="20"/>
              </w:rPr>
              <w:t xml:space="preserve">4</w:t>
            </w:r>
          </w:p>
        </w:tc>
        <w:tc>
          <w:tcPr>
            <w:tcW w:type="dxa" w:w="2232"/>
            <w:vAlign w:val="center"/>
          </w:tcPr>
          <w:p>
            <w:pPr>
              <w:spacing w:before="20" w:after="20" w:line="260" w:lineRule="auto"/>
              <w:ind w:firstLine="0"/>
              <w:jc w:val="left"/>
            </w:pPr>
            <w:r>
              <w:rPr>
                <w:sz w:val="20"/>
                <w:szCs w:val="20"/>
              </w:rPr>
              <w:t xml:space="preserve">BỔ SUNG THEO P90 · RÀ SOÁT KHOẢNG DỰ BÁO</w:t>
            </w:r>
          </w:p>
        </w:tc>
        <w:tc>
          <w:tcPr>
            <w:tcW w:type="dxa" w:w="1272"/>
            <w:vAlign w:val="center"/>
          </w:tcPr>
          <w:p>
            <w:pPr>
              <w:spacing w:before="20" w:after="20" w:line="260" w:lineRule="auto"/>
              <w:ind w:firstLine="0"/>
              <w:jc w:val="center"/>
            </w:pPr>
            <w:r>
              <w:rPr>
                <w:sz w:val="20"/>
                <w:szCs w:val="20"/>
              </w:rPr>
              <w:t xml:space="preserve">22.412</w:t>
            </w:r>
          </w:p>
        </w:tc>
        <w:tc>
          <w:tcPr>
            <w:tcW w:type="dxa" w:w="1118"/>
            <w:vAlign w:val="center"/>
          </w:tcPr>
          <w:p>
            <w:pPr>
              <w:spacing w:before="20" w:after="20" w:line="260" w:lineRule="auto"/>
              <w:ind w:firstLine="0"/>
              <w:jc w:val="left"/>
            </w:pPr>
            <w:r>
              <w:rPr>
                <w:sz w:val="20"/>
                <w:szCs w:val="20"/>
              </w:rPr>
              <w:t xml:space="preserve">TRUNG BÌNH</w:t>
            </w:r>
          </w:p>
        </w:tc>
      </w:tr>
      <w:tr>
        <w:trPr>
          <w:cantSplit/>
        </w:trPr>
        <w:tc>
          <w:tcPr>
            <w:tcW w:type="dxa" w:w="998"/>
            <w:vAlign w:val="center"/>
          </w:tcPr>
          <w:p>
            <w:pPr>
              <w:spacing w:before="20" w:after="20" w:line="260" w:lineRule="auto"/>
              <w:ind w:firstLine="0"/>
              <w:jc w:val="center"/>
            </w:pPr>
            <w:r>
              <w:rPr>
                <w:sz w:val="20"/>
                <w:szCs w:val="20"/>
              </w:rPr>
              <w:t xml:space="preserve">6</w:t>
            </w:r>
          </w:p>
        </w:tc>
        <w:tc>
          <w:tcPr>
            <w:tcW w:type="dxa" w:w="1455"/>
            <w:vAlign w:val="center"/>
          </w:tcPr>
          <w:p>
            <w:pPr>
              <w:spacing w:before="20" w:after="20" w:line="260" w:lineRule="auto"/>
              <w:ind w:firstLine="0"/>
              <w:jc w:val="left"/>
            </w:pPr>
            <w:r>
              <w:rPr>
                <w:sz w:val="20"/>
                <w:szCs w:val="20"/>
              </w:rPr>
              <w:t xml:space="preserve">DEC-S33-GROCERY_I</w:t>
            </w:r>
          </w:p>
        </w:tc>
        <w:tc>
          <w:tcPr>
            <w:tcW w:type="dxa" w:w="998"/>
            <w:vAlign w:val="center"/>
          </w:tcPr>
          <w:p>
            <w:pPr>
              <w:spacing w:before="20" w:after="20" w:line="260" w:lineRule="auto"/>
              <w:ind w:firstLine="0"/>
              <w:jc w:val="left"/>
            </w:pPr>
            <w:r>
              <w:rPr>
                <w:sz w:val="20"/>
                <w:szCs w:val="20"/>
              </w:rPr>
              <w:t xml:space="preserve">MEDIUM</w:t>
            </w:r>
          </w:p>
        </w:tc>
        <w:tc>
          <w:tcPr>
            <w:tcW w:type="dxa" w:w="998"/>
            <w:vAlign w:val="center"/>
          </w:tcPr>
          <w:p>
            <w:pPr>
              <w:spacing w:before="20" w:after="20" w:line="260" w:lineRule="auto"/>
              <w:ind w:firstLine="0"/>
              <w:jc w:val="center"/>
            </w:pPr>
            <w:r>
              <w:rPr>
                <w:sz w:val="20"/>
                <w:szCs w:val="20"/>
              </w:rPr>
              <w:t xml:space="preserve">4</w:t>
            </w:r>
          </w:p>
        </w:tc>
        <w:tc>
          <w:tcPr>
            <w:tcW w:type="dxa" w:w="2232"/>
            <w:vAlign w:val="center"/>
          </w:tcPr>
          <w:p>
            <w:pPr>
              <w:spacing w:before="20" w:after="20" w:line="260" w:lineRule="auto"/>
              <w:ind w:firstLine="0"/>
              <w:jc w:val="left"/>
            </w:pPr>
            <w:r>
              <w:rPr>
                <w:sz w:val="20"/>
                <w:szCs w:val="20"/>
              </w:rPr>
              <w:t xml:space="preserve">BỔ SUNG THEO P90 · RÀ SOÁT KHOẢNG DỰ BÁO</w:t>
            </w:r>
          </w:p>
        </w:tc>
        <w:tc>
          <w:tcPr>
            <w:tcW w:type="dxa" w:w="1272"/>
            <w:vAlign w:val="center"/>
          </w:tcPr>
          <w:p>
            <w:pPr>
              <w:spacing w:before="20" w:after="20" w:line="260" w:lineRule="auto"/>
              <w:ind w:firstLine="0"/>
              <w:jc w:val="center"/>
            </w:pPr>
            <w:r>
              <w:rPr>
                <w:sz w:val="20"/>
                <w:szCs w:val="20"/>
              </w:rPr>
              <w:t xml:space="preserve">22.383</w:t>
            </w:r>
          </w:p>
        </w:tc>
        <w:tc>
          <w:tcPr>
            <w:tcW w:type="dxa" w:w="1118"/>
            <w:vAlign w:val="center"/>
          </w:tcPr>
          <w:p>
            <w:pPr>
              <w:spacing w:before="20" w:after="20" w:line="260" w:lineRule="auto"/>
              <w:ind w:firstLine="0"/>
              <w:jc w:val="left"/>
            </w:pPr>
            <w:r>
              <w:rPr>
                <w:sz w:val="20"/>
                <w:szCs w:val="20"/>
              </w:rPr>
              <w:t xml:space="preserve">TRUNG BÌNH</w:t>
            </w:r>
          </w:p>
        </w:tc>
      </w:tr>
      <w:tr>
        <w:trPr>
          <w:cantSplit/>
        </w:trPr>
        <w:tc>
          <w:tcPr>
            <w:tcW w:type="dxa" w:w="998"/>
            <w:vAlign w:val="center"/>
          </w:tcPr>
          <w:p>
            <w:pPr>
              <w:spacing w:before="20" w:after="20" w:line="260" w:lineRule="auto"/>
              <w:ind w:firstLine="0"/>
              <w:jc w:val="center"/>
            </w:pPr>
            <w:r>
              <w:rPr>
                <w:sz w:val="20"/>
                <w:szCs w:val="20"/>
              </w:rPr>
              <w:t xml:space="preserve">7</w:t>
            </w:r>
          </w:p>
        </w:tc>
        <w:tc>
          <w:tcPr>
            <w:tcW w:type="dxa" w:w="1455"/>
            <w:vAlign w:val="center"/>
          </w:tcPr>
          <w:p>
            <w:pPr>
              <w:spacing w:before="20" w:after="20" w:line="260" w:lineRule="auto"/>
              <w:ind w:firstLine="0"/>
              <w:jc w:val="left"/>
            </w:pPr>
            <w:r>
              <w:rPr>
                <w:sz w:val="20"/>
                <w:szCs w:val="20"/>
              </w:rPr>
              <w:t xml:space="preserve">DEC-S05-GROCERY_I</w:t>
            </w:r>
          </w:p>
        </w:tc>
        <w:tc>
          <w:tcPr>
            <w:tcW w:type="dxa" w:w="998"/>
            <w:vAlign w:val="center"/>
          </w:tcPr>
          <w:p>
            <w:pPr>
              <w:spacing w:before="20" w:after="20" w:line="260" w:lineRule="auto"/>
              <w:ind w:firstLine="0"/>
              <w:jc w:val="left"/>
            </w:pPr>
            <w:r>
              <w:rPr>
                <w:sz w:val="20"/>
                <w:szCs w:val="20"/>
              </w:rPr>
              <w:t xml:space="preserve">MEDIUM</w:t>
            </w:r>
          </w:p>
        </w:tc>
        <w:tc>
          <w:tcPr>
            <w:tcW w:type="dxa" w:w="998"/>
            <w:vAlign w:val="center"/>
          </w:tcPr>
          <w:p>
            <w:pPr>
              <w:spacing w:before="20" w:after="20" w:line="260" w:lineRule="auto"/>
              <w:ind w:firstLine="0"/>
              <w:jc w:val="center"/>
            </w:pPr>
            <w:r>
              <w:rPr>
                <w:sz w:val="20"/>
                <w:szCs w:val="20"/>
              </w:rPr>
              <w:t xml:space="preserve">4</w:t>
            </w:r>
          </w:p>
        </w:tc>
        <w:tc>
          <w:tcPr>
            <w:tcW w:type="dxa" w:w="2232"/>
            <w:vAlign w:val="center"/>
          </w:tcPr>
          <w:p>
            <w:pPr>
              <w:spacing w:before="20" w:after="20" w:line="260" w:lineRule="auto"/>
              <w:ind w:firstLine="0"/>
              <w:jc w:val="left"/>
            </w:pPr>
            <w:r>
              <w:rPr>
                <w:sz w:val="20"/>
                <w:szCs w:val="20"/>
              </w:rPr>
              <w:t xml:space="preserve">BỔ SUNG THEO P90 · RÀ SOÁT KHOẢNG DỰ BÁO</w:t>
            </w:r>
          </w:p>
        </w:tc>
        <w:tc>
          <w:tcPr>
            <w:tcW w:type="dxa" w:w="1272"/>
            <w:vAlign w:val="center"/>
          </w:tcPr>
          <w:p>
            <w:pPr>
              <w:spacing w:before="20" w:after="20" w:line="260" w:lineRule="auto"/>
              <w:ind w:firstLine="0"/>
              <w:jc w:val="center"/>
            </w:pPr>
            <w:r>
              <w:rPr>
                <w:sz w:val="20"/>
                <w:szCs w:val="20"/>
              </w:rPr>
              <w:t xml:space="preserve">22.203</w:t>
            </w:r>
          </w:p>
        </w:tc>
        <w:tc>
          <w:tcPr>
            <w:tcW w:type="dxa" w:w="1118"/>
            <w:vAlign w:val="center"/>
          </w:tcPr>
          <w:p>
            <w:pPr>
              <w:spacing w:before="20" w:after="20" w:line="260" w:lineRule="auto"/>
              <w:ind w:firstLine="0"/>
              <w:jc w:val="left"/>
            </w:pPr>
            <w:r>
              <w:rPr>
                <w:sz w:val="20"/>
                <w:szCs w:val="20"/>
              </w:rPr>
              <w:t xml:space="preserve">TRUNG BÌNH</w:t>
            </w:r>
          </w:p>
        </w:tc>
      </w:tr>
      <w:tr>
        <w:trPr>
          <w:cantSplit/>
        </w:trPr>
        <w:tc>
          <w:tcPr>
            <w:tcW w:type="dxa" w:w="998"/>
            <w:vAlign w:val="center"/>
          </w:tcPr>
          <w:p>
            <w:pPr>
              <w:spacing w:before="20" w:after="20" w:line="260" w:lineRule="auto"/>
              <w:ind w:firstLine="0"/>
              <w:jc w:val="center"/>
            </w:pPr>
            <w:r>
              <w:rPr>
                <w:sz w:val="20"/>
                <w:szCs w:val="20"/>
              </w:rPr>
              <w:t xml:space="preserve">8</w:t>
            </w:r>
          </w:p>
        </w:tc>
        <w:tc>
          <w:tcPr>
            <w:tcW w:type="dxa" w:w="1455"/>
            <w:vAlign w:val="center"/>
          </w:tcPr>
          <w:p>
            <w:pPr>
              <w:spacing w:before="20" w:after="20" w:line="260" w:lineRule="auto"/>
              <w:ind w:firstLine="0"/>
              <w:jc w:val="left"/>
            </w:pPr>
            <w:r>
              <w:rPr>
                <w:sz w:val="20"/>
                <w:szCs w:val="20"/>
              </w:rPr>
              <w:t xml:space="preserve">DEC-S18-GROCERY_I</w:t>
            </w:r>
          </w:p>
        </w:tc>
        <w:tc>
          <w:tcPr>
            <w:tcW w:type="dxa" w:w="998"/>
            <w:vAlign w:val="center"/>
          </w:tcPr>
          <w:p>
            <w:pPr>
              <w:spacing w:before="20" w:after="20" w:line="260" w:lineRule="auto"/>
              <w:ind w:firstLine="0"/>
              <w:jc w:val="left"/>
            </w:pPr>
            <w:r>
              <w:rPr>
                <w:sz w:val="20"/>
                <w:szCs w:val="20"/>
              </w:rPr>
              <w:t xml:space="preserve">MEDIUM</w:t>
            </w:r>
          </w:p>
        </w:tc>
        <w:tc>
          <w:tcPr>
            <w:tcW w:type="dxa" w:w="998"/>
            <w:vAlign w:val="center"/>
          </w:tcPr>
          <w:p>
            <w:pPr>
              <w:spacing w:before="20" w:after="20" w:line="260" w:lineRule="auto"/>
              <w:ind w:firstLine="0"/>
              <w:jc w:val="center"/>
            </w:pPr>
            <w:r>
              <w:rPr>
                <w:sz w:val="20"/>
                <w:szCs w:val="20"/>
              </w:rPr>
              <w:t xml:space="preserve">4</w:t>
            </w:r>
          </w:p>
        </w:tc>
        <w:tc>
          <w:tcPr>
            <w:tcW w:type="dxa" w:w="2232"/>
            <w:vAlign w:val="center"/>
          </w:tcPr>
          <w:p>
            <w:pPr>
              <w:spacing w:before="20" w:after="20" w:line="260" w:lineRule="auto"/>
              <w:ind w:firstLine="0"/>
              <w:jc w:val="left"/>
            </w:pPr>
            <w:r>
              <w:rPr>
                <w:sz w:val="20"/>
                <w:szCs w:val="20"/>
              </w:rPr>
              <w:t xml:space="preserve">BỔ SUNG THEO P90 · RÀ SOÁT KHOẢNG DỰ BÁO</w:t>
            </w:r>
          </w:p>
        </w:tc>
        <w:tc>
          <w:tcPr>
            <w:tcW w:type="dxa" w:w="1272"/>
            <w:vAlign w:val="center"/>
          </w:tcPr>
          <w:p>
            <w:pPr>
              <w:spacing w:before="20" w:after="20" w:line="260" w:lineRule="auto"/>
              <w:ind w:firstLine="0"/>
              <w:jc w:val="center"/>
            </w:pPr>
            <w:r>
              <w:rPr>
                <w:sz w:val="20"/>
                <w:szCs w:val="20"/>
              </w:rPr>
              <w:t xml:space="preserve">21.986</w:t>
            </w:r>
          </w:p>
        </w:tc>
        <w:tc>
          <w:tcPr>
            <w:tcW w:type="dxa" w:w="1118"/>
            <w:vAlign w:val="center"/>
          </w:tcPr>
          <w:p>
            <w:pPr>
              <w:spacing w:before="20" w:after="20" w:line="260" w:lineRule="auto"/>
              <w:ind w:firstLine="0"/>
              <w:jc w:val="left"/>
            </w:pPr>
            <w:r>
              <w:rPr>
                <w:sz w:val="20"/>
                <w:szCs w:val="20"/>
              </w:rPr>
              <w:t xml:space="preserve">TRUNG BÌNH</w:t>
            </w:r>
          </w:p>
        </w:tc>
      </w:tr>
      <w:tr>
        <w:trPr>
          <w:cantSplit/>
        </w:trPr>
        <w:tc>
          <w:tcPr>
            <w:tcW w:type="dxa" w:w="998"/>
            <w:vAlign w:val="center"/>
          </w:tcPr>
          <w:p>
            <w:pPr>
              <w:spacing w:before="20" w:after="20" w:line="260" w:lineRule="auto"/>
              <w:ind w:firstLine="0"/>
              <w:jc w:val="center"/>
            </w:pPr>
            <w:r>
              <w:rPr>
                <w:sz w:val="20"/>
                <w:szCs w:val="20"/>
              </w:rPr>
              <w:t xml:space="preserve">9</w:t>
            </w:r>
          </w:p>
        </w:tc>
        <w:tc>
          <w:tcPr>
            <w:tcW w:type="dxa" w:w="1455"/>
            <w:vAlign w:val="center"/>
          </w:tcPr>
          <w:p>
            <w:pPr>
              <w:spacing w:before="20" w:after="20" w:line="260" w:lineRule="auto"/>
              <w:ind w:firstLine="0"/>
              <w:jc w:val="left"/>
            </w:pPr>
            <w:r>
              <w:rPr>
                <w:sz w:val="20"/>
                <w:szCs w:val="20"/>
              </w:rPr>
              <w:t xml:space="preserve">DEC-S37-BEVERAGES</w:t>
            </w:r>
          </w:p>
        </w:tc>
        <w:tc>
          <w:tcPr>
            <w:tcW w:type="dxa" w:w="998"/>
            <w:vAlign w:val="center"/>
          </w:tcPr>
          <w:p>
            <w:pPr>
              <w:spacing w:before="20" w:after="20" w:line="260" w:lineRule="auto"/>
              <w:ind w:firstLine="0"/>
              <w:jc w:val="left"/>
            </w:pPr>
            <w:r>
              <w:rPr>
                <w:sz w:val="20"/>
                <w:szCs w:val="20"/>
              </w:rPr>
              <w:t xml:space="preserve">MEDIUM</w:t>
            </w:r>
          </w:p>
        </w:tc>
        <w:tc>
          <w:tcPr>
            <w:tcW w:type="dxa" w:w="998"/>
            <w:vAlign w:val="center"/>
          </w:tcPr>
          <w:p>
            <w:pPr>
              <w:spacing w:before="20" w:after="20" w:line="260" w:lineRule="auto"/>
              <w:ind w:firstLine="0"/>
              <w:jc w:val="center"/>
            </w:pPr>
            <w:r>
              <w:rPr>
                <w:sz w:val="20"/>
                <w:szCs w:val="20"/>
              </w:rPr>
              <w:t xml:space="preserve">4</w:t>
            </w:r>
          </w:p>
        </w:tc>
        <w:tc>
          <w:tcPr>
            <w:tcW w:type="dxa" w:w="2232"/>
            <w:vAlign w:val="center"/>
          </w:tcPr>
          <w:p>
            <w:pPr>
              <w:spacing w:before="20" w:after="20" w:line="260" w:lineRule="auto"/>
              <w:ind w:firstLine="0"/>
              <w:jc w:val="left"/>
            </w:pPr>
            <w:r>
              <w:rPr>
                <w:sz w:val="20"/>
                <w:szCs w:val="20"/>
              </w:rPr>
              <w:t xml:space="preserve">BỔ SUNG THEO P90 · RÀ SOÁT KHOẢNG DỰ BÁO</w:t>
            </w:r>
          </w:p>
        </w:tc>
        <w:tc>
          <w:tcPr>
            <w:tcW w:type="dxa" w:w="1272"/>
            <w:vAlign w:val="center"/>
          </w:tcPr>
          <w:p>
            <w:pPr>
              <w:spacing w:before="20" w:after="20" w:line="260" w:lineRule="auto"/>
              <w:ind w:firstLine="0"/>
              <w:jc w:val="center"/>
            </w:pPr>
            <w:r>
              <w:rPr>
                <w:sz w:val="20"/>
                <w:szCs w:val="20"/>
              </w:rPr>
              <w:t xml:space="preserve">21.903</w:t>
            </w:r>
          </w:p>
        </w:tc>
        <w:tc>
          <w:tcPr>
            <w:tcW w:type="dxa" w:w="1118"/>
            <w:vAlign w:val="center"/>
          </w:tcPr>
          <w:p>
            <w:pPr>
              <w:spacing w:before="20" w:after="20" w:line="260" w:lineRule="auto"/>
              <w:ind w:firstLine="0"/>
              <w:jc w:val="left"/>
            </w:pPr>
            <w:r>
              <w:rPr>
                <w:sz w:val="20"/>
                <w:szCs w:val="20"/>
              </w:rPr>
              <w:t xml:space="preserve">TRUNG BÌNH</w:t>
            </w:r>
          </w:p>
        </w:tc>
      </w:tr>
      <w:tr>
        <w:trPr>
          <w:cantSplit/>
        </w:trPr>
        <w:tc>
          <w:tcPr>
            <w:tcW w:type="dxa" w:w="998"/>
            <w:vAlign w:val="center"/>
          </w:tcPr>
          <w:p>
            <w:pPr>
              <w:spacing w:before="20" w:after="20" w:line="260" w:lineRule="auto"/>
              <w:ind w:firstLine="0"/>
              <w:jc w:val="center"/>
            </w:pPr>
            <w:r>
              <w:rPr>
                <w:sz w:val="20"/>
                <w:szCs w:val="20"/>
              </w:rPr>
              <w:t xml:space="preserve">10</w:t>
            </w:r>
          </w:p>
        </w:tc>
        <w:tc>
          <w:tcPr>
            <w:tcW w:type="dxa" w:w="1455"/>
            <w:vAlign w:val="center"/>
          </w:tcPr>
          <w:p>
            <w:pPr>
              <w:spacing w:before="20" w:after="20" w:line="260" w:lineRule="auto"/>
              <w:ind w:firstLine="0"/>
              <w:jc w:val="left"/>
            </w:pPr>
            <w:r>
              <w:rPr>
                <w:sz w:val="20"/>
                <w:szCs w:val="20"/>
              </w:rPr>
              <w:t xml:space="preserve">DEC-S41-BEVERAGES</w:t>
            </w:r>
          </w:p>
        </w:tc>
        <w:tc>
          <w:tcPr>
            <w:tcW w:type="dxa" w:w="998"/>
            <w:vAlign w:val="center"/>
          </w:tcPr>
          <w:p>
            <w:pPr>
              <w:spacing w:before="20" w:after="20" w:line="260" w:lineRule="auto"/>
              <w:ind w:firstLine="0"/>
              <w:jc w:val="left"/>
            </w:pPr>
            <w:r>
              <w:rPr>
                <w:sz w:val="20"/>
                <w:szCs w:val="20"/>
              </w:rPr>
              <w:t xml:space="preserve">MEDIUM</w:t>
            </w:r>
          </w:p>
        </w:tc>
        <w:tc>
          <w:tcPr>
            <w:tcW w:type="dxa" w:w="998"/>
            <w:vAlign w:val="center"/>
          </w:tcPr>
          <w:p>
            <w:pPr>
              <w:spacing w:before="20" w:after="20" w:line="260" w:lineRule="auto"/>
              <w:ind w:firstLine="0"/>
              <w:jc w:val="center"/>
            </w:pPr>
            <w:r>
              <w:rPr>
                <w:sz w:val="20"/>
                <w:szCs w:val="20"/>
              </w:rPr>
              <w:t xml:space="preserve">4</w:t>
            </w:r>
          </w:p>
        </w:tc>
        <w:tc>
          <w:tcPr>
            <w:tcW w:type="dxa" w:w="2232"/>
            <w:vAlign w:val="center"/>
          </w:tcPr>
          <w:p>
            <w:pPr>
              <w:spacing w:before="20" w:after="20" w:line="260" w:lineRule="auto"/>
              <w:ind w:firstLine="0"/>
              <w:jc w:val="left"/>
            </w:pPr>
            <w:r>
              <w:rPr>
                <w:sz w:val="20"/>
                <w:szCs w:val="20"/>
              </w:rPr>
              <w:t xml:space="preserve">BỔ SUNG THEO P90 · RÀ SOÁT KHOẢNG DỰ BÁO</w:t>
            </w:r>
          </w:p>
        </w:tc>
        <w:tc>
          <w:tcPr>
            <w:tcW w:type="dxa" w:w="1272"/>
            <w:vAlign w:val="center"/>
          </w:tcPr>
          <w:p>
            <w:pPr>
              <w:spacing w:before="20" w:after="20" w:line="260" w:lineRule="auto"/>
              <w:ind w:firstLine="0"/>
              <w:jc w:val="center"/>
            </w:pPr>
            <w:r>
              <w:rPr>
                <w:sz w:val="20"/>
                <w:szCs w:val="20"/>
              </w:rPr>
              <w:t xml:space="preserve">21.888</w:t>
            </w:r>
          </w:p>
        </w:tc>
        <w:tc>
          <w:tcPr>
            <w:tcW w:type="dxa" w:w="1118"/>
            <w:vAlign w:val="center"/>
          </w:tcPr>
          <w:p>
            <w:pPr>
              <w:spacing w:before="20" w:after="20" w:line="260" w:lineRule="auto"/>
              <w:ind w:firstLine="0"/>
              <w:jc w:val="left"/>
            </w:pPr>
            <w:r>
              <w:rPr>
                <w:sz w:val="20"/>
                <w:szCs w:val="20"/>
              </w:rPr>
              <w:t xml:space="preserve">TRUNG BÌNH</w:t>
            </w:r>
          </w:p>
        </w:tc>
      </w:tr>
    </w:tbl>
    <w:p>
      <w:pPr>
        <w:spacing w:before="40" w:after="160"/>
        <w:ind w:firstLine="0"/>
      </w:pPr>
      <w:r>
        <w:rPr>
          <w:i/>
          <w:sz w:val="22"/>
          <w:szCs w:val="22"/>
        </w:rPr>
        <w:t xml:space="preserve">Nguồn: decision_queue.csv (outputs/08_genai_decision_support); REPORT_READY/tables/20_decision_queue_top20.csv.</w:t>
      </w:r>
    </w:p>
    <w:p>
      <w:pPr>
        <w:keepLines w:val="0"/>
        <w:spacing w:after="120"/>
        <w:ind w:firstLine="567"/>
      </w:pPr>
      <w:r>
        <w:t xml:space="preserve">Cơ cấu điểm cũng làm lộ giới hạn của cách cộng điểm. Vì LARGE_SERIES được 3 điểm trong khi PROMO_EXTRAPOLATION chỉ được 1 điểm, một chuỗi nhỏ có kịch bản ngoại suy đứng ngang hàng (3 điểm) với một chuỗi LOW quy mô lớn, và thứ tự chỉ còn do P50 quyết định. Với khuyến nghị khuyến mãi, 683 phiếu CÂN NHẮC THỬ NGHIỆM gồm 459 chuỗi HIGH và 224 chuỗi MEDIUM, không có chuỗi LOW nào; 208 phiếu trong số đó đồng thời mang cảnh báo ngoại suy ở một kịch bản khác. Các đề xuất thử nghiệm vì vậy tập trung ở chuỗi nhỏ, nơi phản ứng dự báo theo onpromotion kém tin cậy nhất. Kèm theo mỗi đề xuất là hai quy định mẫu POL-PROMO-003 và POL-PROMO-005, nên phiếu không bao giờ khuyến nghị triển khai trực tiếp mà chỉ gợi ý thử nghiệm có đối chứng.</w:t>
      </w:r>
    </w:p>
    <w:p>
      <w:pPr>
        <w:pStyle w:val="Heading3"/>
        <w:keepNext/>
      </w:pPr>
      <w:r>
        <w:t xml:space="preserve">4.12.3. Phân tích phiếu khuyến nghị #1 như một mẫu phiếu</w:t>
      </w:r>
    </w:p>
    <w:p>
      <w:pPr>
        <w:keepLines w:val="0"/>
        <w:spacing w:after="120"/>
        <w:ind w:firstLine="567"/>
      </w:pPr>
      <w:r>
        <w:t xml:space="preserve">Toàn văn phiếu #1, DEC-S10-BEVERAGES, được xuất trong decision_briefs và minh họa cấu trúc bảy phần của mọi phiếu. Phần đầu ghi cửa hàng 10 – BEVERAGES, kỳ 16 ngày từ 31/07 đến 15/08/2017, mô hình XGBoost, thứ hạng #1 với 5 điểm, nhãn HIGH, tin cậy THẤP và trạng thái PENDING_HUMAN_REVIEW. Phần tóm tắt điều hành nêu P50 16 ngày là 22.173 đơn vị, khoảng P10–P90 từ 16.083 đến 33.099, và khuyến nghị bổ sung theo mức P90 kèm rà soát khoảng dự báo: bổ sung 15.361 đơn vị để đạt mức mục tiêu 33.099 (phương án C), với vị thế tồn kho giả định 17.738. Phần khuyến nghị tồn kho trình bày ba phương án: A theo P50 với mức mục tiêu 22.173 và lượng bổ sung 4.435; B theo q* = 0,75 với mức mục tiêu 29.002 và lượng bổ sung 11.264, được ghi rõ là xấp xỉ nội suy giữa P50 và P90; C theo P90 với 15.361. Mỗi phương án kèm một dòng mô tả đánh đổi, đúng yêu cầu của POL-INV-003.</w:t>
      </w:r>
    </w:p>
    <w:p>
      <w:pPr>
        <w:keepLines w:val="0"/>
        <w:spacing w:after="120"/>
        <w:ind w:firstLine="567"/>
      </w:pPr>
      <w:r>
        <w:t xml:space="preserve">Chuỗi này đáng chú ý vì là chuỗi HIGH có P50 lớn nhất trong 1.064 chuỗi HIGH (22.172,71). Phần cơ sở khuyến nghị nêu hai nguồn của điểm số: nhãn HIGH (r = 0,767) và mã chuỗi lớn (P50 trung bình 1.385,8 đơn vị/ngày, trên ngưỡng 282,6). P50 theo ngày của chuỗi nằm ở phần dưới của nhóm Mondrian cao nhất, nên nhận độ rộng của cả nhóm và có r cao dù quy mô lớn; đây chính là giới hạn của quy tắc r với ngưỡng cố định đã nêu ở mục 4.11. Phiếu cũng dẫn bằng chứng rằng độ bao phủ P10–P90 ở nhóm nhu cầu cao nhất chỉ 72,8% trên tập kiểm tra, và nêu ngày có P50 cao nhất là Thứ Bảy 05/08/2017. Phần khuyến mãi kết luận KHÔNG ĐỀ XUẤT TĂNG: mọi kịch bản đều cho P50 thấp hơn Current, từ −9,8% (No promotion) đến −6,9% (High), nên không có kịch bản nào làm P50 tăng quá 2%. P50 Current của bảng kịch bản (22.066) khác nhẹ P50 ở phần tồn kho (22.173) vì lớp kịch bản dùng dự báo điểm.</w:t>
      </w:r>
    </w:p>
    <w:p>
      <w:pPr>
        <w:keepLines w:val="0"/>
        <w:spacing w:after="120"/>
        <w:ind w:firstLine="567"/>
      </w:pPr>
      <w:r>
        <w:t xml:space="preserve">Ba phần cuối của phiếu thể hiện rõ nhất vai trò kiểm soát. Phần căn cứ chính sách liệt kê bảy quy định kèm vị trí dòng trong tệp nguồn: POL-INV-004, POL-INV-002, POL-INV-003, POL-INV-001, POL-PROMO-002 và POL-HITL-001 là các quy định mà quy tắc đã áp dụng, còn POL-PROMO-001 là kết quả truy xuất bổ sung. Phần giả định nêu rõ vị thế 0,8 × P50 không phải tồn kho thực, Cu và Co là giả định, P10/P50/P90 của kỳ là tổng các phân vị theo ngày, và không có dữ liệu giá, biên lợi nhuận hay thời gian cung ứng. Danh mục kiểm tra gồm năm việc, từ kiểm tra vị thế tồn kho thực và hàng đang về đến chọn phương án A/B/C hoặc nhập số lượng khác kèm lý do. Dòng cuối ghi chế độ RULE_BASED và khẳng định quyết định cuối cùng thuộc về người phê duyệt.</w:t>
      </w:r>
    </w:p>
    <w:p>
      <w:pPr>
        <w:pStyle w:val="Heading3"/>
        <w:keepNext/>
      </w:pPr>
      <w:r>
        <w:t xml:space="preserve">4.12.4. Truy xuất tăng cường và kiểm tra bám bằng chứng</w:t>
      </w:r>
    </w:p>
    <w:p>
      <w:pPr>
        <w:keepLines w:val="0"/>
        <w:spacing w:after="120"/>
        <w:ind w:firstLine="567"/>
      </w:pPr>
      <w:r>
        <w:t xml:space="preserve">Thành phần truy xuất của quy trình là một phiên bản gọn nhẹ của sinh tăng cường truy xuất (retrieval-augmented generation – RAG). Trong khung RAG, câu trả lời được neo vào tài liệu truy xuất thay vì chỉ dựa vào tri thức tham số của mô hình (Lewis và cộng sự, 2020), và chất lượng của bước truy xuất quyết định phần lớn chất lượng đầu ra (Gao và cộng sự, 2023). Kho tri thức gồm hai tệp chính sách mẫu, promotion_policy_sample.md và decision_playbook_sample.md, với 12 quy định dạng POL-...; cả hai tệp đều ghi rõ là giả định do tác giả soạn để minh họa, không phải chính sách của doanh nghiệp. Điểm liên quan được tính bằng BM25 trên từ đã bỏ dấu, cộng điểm thưởng khi trùng thẻ (tag); truy vấn được sinh theo mã lý do của từng phiếu. Các quy định mà quy tắc đã áp dụng luôn được trích dẫn bắt buộc; truy xuất chỉ bổ sung một kết quả.</w:t>
      </w:r>
    </w:p>
    <w:p>
      <w:pPr>
        <w:keepLines w:val="0"/>
        <w:spacing w:after="120"/>
        <w:ind w:firstLine="567"/>
      </w:pPr>
      <w:r>
        <w:t xml:space="preserve">Tính lại từ decision_queue.csv, bốn quy định POL-INV-001, POL-INV-003, POL-PROMO-002 và POL-HITL-001 xuất hiện ở cả 1.782 phiếu; POL-INV-005 ở 1.063 phiếu, POL-INV-002 ở 976, POL-PROMO-004 ở 809, POL-PROMO-003 và POL-PROMO-005 ở 683, POL-INV-004 ở 444. Kết quả truy xuất bổ sung là POL-PROMO-001 ở 1.525 phiếu và POL-INV-002 ở 257 phiếu; POL-HITL-002 về kiểm tra bám bằng chứng không xuất hiện trong phiếu nào. Việc chọn nguồn phụ thuộc vào mã lý do của từng phiếu, nhưng đóng góp riêng của bước truy xuất còn hẹp. Về kiểm tra bám bằng chứng (grounding check), mã nguồn yêu cầu mọi số lớn hơn 31 trong văn bản LLM phải khớp một số trong bằng chứng với sai lệch không quá 0,5% hoặc 0,5 đơn vị; nếu không, bản LLM bị loại và phiếu chuyển sang RULE_BASED_AFTER_GUARDRAIL, còn khi lời gọi lỗi thì chuyển sang RULE_BASED_AFTER_ERROR. Luồng này chỉ được kiểm thử bằng mô phỏng, không gọi API thật: bản hợp lệ được giữ ở chế độ GENAI, bản chứa số không có trong bằng chứng bị loại, JSON lỗi quay về quy tắc.</w:t>
      </w:r>
    </w:p>
    <w:p>
      <w:pPr>
        <w:pStyle w:val="Heading3"/>
        <w:keepNext/>
      </w:pPr>
      <w:r>
        <w:t xml:space="preserve">4.12.5. Luồng HITL và nhật ký kiểm toán</w:t>
      </w:r>
    </w:p>
    <w:p>
      <w:pPr>
        <w:keepLines w:val="0"/>
        <w:spacing w:after="120"/>
        <w:ind w:firstLine="567"/>
      </w:pPr>
      <w:r>
        <w:t xml:space="preserve">Cơ chế con người trong vòng lặp (human-in-the-loop – HITL) được triển khai ở hai điểm. Thứ nhất, mọi phiếu mang trạng thái PENDING_HUMAN_REVIEW, nên không có quyết định nào được thực thi tự động. Thứ hai, trang 07 của dashboard có hàng đợi ưu tiên với bộ lọc, thẻ phiếu khuyến nghị, ba phương án số lượng, các tab bằng chứng, kịch bản, chính sách, giả định và phiếu Markdown tải về, cùng biểu mẫu HITL bắt buộc nhập người phê duyệt và lý do, với bốn quyết định APPROVED, ADJUSTED, REJECTED, REVIEW_REQUESTED và số lượng cuối cùng. Mỗi lần gửi ghi một dòng 14 cột vào hitl_audit_log.csv (từ timestamp, case_id đến reviewer, note và assistant_mode). Quy trình phân quyền và phê duyệt nhiều cấp là đề xuất.</w:t>
      </w:r>
    </w:p>
    <w:p>
      <w:pPr>
        <w:keepLines w:val="0"/>
        <w:spacing w:after="120"/>
        <w:ind w:firstLine="567"/>
      </w:pPr>
      <w:r>
        <w:t xml:space="preserve">Trong lần chạy chính thức chưa có quyết định phê duyệt thật nào được ghi; tệp hitl_audit_log.csv chỉ được tạo khi người dùng ghi quyết định đầu tiên trên dashboard. Luận văn vì vậy chỉ đánh giá được thiết kế của luồng: các trường bắt buộc, bốn loại quyết định và việc mỗi bản ghi mang case_id, priority_rank, selected_model và assistant_mode, cho phép truy ngược một quyết định về đúng phiếu, thứ hạng trong hàng đợi, mô hình dự báo và chế độ tạo diễn giải đã dùng. Chưa có dữ liệu về tỷ lệ phê duyệt, mức điều chỉnh số lượng hay thời gian xử lý, nên chưa thể đánh giá hiệu quả của HITL. Về thiết kế, luồng hiện tại phù hợp nguyên tắc cho phép người dùng dễ dàng bác bỏ hoặc điều chỉnh khuyến nghị của hệ thống AI (Amershi và cộng sự, 2019) và vai trò kiểm soát của con người trong hệ thống học máy (Wu và cộng sự, 2022); ghi thêm phiên bản mô hình và lời nhắc là đề xuất, gần với tinh thần thẻ mô hình (Mitchell và cộng sự, 2019).</w:t>
      </w:r>
    </w:p>
    <w:p>
      <w:pPr>
        <w:pStyle w:val="Heading2"/>
        <w:keepNext/>
      </w:pPr>
      <w:r>
        <w:t xml:space="preserve">4.13. Phân tích bốn trường hợp đại diện</w:t>
      </w:r>
    </w:p>
    <w:p>
      <w:pPr>
        <w:pStyle w:val="Heading3"/>
        <w:keepNext/>
      </w:pPr>
      <w:r>
        <w:t xml:space="preserve">4.13.1. Tiêu chí chọn và tổng quan bốn trường hợp</w:t>
      </w:r>
    </w:p>
    <w:p>
      <w:pPr>
        <w:keepLines w:val="0"/>
        <w:spacing w:after="120"/>
        <w:ind w:firstLine="567"/>
      </w:pPr>
      <w:r>
        <w:t xml:space="preserve">Stage 11 và Stage 12 chọn tự động bốn trường hợp đại diện. Ba trường hợp đầu được chọn trong nhóm chuỗi có tổng doanh số thực tế 16 ngày lớn hơn phân vị 25% của toàn bộ chuỗi, nhằm loại các chuỗi gần như không bán được: du_bao_tot là chuỗi có WAPE nhỏ nhất, du_bao_kho là chuỗi có WAPE lớn nhất, và bat_dinh_cao là chuỗi có độ rộng khoảng trung bình lớn nhất. Trường hợp thứ tư, nhay_khuyen_mai, là chuỗi có |High − Current| lớn nhất ở mục 4.10. Tính lại từ error_by_series.csv, nhóm đủ điều kiện gồm 1.336 chuỗi. Bảng 4.20 tổng hợp chỉ số dự báo, đại lượng tồn kho và vị trí trong hàng đợi của Stage 08 cho cả bốn trường hợp, cho phép kiểm tra trực tiếp sai số điểm, mức hiệu chỉnh của khoảng, nhãn rủi ro và khuyến nghị có nhất quán với nhau hay không.</w:t>
      </w:r>
    </w:p>
    <w:p>
      <w:pPr>
        <w:keepNext/>
        <w:spacing w:before="120" w:after="60"/>
        <w:ind w:firstLine="0"/>
        <w:jc w:val="center"/>
      </w:pPr>
      <w:r>
        <w:t xml:space="preserve">Bảng 4.20. Chỉ số dự báo, độ bao phủ, đại lượng tồn kho và vị trí trong hàng đợi quyết định của bốn trường hợp đại diện trên tập kiểm tra cuối 16 ngày</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742"/>
        <w:gridCol w:w="1792"/>
        <w:gridCol w:w="2026"/>
        <w:gridCol w:w="1716"/>
        <w:gridCol w:w="1795"/>
      </w:tblGrid>
      <w:tr>
        <w:trPr>
          <w:tblHeader/>
          <w:cantSplit/>
        </w:trPr>
        <w:tc>
          <w:tcPr>
            <w:tcW w:type="dxa" w:w="1742"/>
            <w:shd w:val="clear" w:color="auto" w:fill="D9E2F3"/>
            <w:vAlign w:val="center"/>
          </w:tcPr>
          <w:p>
            <w:pPr>
              <w:spacing w:before="20" w:after="20" w:line="260" w:lineRule="auto"/>
              <w:ind w:firstLine="0"/>
              <w:jc w:val="center"/>
            </w:pPr>
            <w:r>
              <w:rPr>
                <w:b/>
                <w:sz w:val="20"/>
                <w:szCs w:val="20"/>
              </w:rPr>
              <w:t xml:space="preserve">Chỉ tiêu</w:t>
            </w:r>
          </w:p>
        </w:tc>
        <w:tc>
          <w:tcPr>
            <w:tcW w:type="dxa" w:w="1792"/>
            <w:shd w:val="clear" w:color="auto" w:fill="D9E2F3"/>
            <w:vAlign w:val="center"/>
          </w:tcPr>
          <w:p>
            <w:pPr>
              <w:spacing w:before="20" w:after="20" w:line="260" w:lineRule="auto"/>
              <w:ind w:firstLine="0"/>
              <w:jc w:val="center"/>
            </w:pPr>
            <w:r>
              <w:rPr>
                <w:b/>
                <w:sz w:val="20"/>
                <w:szCs w:val="20"/>
              </w:rPr>
              <w:t xml:space="preserve">du_bao_tot: CH 3 – PRODUCE</w:t>
            </w:r>
          </w:p>
        </w:tc>
        <w:tc>
          <w:tcPr>
            <w:tcW w:type="dxa" w:w="2026"/>
            <w:shd w:val="clear" w:color="auto" w:fill="D9E2F3"/>
            <w:vAlign w:val="center"/>
          </w:tcPr>
          <w:p>
            <w:pPr>
              <w:spacing w:before="20" w:after="20" w:line="260" w:lineRule="auto"/>
              <w:ind w:firstLine="0"/>
              <w:jc w:val="center"/>
            </w:pPr>
            <w:r>
              <w:rPr>
                <w:b/>
                <w:sz w:val="20"/>
                <w:szCs w:val="20"/>
              </w:rPr>
              <w:t xml:space="preserve">du_bao_kho: CH 12 – SCHOOL AND OFFICE SUPPLIES</w:t>
            </w:r>
          </w:p>
        </w:tc>
        <w:tc>
          <w:tcPr>
            <w:tcW w:type="dxa" w:w="1716"/>
            <w:shd w:val="clear" w:color="auto" w:fill="D9E2F3"/>
            <w:vAlign w:val="center"/>
          </w:tcPr>
          <w:p>
            <w:pPr>
              <w:spacing w:before="20" w:after="20" w:line="260" w:lineRule="auto"/>
              <w:ind w:firstLine="0"/>
              <w:jc w:val="center"/>
            </w:pPr>
            <w:r>
              <w:rPr>
                <w:b/>
                <w:sz w:val="20"/>
                <w:szCs w:val="20"/>
              </w:rPr>
              <w:t xml:space="preserve">bat_dinh_cao: CH 2 – BEVERAGES</w:t>
            </w:r>
          </w:p>
        </w:tc>
        <w:tc>
          <w:tcPr>
            <w:tcW w:type="dxa" w:w="1795"/>
            <w:shd w:val="clear" w:color="auto" w:fill="D9E2F3"/>
            <w:vAlign w:val="center"/>
          </w:tcPr>
          <w:p>
            <w:pPr>
              <w:spacing w:before="20" w:after="20" w:line="260" w:lineRule="auto"/>
              <w:ind w:firstLine="0"/>
              <w:jc w:val="center"/>
            </w:pPr>
            <w:r>
              <w:rPr>
                <w:b/>
                <w:sz w:val="20"/>
                <w:szCs w:val="20"/>
              </w:rPr>
              <w:t xml:space="preserve">nhay_khuyen_mai: CH 45 – GROCERY I</w:t>
            </w:r>
          </w:p>
        </w:tc>
      </w:tr>
      <w:tr>
        <w:trPr>
          <w:cantSplit/>
        </w:trPr>
        <w:tc>
          <w:tcPr>
            <w:tcW w:type="dxa" w:w="1742"/>
            <w:vAlign w:val="center"/>
          </w:tcPr>
          <w:p>
            <w:pPr>
              <w:spacing w:before="20" w:after="20" w:line="260" w:lineRule="auto"/>
              <w:ind w:firstLine="0"/>
              <w:jc w:val="left"/>
            </w:pPr>
            <w:r>
              <w:rPr>
                <w:sz w:val="20"/>
                <w:szCs w:val="20"/>
              </w:rPr>
              <w:t xml:space="preserve">Tổng thực tế</w:t>
            </w:r>
          </w:p>
        </w:tc>
        <w:tc>
          <w:tcPr>
            <w:tcW w:type="dxa" w:w="1792"/>
            <w:vAlign w:val="center"/>
          </w:tcPr>
          <w:p>
            <w:pPr>
              <w:spacing w:before="20" w:after="20" w:line="260" w:lineRule="auto"/>
              <w:ind w:firstLine="0"/>
              <w:jc w:val="center"/>
            </w:pPr>
            <w:r>
              <w:rPr>
                <w:sz w:val="20"/>
                <w:szCs w:val="20"/>
              </w:rPr>
              <w:t xml:space="preserve">124.341</w:t>
            </w:r>
          </w:p>
        </w:tc>
        <w:tc>
          <w:tcPr>
            <w:tcW w:type="dxa" w:w="2026"/>
            <w:vAlign w:val="center"/>
          </w:tcPr>
          <w:p>
            <w:pPr>
              <w:spacing w:before="20" w:after="20" w:line="260" w:lineRule="auto"/>
              <w:ind w:firstLine="0"/>
              <w:jc w:val="center"/>
            </w:pPr>
            <w:r>
              <w:rPr>
                <w:sz w:val="20"/>
                <w:szCs w:val="20"/>
              </w:rPr>
              <w:t xml:space="preserve">80</w:t>
            </w:r>
          </w:p>
        </w:tc>
        <w:tc>
          <w:tcPr>
            <w:tcW w:type="dxa" w:w="1716"/>
            <w:vAlign w:val="center"/>
          </w:tcPr>
          <w:p>
            <w:pPr>
              <w:spacing w:before="20" w:after="20" w:line="260" w:lineRule="auto"/>
              <w:ind w:firstLine="0"/>
              <w:jc w:val="center"/>
            </w:pPr>
            <w:r>
              <w:rPr>
                <w:sz w:val="20"/>
                <w:szCs w:val="20"/>
              </w:rPr>
              <w:t xml:space="preserve">44.239</w:t>
            </w:r>
          </w:p>
        </w:tc>
        <w:tc>
          <w:tcPr>
            <w:tcW w:type="dxa" w:w="1795"/>
            <w:vAlign w:val="center"/>
          </w:tcPr>
          <w:p>
            <w:pPr>
              <w:spacing w:before="20" w:after="20" w:line="260" w:lineRule="auto"/>
              <w:ind w:firstLine="0"/>
              <w:jc w:val="center"/>
            </w:pPr>
            <w:r>
              <w:rPr>
                <w:sz w:val="20"/>
                <w:szCs w:val="20"/>
              </w:rPr>
              <w:t xml:space="preserve">176.225</w:t>
            </w:r>
          </w:p>
        </w:tc>
      </w:tr>
      <w:tr>
        <w:trPr>
          <w:cantSplit/>
        </w:trPr>
        <w:tc>
          <w:tcPr>
            <w:tcW w:type="dxa" w:w="1742"/>
            <w:vAlign w:val="center"/>
          </w:tcPr>
          <w:p>
            <w:pPr>
              <w:spacing w:before="20" w:after="20" w:line="260" w:lineRule="auto"/>
              <w:ind w:firstLine="0"/>
              <w:jc w:val="left"/>
            </w:pPr>
            <w:r>
              <w:rPr>
                <w:sz w:val="20"/>
                <w:szCs w:val="20"/>
              </w:rPr>
              <w:t xml:space="preserve">Tổng dự báo điểm</w:t>
            </w:r>
          </w:p>
        </w:tc>
        <w:tc>
          <w:tcPr>
            <w:tcW w:type="dxa" w:w="1792"/>
            <w:vAlign w:val="center"/>
          </w:tcPr>
          <w:p>
            <w:pPr>
              <w:spacing w:before="20" w:after="20" w:line="260" w:lineRule="auto"/>
              <w:ind w:firstLine="0"/>
              <w:jc w:val="center"/>
            </w:pPr>
            <w:r>
              <w:rPr>
                <w:sz w:val="20"/>
                <w:szCs w:val="20"/>
              </w:rPr>
              <w:t xml:space="preserve">128.394,48</w:t>
            </w:r>
          </w:p>
        </w:tc>
        <w:tc>
          <w:tcPr>
            <w:tcW w:type="dxa" w:w="2026"/>
            <w:vAlign w:val="center"/>
          </w:tcPr>
          <w:p>
            <w:pPr>
              <w:spacing w:before="20" w:after="20" w:line="260" w:lineRule="auto"/>
              <w:ind w:firstLine="0"/>
              <w:jc w:val="center"/>
            </w:pPr>
            <w:r>
              <w:rPr>
                <w:sz w:val="20"/>
                <w:szCs w:val="20"/>
              </w:rPr>
              <w:t xml:space="preserve">455,14</w:t>
            </w:r>
          </w:p>
        </w:tc>
        <w:tc>
          <w:tcPr>
            <w:tcW w:type="dxa" w:w="1716"/>
            <w:vAlign w:val="center"/>
          </w:tcPr>
          <w:p>
            <w:pPr>
              <w:spacing w:before="20" w:after="20" w:line="260" w:lineRule="auto"/>
              <w:ind w:firstLine="0"/>
              <w:jc w:val="center"/>
            </w:pPr>
            <w:r>
              <w:rPr>
                <w:sz w:val="20"/>
                <w:szCs w:val="20"/>
              </w:rPr>
              <w:t xml:space="preserve">51.704,57</w:t>
            </w:r>
          </w:p>
        </w:tc>
        <w:tc>
          <w:tcPr>
            <w:tcW w:type="dxa" w:w="1795"/>
            <w:vAlign w:val="center"/>
          </w:tcPr>
          <w:p>
            <w:pPr>
              <w:spacing w:before="20" w:after="20" w:line="260" w:lineRule="auto"/>
              <w:ind w:firstLine="0"/>
              <w:jc w:val="center"/>
            </w:pPr>
            <w:r>
              <w:rPr>
                <w:sz w:val="20"/>
                <w:szCs w:val="20"/>
              </w:rPr>
              <w:t xml:space="preserve">180.312,97</w:t>
            </w:r>
          </w:p>
        </w:tc>
      </w:tr>
      <w:tr>
        <w:trPr>
          <w:cantSplit/>
        </w:trPr>
        <w:tc>
          <w:tcPr>
            <w:tcW w:type="dxa" w:w="1742"/>
            <w:vAlign w:val="center"/>
          </w:tcPr>
          <w:p>
            <w:pPr>
              <w:spacing w:before="20" w:after="20" w:line="260" w:lineRule="auto"/>
              <w:ind w:firstLine="0"/>
              <w:jc w:val="left"/>
            </w:pPr>
            <w:r>
              <w:rPr>
                <w:sz w:val="20"/>
                <w:szCs w:val="20"/>
              </w:rPr>
              <w:t xml:space="preserve">MAE</w:t>
            </w:r>
          </w:p>
        </w:tc>
        <w:tc>
          <w:tcPr>
            <w:tcW w:type="dxa" w:w="1792"/>
            <w:vAlign w:val="center"/>
          </w:tcPr>
          <w:p>
            <w:pPr>
              <w:spacing w:before="20" w:after="20" w:line="260" w:lineRule="auto"/>
              <w:ind w:firstLine="0"/>
              <w:jc w:val="center"/>
            </w:pPr>
            <w:r>
              <w:rPr>
                <w:sz w:val="20"/>
                <w:szCs w:val="20"/>
              </w:rPr>
              <w:t xml:space="preserve">318,371</w:t>
            </w:r>
          </w:p>
        </w:tc>
        <w:tc>
          <w:tcPr>
            <w:tcW w:type="dxa" w:w="2026"/>
            <w:vAlign w:val="center"/>
          </w:tcPr>
          <w:p>
            <w:pPr>
              <w:spacing w:before="20" w:after="20" w:line="260" w:lineRule="auto"/>
              <w:ind w:firstLine="0"/>
              <w:jc w:val="center"/>
            </w:pPr>
            <w:r>
              <w:rPr>
                <w:sz w:val="20"/>
                <w:szCs w:val="20"/>
              </w:rPr>
              <w:t xml:space="preserve">23,446</w:t>
            </w:r>
          </w:p>
        </w:tc>
        <w:tc>
          <w:tcPr>
            <w:tcW w:type="dxa" w:w="1716"/>
            <w:vAlign w:val="center"/>
          </w:tcPr>
          <w:p>
            <w:pPr>
              <w:spacing w:before="20" w:after="20" w:line="260" w:lineRule="auto"/>
              <w:ind w:firstLine="0"/>
              <w:jc w:val="center"/>
            </w:pPr>
            <w:r>
              <w:rPr>
                <w:sz w:val="20"/>
                <w:szCs w:val="20"/>
              </w:rPr>
              <w:t xml:space="preserve">528,397</w:t>
            </w:r>
          </w:p>
        </w:tc>
        <w:tc>
          <w:tcPr>
            <w:tcW w:type="dxa" w:w="1795"/>
            <w:vAlign w:val="center"/>
          </w:tcPr>
          <w:p>
            <w:pPr>
              <w:spacing w:before="20" w:after="20" w:line="260" w:lineRule="auto"/>
              <w:ind w:firstLine="0"/>
              <w:jc w:val="center"/>
            </w:pPr>
            <w:r>
              <w:rPr>
                <w:sz w:val="20"/>
                <w:szCs w:val="20"/>
              </w:rPr>
              <w:t xml:space="preserve">700,319</w:t>
            </w:r>
          </w:p>
        </w:tc>
      </w:tr>
      <w:tr>
        <w:trPr>
          <w:cantSplit/>
        </w:trPr>
        <w:tc>
          <w:tcPr>
            <w:tcW w:type="dxa" w:w="1742"/>
            <w:vAlign w:val="center"/>
          </w:tcPr>
          <w:p>
            <w:pPr>
              <w:spacing w:before="20" w:after="20" w:line="260" w:lineRule="auto"/>
              <w:ind w:firstLine="0"/>
              <w:jc w:val="left"/>
            </w:pPr>
            <w:r>
              <w:rPr>
                <w:sz w:val="20"/>
                <w:szCs w:val="20"/>
              </w:rPr>
              <w:t xml:space="preserve">WAPE</w:t>
            </w:r>
          </w:p>
        </w:tc>
        <w:tc>
          <w:tcPr>
            <w:tcW w:type="dxa" w:w="1792"/>
            <w:vAlign w:val="center"/>
          </w:tcPr>
          <w:p>
            <w:pPr>
              <w:spacing w:before="20" w:after="20" w:line="260" w:lineRule="auto"/>
              <w:ind w:firstLine="0"/>
              <w:jc w:val="center"/>
            </w:pPr>
            <w:r>
              <w:rPr>
                <w:sz w:val="20"/>
                <w:szCs w:val="20"/>
              </w:rPr>
              <w:t xml:space="preserve">4,10%</w:t>
            </w:r>
          </w:p>
        </w:tc>
        <w:tc>
          <w:tcPr>
            <w:tcW w:type="dxa" w:w="2026"/>
            <w:vAlign w:val="center"/>
          </w:tcPr>
          <w:p>
            <w:pPr>
              <w:spacing w:before="20" w:after="20" w:line="260" w:lineRule="auto"/>
              <w:ind w:firstLine="0"/>
              <w:jc w:val="center"/>
            </w:pPr>
            <w:r>
              <w:rPr>
                <w:sz w:val="20"/>
                <w:szCs w:val="20"/>
              </w:rPr>
              <w:t xml:space="preserve">468,92%</w:t>
            </w:r>
          </w:p>
        </w:tc>
        <w:tc>
          <w:tcPr>
            <w:tcW w:type="dxa" w:w="1716"/>
            <w:vAlign w:val="center"/>
          </w:tcPr>
          <w:p>
            <w:pPr>
              <w:spacing w:before="20" w:after="20" w:line="260" w:lineRule="auto"/>
              <w:ind w:firstLine="0"/>
              <w:jc w:val="center"/>
            </w:pPr>
            <w:r>
              <w:rPr>
                <w:sz w:val="20"/>
                <w:szCs w:val="20"/>
              </w:rPr>
              <w:t xml:space="preserve">19,11%</w:t>
            </w:r>
          </w:p>
        </w:tc>
        <w:tc>
          <w:tcPr>
            <w:tcW w:type="dxa" w:w="1795"/>
            <w:vAlign w:val="center"/>
          </w:tcPr>
          <w:p>
            <w:pPr>
              <w:spacing w:before="20" w:after="20" w:line="260" w:lineRule="auto"/>
              <w:ind w:firstLine="0"/>
              <w:jc w:val="center"/>
            </w:pPr>
            <w:r>
              <w:rPr>
                <w:sz w:val="20"/>
                <w:szCs w:val="20"/>
              </w:rPr>
              <w:t xml:space="preserve">6,36%</w:t>
            </w:r>
          </w:p>
        </w:tc>
      </w:tr>
      <w:tr>
        <w:trPr>
          <w:cantSplit/>
        </w:trPr>
        <w:tc>
          <w:tcPr>
            <w:tcW w:type="dxa" w:w="1742"/>
            <w:vAlign w:val="center"/>
          </w:tcPr>
          <w:p>
            <w:pPr>
              <w:spacing w:before="20" w:after="20" w:line="260" w:lineRule="auto"/>
              <w:ind w:firstLine="0"/>
              <w:jc w:val="left"/>
            </w:pPr>
            <w:r>
              <w:rPr>
                <w:sz w:val="20"/>
                <w:szCs w:val="20"/>
              </w:rPr>
              <w:t xml:space="preserve">Bias (thực tế − dự báo)</w:t>
            </w:r>
          </w:p>
        </w:tc>
        <w:tc>
          <w:tcPr>
            <w:tcW w:type="dxa" w:w="1792"/>
            <w:vAlign w:val="center"/>
          </w:tcPr>
          <w:p>
            <w:pPr>
              <w:spacing w:before="20" w:after="20" w:line="260" w:lineRule="auto"/>
              <w:ind w:firstLine="0"/>
              <w:jc w:val="center"/>
            </w:pPr>
            <w:r>
              <w:rPr>
                <w:sz w:val="20"/>
                <w:szCs w:val="20"/>
              </w:rPr>
              <w:t xml:space="preserve">−253,329</w:t>
            </w:r>
          </w:p>
        </w:tc>
        <w:tc>
          <w:tcPr>
            <w:tcW w:type="dxa" w:w="2026"/>
            <w:vAlign w:val="center"/>
          </w:tcPr>
          <w:p>
            <w:pPr>
              <w:spacing w:before="20" w:after="20" w:line="260" w:lineRule="auto"/>
              <w:ind w:firstLine="0"/>
              <w:jc w:val="center"/>
            </w:pPr>
            <w:r>
              <w:rPr>
                <w:sz w:val="20"/>
                <w:szCs w:val="20"/>
              </w:rPr>
              <w:t xml:space="preserve">−23,446</w:t>
            </w:r>
          </w:p>
        </w:tc>
        <w:tc>
          <w:tcPr>
            <w:tcW w:type="dxa" w:w="1716"/>
            <w:vAlign w:val="center"/>
          </w:tcPr>
          <w:p>
            <w:pPr>
              <w:spacing w:before="20" w:after="20" w:line="260" w:lineRule="auto"/>
              <w:ind w:firstLine="0"/>
              <w:jc w:val="center"/>
            </w:pPr>
            <w:r>
              <w:rPr>
                <w:sz w:val="20"/>
                <w:szCs w:val="20"/>
              </w:rPr>
              <w:t xml:space="preserve">−466,598</w:t>
            </w:r>
          </w:p>
        </w:tc>
        <w:tc>
          <w:tcPr>
            <w:tcW w:type="dxa" w:w="1795"/>
            <w:vAlign w:val="center"/>
          </w:tcPr>
          <w:p>
            <w:pPr>
              <w:spacing w:before="20" w:after="20" w:line="260" w:lineRule="auto"/>
              <w:ind w:firstLine="0"/>
              <w:jc w:val="center"/>
            </w:pPr>
            <w:r>
              <w:rPr>
                <w:sz w:val="20"/>
                <w:szCs w:val="20"/>
              </w:rPr>
              <w:t xml:space="preserve">−255,498</w:t>
            </w:r>
          </w:p>
        </w:tc>
      </w:tr>
      <w:tr>
        <w:trPr>
          <w:cantSplit/>
        </w:trPr>
        <w:tc>
          <w:tcPr>
            <w:tcW w:type="dxa" w:w="1742"/>
            <w:vAlign w:val="center"/>
          </w:tcPr>
          <w:p>
            <w:pPr>
              <w:spacing w:before="20" w:after="20" w:line="260" w:lineRule="auto"/>
              <w:ind w:firstLine="0"/>
              <w:jc w:val="left"/>
            </w:pPr>
            <w:r>
              <w:rPr>
                <w:sz w:val="20"/>
                <w:szCs w:val="20"/>
              </w:rPr>
              <w:t xml:space="preserve">Bao phủ P10–P90 theo ngày</w:t>
            </w:r>
          </w:p>
        </w:tc>
        <w:tc>
          <w:tcPr>
            <w:tcW w:type="dxa" w:w="1792"/>
            <w:vAlign w:val="center"/>
          </w:tcPr>
          <w:p>
            <w:pPr>
              <w:spacing w:before="20" w:after="20" w:line="260" w:lineRule="auto"/>
              <w:ind w:firstLine="0"/>
              <w:jc w:val="center"/>
            </w:pPr>
            <w:r>
              <w:rPr>
                <w:sz w:val="20"/>
                <w:szCs w:val="20"/>
              </w:rPr>
              <w:t xml:space="preserve">68,75%</w:t>
            </w:r>
          </w:p>
        </w:tc>
        <w:tc>
          <w:tcPr>
            <w:tcW w:type="dxa" w:w="2026"/>
            <w:vAlign w:val="center"/>
          </w:tcPr>
          <w:p>
            <w:pPr>
              <w:spacing w:before="20" w:after="20" w:line="260" w:lineRule="auto"/>
              <w:ind w:firstLine="0"/>
              <w:jc w:val="center"/>
            </w:pPr>
            <w:r>
              <w:rPr>
                <w:sz w:val="20"/>
                <w:szCs w:val="20"/>
              </w:rPr>
              <w:t xml:space="preserve">43,75%</w:t>
            </w:r>
          </w:p>
        </w:tc>
        <w:tc>
          <w:tcPr>
            <w:tcW w:type="dxa" w:w="1716"/>
            <w:vAlign w:val="center"/>
          </w:tcPr>
          <w:p>
            <w:pPr>
              <w:spacing w:before="20" w:after="20" w:line="260" w:lineRule="auto"/>
              <w:ind w:firstLine="0"/>
              <w:jc w:val="center"/>
            </w:pPr>
            <w:r>
              <w:rPr>
                <w:sz w:val="20"/>
                <w:szCs w:val="20"/>
              </w:rPr>
              <w:t xml:space="preserve">43,75%</w:t>
            </w:r>
          </w:p>
        </w:tc>
        <w:tc>
          <w:tcPr>
            <w:tcW w:type="dxa" w:w="1795"/>
            <w:vAlign w:val="center"/>
          </w:tcPr>
          <w:p>
            <w:pPr>
              <w:spacing w:before="20" w:after="20" w:line="260" w:lineRule="auto"/>
              <w:ind w:firstLine="0"/>
              <w:jc w:val="center"/>
            </w:pPr>
            <w:r>
              <w:rPr>
                <w:sz w:val="20"/>
                <w:szCs w:val="20"/>
              </w:rPr>
              <w:t xml:space="preserve">62,50%</w:t>
            </w:r>
          </w:p>
        </w:tc>
      </w:tr>
      <w:tr>
        <w:trPr>
          <w:cantSplit/>
        </w:trPr>
        <w:tc>
          <w:tcPr>
            <w:tcW w:type="dxa" w:w="1742"/>
            <w:vAlign w:val="center"/>
          </w:tcPr>
          <w:p>
            <w:pPr>
              <w:spacing w:before="20" w:after="20" w:line="260" w:lineRule="auto"/>
              <w:ind w:firstLine="0"/>
              <w:jc w:val="left"/>
            </w:pPr>
            <w:r>
              <w:rPr>
                <w:sz w:val="20"/>
                <w:szCs w:val="20"/>
              </w:rPr>
              <w:t xml:space="preserve">Độ rộng khoảng TB theo ngày</w:t>
            </w:r>
          </w:p>
        </w:tc>
        <w:tc>
          <w:tcPr>
            <w:tcW w:type="dxa" w:w="1792"/>
            <w:vAlign w:val="center"/>
          </w:tcPr>
          <w:p>
            <w:pPr>
              <w:spacing w:before="20" w:after="20" w:line="260" w:lineRule="auto"/>
              <w:ind w:firstLine="0"/>
              <w:jc w:val="center"/>
            </w:pPr>
            <w:r>
              <w:rPr>
                <w:sz w:val="20"/>
                <w:szCs w:val="20"/>
              </w:rPr>
              <w:t xml:space="preserve">1.175,961</w:t>
            </w:r>
          </w:p>
        </w:tc>
        <w:tc>
          <w:tcPr>
            <w:tcW w:type="dxa" w:w="2026"/>
            <w:vAlign w:val="center"/>
          </w:tcPr>
          <w:p>
            <w:pPr>
              <w:spacing w:before="20" w:after="20" w:line="260" w:lineRule="auto"/>
              <w:ind w:firstLine="0"/>
              <w:jc w:val="center"/>
            </w:pPr>
            <w:r>
              <w:rPr>
                <w:sz w:val="20"/>
                <w:szCs w:val="20"/>
              </w:rPr>
              <w:t xml:space="preserve">26,421</w:t>
            </w:r>
          </w:p>
        </w:tc>
        <w:tc>
          <w:tcPr>
            <w:tcW w:type="dxa" w:w="1716"/>
            <w:vAlign w:val="center"/>
          </w:tcPr>
          <w:p>
            <w:pPr>
              <w:spacing w:before="20" w:after="20" w:line="260" w:lineRule="auto"/>
              <w:ind w:firstLine="0"/>
              <w:jc w:val="center"/>
            </w:pPr>
            <w:r>
              <w:rPr>
                <w:sz w:val="20"/>
                <w:szCs w:val="20"/>
              </w:rPr>
              <w:t xml:space="preserve">1.175,961</w:t>
            </w:r>
          </w:p>
        </w:tc>
        <w:tc>
          <w:tcPr>
            <w:tcW w:type="dxa" w:w="1795"/>
            <w:vAlign w:val="center"/>
          </w:tcPr>
          <w:p>
            <w:pPr>
              <w:spacing w:before="20" w:after="20" w:line="260" w:lineRule="auto"/>
              <w:ind w:firstLine="0"/>
              <w:jc w:val="center"/>
            </w:pPr>
            <w:r>
              <w:rPr>
                <w:sz w:val="20"/>
                <w:szCs w:val="20"/>
              </w:rPr>
              <w:t xml:space="preserve">1.175,961</w:t>
            </w:r>
          </w:p>
        </w:tc>
      </w:tr>
      <w:tr>
        <w:trPr>
          <w:cantSplit/>
        </w:trPr>
        <w:tc>
          <w:tcPr>
            <w:tcW w:type="dxa" w:w="1742"/>
            <w:vAlign w:val="center"/>
          </w:tcPr>
          <w:p>
            <w:pPr>
              <w:spacing w:before="20" w:after="20" w:line="260" w:lineRule="auto"/>
              <w:ind w:firstLine="0"/>
              <w:jc w:val="left"/>
            </w:pPr>
            <w:r>
              <w:rPr>
                <w:sz w:val="20"/>
                <w:szCs w:val="20"/>
              </w:rPr>
              <w:t xml:space="preserve">P10 / P50 / P90 (16 ngày)</w:t>
            </w:r>
          </w:p>
        </w:tc>
        <w:tc>
          <w:tcPr>
            <w:tcW w:type="dxa" w:w="1792"/>
            <w:vAlign w:val="center"/>
          </w:tcPr>
          <w:p>
            <w:pPr>
              <w:spacing w:before="20" w:after="20" w:line="260" w:lineRule="auto"/>
              <w:ind w:firstLine="0"/>
              <w:jc w:val="center"/>
            </w:pPr>
            <w:r>
              <w:rPr>
                <w:sz w:val="20"/>
                <w:szCs w:val="20"/>
              </w:rPr>
              <w:t xml:space="preserve">121.858,08 / 128.537,82 / 140.673,46</w:t>
            </w:r>
          </w:p>
        </w:tc>
        <w:tc>
          <w:tcPr>
            <w:tcW w:type="dxa" w:w="2026"/>
            <w:vAlign w:val="center"/>
          </w:tcPr>
          <w:p>
            <w:pPr>
              <w:spacing w:before="20" w:after="20" w:line="260" w:lineRule="auto"/>
              <w:ind w:firstLine="0"/>
              <w:jc w:val="center"/>
            </w:pPr>
            <w:r>
              <w:rPr>
                <w:sz w:val="20"/>
                <w:szCs w:val="20"/>
              </w:rPr>
              <w:t xml:space="preserve">245,33 / 409,84 / 668,06</w:t>
            </w:r>
          </w:p>
        </w:tc>
        <w:tc>
          <w:tcPr>
            <w:tcW w:type="dxa" w:w="1716"/>
            <w:vAlign w:val="center"/>
          </w:tcPr>
          <w:p>
            <w:pPr>
              <w:spacing w:before="20" w:after="20" w:line="260" w:lineRule="auto"/>
              <w:ind w:firstLine="0"/>
              <w:jc w:val="center"/>
            </w:pPr>
            <w:r>
              <w:rPr>
                <w:sz w:val="20"/>
                <w:szCs w:val="20"/>
              </w:rPr>
              <w:t xml:space="preserve">45.168,17 / 51.847,91 / 63.983,55</w:t>
            </w:r>
          </w:p>
        </w:tc>
        <w:tc>
          <w:tcPr>
            <w:tcW w:type="dxa" w:w="1795"/>
            <w:vAlign w:val="center"/>
          </w:tcPr>
          <w:p>
            <w:pPr>
              <w:spacing w:before="20" w:after="20" w:line="260" w:lineRule="auto"/>
              <w:ind w:firstLine="0"/>
              <w:jc w:val="center"/>
            </w:pPr>
            <w:r>
              <w:rPr>
                <w:sz w:val="20"/>
                <w:szCs w:val="20"/>
              </w:rPr>
              <w:t xml:space="preserve">173.776,57 / 180.456,30 / 192.591,95</w:t>
            </w:r>
          </w:p>
        </w:tc>
      </w:tr>
      <w:tr>
        <w:trPr>
          <w:cantSplit/>
        </w:trPr>
        <w:tc>
          <w:tcPr>
            <w:tcW w:type="dxa" w:w="1742"/>
            <w:vAlign w:val="center"/>
          </w:tcPr>
          <w:p>
            <w:pPr>
              <w:spacing w:before="20" w:after="20" w:line="260" w:lineRule="auto"/>
              <w:ind w:firstLine="0"/>
              <w:jc w:val="left"/>
            </w:pPr>
            <w:r>
              <w:rPr>
                <w:sz w:val="20"/>
                <w:szCs w:val="20"/>
              </w:rPr>
              <w:t xml:space="preserve">r và nhãn rủi ro</w:t>
            </w:r>
          </w:p>
        </w:tc>
        <w:tc>
          <w:tcPr>
            <w:tcW w:type="dxa" w:w="1792"/>
            <w:vAlign w:val="center"/>
          </w:tcPr>
          <w:p>
            <w:pPr>
              <w:spacing w:before="20" w:after="20" w:line="260" w:lineRule="auto"/>
              <w:ind w:firstLine="0"/>
              <w:jc w:val="left"/>
            </w:pPr>
            <w:r>
              <w:rPr>
                <w:sz w:val="20"/>
                <w:szCs w:val="20"/>
              </w:rPr>
              <w:t xml:space="preserve">0,146 – LOW</w:t>
            </w:r>
          </w:p>
        </w:tc>
        <w:tc>
          <w:tcPr>
            <w:tcW w:type="dxa" w:w="2026"/>
            <w:vAlign w:val="center"/>
          </w:tcPr>
          <w:p>
            <w:pPr>
              <w:spacing w:before="20" w:after="20" w:line="260" w:lineRule="auto"/>
              <w:ind w:firstLine="0"/>
              <w:jc w:val="left"/>
            </w:pPr>
            <w:r>
              <w:rPr>
                <w:sz w:val="20"/>
                <w:szCs w:val="20"/>
              </w:rPr>
              <w:t xml:space="preserve">1,029 – HIGH</w:t>
            </w:r>
          </w:p>
        </w:tc>
        <w:tc>
          <w:tcPr>
            <w:tcW w:type="dxa" w:w="1716"/>
            <w:vAlign w:val="center"/>
          </w:tcPr>
          <w:p>
            <w:pPr>
              <w:spacing w:before="20" w:after="20" w:line="260" w:lineRule="auto"/>
              <w:ind w:firstLine="0"/>
              <w:jc w:val="left"/>
            </w:pPr>
            <w:r>
              <w:rPr>
                <w:sz w:val="20"/>
                <w:szCs w:val="20"/>
              </w:rPr>
              <w:t xml:space="preserve">0,363 – MEDIUM</w:t>
            </w:r>
          </w:p>
        </w:tc>
        <w:tc>
          <w:tcPr>
            <w:tcW w:type="dxa" w:w="1795"/>
            <w:vAlign w:val="center"/>
          </w:tcPr>
          <w:p>
            <w:pPr>
              <w:spacing w:before="20" w:after="20" w:line="260" w:lineRule="auto"/>
              <w:ind w:firstLine="0"/>
              <w:jc w:val="left"/>
            </w:pPr>
            <w:r>
              <w:rPr>
                <w:sz w:val="20"/>
                <w:szCs w:val="20"/>
              </w:rPr>
              <w:t xml:space="preserve">0,104 – LOW</w:t>
            </w:r>
          </w:p>
        </w:tc>
      </w:tr>
      <w:tr>
        <w:trPr>
          <w:cantSplit/>
        </w:trPr>
        <w:tc>
          <w:tcPr>
            <w:tcW w:type="dxa" w:w="1742"/>
            <w:vAlign w:val="center"/>
          </w:tcPr>
          <w:p>
            <w:pPr>
              <w:spacing w:before="20" w:after="20" w:line="260" w:lineRule="auto"/>
              <w:ind w:firstLine="0"/>
              <w:jc w:val="left"/>
            </w:pPr>
            <w:r>
              <w:rPr>
                <w:sz w:val="20"/>
                <w:szCs w:val="20"/>
              </w:rPr>
              <w:t xml:space="preserve">Lượng bổ sung gợi ý (Stage 07)</w:t>
            </w:r>
          </w:p>
        </w:tc>
        <w:tc>
          <w:tcPr>
            <w:tcW w:type="dxa" w:w="1792"/>
            <w:vAlign w:val="center"/>
          </w:tcPr>
          <w:p>
            <w:pPr>
              <w:spacing w:before="20" w:after="20" w:line="260" w:lineRule="auto"/>
              <w:ind w:firstLine="0"/>
              <w:jc w:val="center"/>
            </w:pPr>
            <w:r>
              <w:rPr>
                <w:sz w:val="20"/>
                <w:szCs w:val="20"/>
              </w:rPr>
              <w:t xml:space="preserve">37.843,21</w:t>
            </w:r>
          </w:p>
        </w:tc>
        <w:tc>
          <w:tcPr>
            <w:tcW w:type="dxa" w:w="2026"/>
            <w:vAlign w:val="center"/>
          </w:tcPr>
          <w:p>
            <w:pPr>
              <w:spacing w:before="20" w:after="20" w:line="260" w:lineRule="auto"/>
              <w:ind w:firstLine="0"/>
              <w:jc w:val="center"/>
            </w:pPr>
            <w:r>
              <w:rPr>
                <w:sz w:val="20"/>
                <w:szCs w:val="20"/>
              </w:rPr>
              <w:t xml:space="preserve">340,19</w:t>
            </w:r>
          </w:p>
        </w:tc>
        <w:tc>
          <w:tcPr>
            <w:tcW w:type="dxa" w:w="1716"/>
            <w:vAlign w:val="center"/>
          </w:tcPr>
          <w:p>
            <w:pPr>
              <w:spacing w:before="20" w:after="20" w:line="260" w:lineRule="auto"/>
              <w:ind w:firstLine="0"/>
              <w:jc w:val="center"/>
            </w:pPr>
            <w:r>
              <w:rPr>
                <w:sz w:val="20"/>
                <w:szCs w:val="20"/>
              </w:rPr>
              <w:t xml:space="preserve">22.505,23</w:t>
            </w:r>
          </w:p>
        </w:tc>
        <w:tc>
          <w:tcPr>
            <w:tcW w:type="dxa" w:w="1795"/>
            <w:vAlign w:val="center"/>
          </w:tcPr>
          <w:p>
            <w:pPr>
              <w:spacing w:before="20" w:after="20" w:line="260" w:lineRule="auto"/>
              <w:ind w:firstLine="0"/>
              <w:jc w:val="center"/>
            </w:pPr>
            <w:r>
              <w:rPr>
                <w:sz w:val="20"/>
                <w:szCs w:val="20"/>
              </w:rPr>
              <w:t xml:space="preserve">48.226,90</w:t>
            </w:r>
          </w:p>
        </w:tc>
      </w:tr>
      <w:tr>
        <w:trPr>
          <w:cantSplit/>
        </w:trPr>
        <w:tc>
          <w:tcPr>
            <w:tcW w:type="dxa" w:w="1742"/>
            <w:vAlign w:val="center"/>
          </w:tcPr>
          <w:p>
            <w:pPr>
              <w:spacing w:before="20" w:after="20" w:line="260" w:lineRule="auto"/>
              <w:ind w:firstLine="0"/>
              <w:jc w:val="left"/>
            </w:pPr>
            <w:r>
              <w:rPr>
                <w:sz w:val="20"/>
                <w:szCs w:val="20"/>
              </w:rPr>
              <w:t xml:space="preserve">Hàng đợi Stage 08: thứ hạng (điểm)</w:t>
            </w:r>
          </w:p>
        </w:tc>
        <w:tc>
          <w:tcPr>
            <w:tcW w:type="dxa" w:w="1792"/>
            <w:vAlign w:val="center"/>
          </w:tcPr>
          <w:p>
            <w:pPr>
              <w:spacing w:before="20" w:after="20" w:line="260" w:lineRule="auto"/>
              <w:ind w:firstLine="0"/>
              <w:jc w:val="center"/>
            </w:pPr>
            <w:r>
              <w:rPr>
                <w:sz w:val="20"/>
                <w:szCs w:val="20"/>
              </w:rPr>
              <w:t xml:space="preserve">374 (3)</w:t>
            </w:r>
          </w:p>
        </w:tc>
        <w:tc>
          <w:tcPr>
            <w:tcW w:type="dxa" w:w="2026"/>
            <w:vAlign w:val="center"/>
          </w:tcPr>
          <w:p>
            <w:pPr>
              <w:spacing w:before="20" w:after="20" w:line="260" w:lineRule="auto"/>
              <w:ind w:firstLine="0"/>
              <w:jc w:val="center"/>
            </w:pPr>
            <w:r>
              <w:rPr>
                <w:sz w:val="20"/>
                <w:szCs w:val="20"/>
              </w:rPr>
              <w:t xml:space="preserve">447 (3)</w:t>
            </w:r>
          </w:p>
        </w:tc>
        <w:tc>
          <w:tcPr>
            <w:tcW w:type="dxa" w:w="1716"/>
            <w:vAlign w:val="center"/>
          </w:tcPr>
          <w:p>
            <w:pPr>
              <w:spacing w:before="20" w:after="20" w:line="260" w:lineRule="auto"/>
              <w:ind w:firstLine="0"/>
              <w:jc w:val="center"/>
            </w:pPr>
            <w:r>
              <w:rPr>
                <w:sz w:val="20"/>
                <w:szCs w:val="20"/>
              </w:rPr>
              <w:t xml:space="preserve">4 (4)</w:t>
            </w:r>
          </w:p>
        </w:tc>
        <w:tc>
          <w:tcPr>
            <w:tcW w:type="dxa" w:w="1795"/>
            <w:vAlign w:val="center"/>
          </w:tcPr>
          <w:p>
            <w:pPr>
              <w:spacing w:before="20" w:after="20" w:line="260" w:lineRule="auto"/>
              <w:ind w:firstLine="0"/>
              <w:jc w:val="center"/>
            </w:pPr>
            <w:r>
              <w:rPr>
                <w:sz w:val="20"/>
                <w:szCs w:val="20"/>
              </w:rPr>
              <w:t xml:space="preserve">361 (3)</w:t>
            </w:r>
          </w:p>
        </w:tc>
      </w:tr>
    </w:tbl>
    <w:p>
      <w:pPr>
        <w:spacing w:before="40" w:after="160"/>
        <w:ind w:firstLine="0"/>
      </w:pPr>
      <w:r>
        <w:rPr>
          <w:i/>
          <w:sz w:val="22"/>
          <w:szCs w:val="22"/>
        </w:rPr>
        <w:t xml:space="preserve">Nguồn: REPORT_READY/tables/21_representative_cases.csv, inventory_recommendations.csv; dòng cuối do tác giả tra từ decision_queue.csv.</w:t>
      </w:r>
    </w:p>
    <w:p>
      <w:pPr>
        <w:keepLines w:val="0"/>
        <w:spacing w:after="120"/>
        <w:ind w:firstLine="567"/>
      </w:pPr>
      <w:r>
        <w:t xml:space="preserve">Bảng cho thấy ngay rằng tên nhãn tự động cần được đọc thận trọng. Ba trong bốn trường hợp, gồm cả du_bao_tot và bat_dinh_cao, có cùng độ rộng trung bình 1.175,961, đúng bằng độ rộng của nhóm Mondrian cao nhất. Tính lại từ error_by_series.csv, 139 chuỗi đủ điều kiện cùng đạt giá trị lớn nhất này, trong đó GROCERY I có 51, BEVERAGES 48, PRODUCE 23, CLEANING 10, DAIRY 6 và BREAD/BAKERY 1; việc CH 2 – BEVERAGES được chọn vì vậy chỉ phản ánh thứ tự của các dòng có giá trị bằng nhau. Tiêu chí chọn nên chuyển sang một đại lượng có phân biệt, chẳng hạn độ rộng tương đối. Trong mỗi hình dưới đây, phần trên là doanh số thực tế, P50 và dải P10–P90, phần dưới là phần dư thực tế trừ P50.</w:t>
      </w:r>
    </w:p>
    <w:p>
      <w:pPr>
        <w:pStyle w:val="Heading3"/>
        <w:keepNext/>
      </w:pPr>
      <w:r>
        <w:t xml:space="preserve">4.13.2. CH 3 – PRODUCE: dự báo điểm chính xác và bắt được đỉnh khuyến mãi</w:t>
      </w:r>
    </w:p>
    <w:p>
      <w:pPr>
        <w:keepLines w:val="0"/>
        <w:spacing w:after="120"/>
        <w:ind w:firstLine="567"/>
      </w:pPr>
      <w:r>
        <w:t xml:space="preserve">Hình 4.20 cho thấy P50 bám sát diễn biến doanh số của CH 3 – PRODUCE, kể cả hai đỉnh vào Thứ Tư 02/08 (thực tế 11.352) và Thứ Tư 09/08 (9.711). Tra từ giá trị onpromotion của tập kiểm tra, đây cũng là hai ngày chuỗi có 225 và 222 mặt hàng khuyến mãi, trong khi các ngày khác chỉ từ 0 đến 14; dự báo điểm của hai ngày này là 11.099 và 9.715, rất gần thực tế. WAPE của cả kỳ chỉ 4,10%, nhỏ nhất trong nhóm đủ điều kiện. Tuy vậy, phần dư ở nửa sau kỳ chủ yếu mang dấu âm: dự báo điểm cao hơn thực tế ở 13 trong 16 ngày, với ngày lệch lớn nhất là 11/08 (thực tế 6.907 so với dự báo 7.905), nên bias bằng −253,329 và tổng dự báo 128.394,48 cao hơn tổng thực tế 124.341.</w:t>
      </w:r>
    </w:p>
    <w:p>
      <w:pPr>
        <w:jc w:val="center"/>
      </w:pPr>
      <w:r>
        <w:drawing>
          <wp:inline xmlns:a="http://schemas.openxmlformats.org/drawingml/2006/main" xmlns:pic="http://schemas.openxmlformats.org/drawingml/2006/picture">
            <wp:extent cx="5580000" cy="3463935"/>
            <wp:docPr id="5024" name="Picture 5024"/>
            <wp:cNvGraphicFramePr>
              <a:graphicFrameLocks noChangeAspect="1"/>
            </wp:cNvGraphicFramePr>
            <a:graphic>
              <a:graphicData uri="http://schemas.openxmlformats.org/drawingml/2006/picture">
                <pic:pic>
                  <pic:nvPicPr>
                    <pic:cNvPr id="0" name="F25_case_du_bao_tot_1065.png"/>
                    <pic:cNvPicPr/>
                  </pic:nvPicPr>
                  <pic:blipFill>
                    <a:blip r:embed="rId123"/>
                    <a:stretch>
                      <a:fillRect/>
                    </a:stretch>
                  </pic:blipFill>
                  <pic:spPr>
                    <a:xfrm>
                      <a:off x="0" y="0"/>
                      <a:ext cx="5580000" cy="3463935"/>
                    </a:xfrm>
                    <a:prstGeom prst="rect"/>
                  </pic:spPr>
                </pic:pic>
              </a:graphicData>
            </a:graphic>
          </wp:inline>
        </w:drawing>
      </w:r>
    </w:p>
    <w:p>
      <w:pPr>
        <w:keepNext w:val="0"/>
        <w:spacing w:after="160"/>
        <w:ind w:firstLine="0"/>
        <w:jc w:val="center"/>
      </w:pPr>
      <w:r>
        <w:t xml:space="preserve">Hình 4.20. Doanh số thực tế, P50 và khoảng P10–P90 theo ngày của trường hợp du_bao_tot (CH 3 – PRODUCE), kèm phần dư theo ngày</w:t>
      </w:r>
    </w:p>
    <w:p>
      <w:pPr>
        <w:spacing w:before="0" w:after="160"/>
        <w:ind w:firstLine="0"/>
        <w:jc w:val="center"/>
      </w:pPr>
      <w:r>
        <w:rPr>
          <w:i/>
          <w:sz w:val="22"/>
          <w:szCs w:val="22"/>
        </w:rPr>
        <w:t xml:space="preserve">Nguồn: REPORT_READY/figures/F25_case_du_bao_tot.png</w:t>
      </w:r>
    </w:p>
    <w:p>
      <w:pPr>
        <w:keepLines w:val="0"/>
        <w:spacing w:after="120"/>
        <w:ind w:firstLine="567"/>
      </w:pPr>
      <w:r>
        <w:t xml:space="preserve">Dải P10–P90 trong Hình 4.20 rộng khoảng 1.176 đơn vị mỗi ngày và bất đối xứng quanh dự báo điểm, với nhánh trên dài hơn nhánh dưới, đúng với phân vị phần dư của nhóm cao nhất. Độ bao phủ đạt 68,75%, tức 11 trong 16 ngày; năm ngày còn lại (06/08, 07/08, 10/08, 11/08 và 14/08) đều có thực tế thấp hơn P10, không ngày nào vượt P90. Chuỗi nhận nhãn LOW với r = 0,146, lượng bổ sung 37.843,21 và đứng thứ 374 trong hàng đợi với hành động BỔ SUNG THEO P90 · RÀ SOÁT KHOẢNG DỰ BÁO. Ở trường hợp này, khuyến nghị rà soát là cần thiết: dự báo thiên cao cộng với mức mục tiêu P90 sẽ tạo tồn dư với một nhóm hàng tươi sống, đúng điểm mà danh mục kiểm tra chuẩn của phiếu nhắc về hạn sử dụng với hàng tươi sống.</w:t>
      </w:r>
    </w:p>
    <w:p>
      <w:pPr>
        <w:pStyle w:val="Heading3"/>
        <w:keepNext/>
      </w:pPr>
      <w:r>
        <w:t xml:space="preserve">4.13.3. CH 12 – SCHOOL AND OFFICE SUPPLIES: nhu cầu thấp, dự báo phụ thuộc gần như hoàn toàn vào onpromotion</w:t>
      </w:r>
    </w:p>
    <w:p>
      <w:pPr>
        <w:keepLines w:val="0"/>
        <w:spacing w:after="120"/>
        <w:ind w:firstLine="567"/>
      </w:pPr>
      <w:r>
        <w:t xml:space="preserve">Trường hợp du_bao_kho minh họa một cơ chế khác hẳn. Theo Hình 4.21, trong bảy ngày đầu (31/07–06/08) doanh số thực tế và dự báo điểm đều bằng 0, còn từ 07/08 thực tế chỉ từ 2 đến 20 đơn vị mỗi ngày trong khi dự báo điểm lên từ 25 đến 68. Bước chuyển trùng đúng lúc chuỗi bắt đầu có khuyến mãi: onpromotion bằng 0 trong bảy ngày đầu, rồi từ 1 đến 5. Kịch bản No promotion của chuỗi cho P50 bằng 0,00 cho cả kỳ, nghĩa là toàn bộ dự báo 455,14 đơn vị gắn với biến khuyến mãi. Vì mọi ngày có sai số đều cùng chiều, bias −23,446 bằng đúng trị tuyệt đối của MAE, tổng dự báo gấp khoảng 5,7 lần tổng thực tế 80, và WAPE lên tới 468,92%. Mẫu số nhỏ là nguyên nhân khiến WAPE phình to, tương tự hạn chế của các thước đo tương đối khi giá trị thực tế gần 0 (Hyndman và Koehler, 2006).</w:t>
      </w:r>
    </w:p>
    <w:p>
      <w:pPr>
        <w:jc w:val="center"/>
      </w:pPr>
      <w:r>
        <w:drawing>
          <wp:inline xmlns:a="http://schemas.openxmlformats.org/drawingml/2006/main" xmlns:pic="http://schemas.openxmlformats.org/drawingml/2006/picture">
            <wp:extent cx="5580000" cy="3456303"/>
            <wp:docPr id="5025" name="Picture 5025"/>
            <wp:cNvGraphicFramePr>
              <a:graphicFrameLocks noChangeAspect="1"/>
            </wp:cNvGraphicFramePr>
            <a:graphic>
              <a:graphicData uri="http://schemas.openxmlformats.org/drawingml/2006/picture">
                <pic:pic>
                  <pic:nvPicPr>
                    <pic:cNvPr id="0" name="F25_case_du_bao_kho_1071.png"/>
                    <pic:cNvPicPr/>
                  </pic:nvPicPr>
                  <pic:blipFill>
                    <a:blip r:embed="rId124"/>
                    <a:stretch>
                      <a:fillRect/>
                    </a:stretch>
                  </pic:blipFill>
                  <pic:spPr>
                    <a:xfrm>
                      <a:off x="0" y="0"/>
                      <a:ext cx="5580000" cy="3456303"/>
                    </a:xfrm>
                    <a:prstGeom prst="rect"/>
                  </pic:spPr>
                </pic:pic>
              </a:graphicData>
            </a:graphic>
          </wp:inline>
        </w:drawing>
      </w:r>
    </w:p>
    <w:p>
      <w:pPr>
        <w:keepNext w:val="0"/>
        <w:spacing w:after="160"/>
        <w:ind w:firstLine="0"/>
        <w:jc w:val="center"/>
      </w:pPr>
      <w:r>
        <w:t xml:space="preserve">Hình 4.21. Doanh số thực tế, P50 và khoảng P10–P90 theo ngày của trường hợp du_bao_kho (CH 12 – SCHOOL AND OFFICE SUPPLIES), kèm phần dư theo ngày</w:t>
      </w:r>
    </w:p>
    <w:p>
      <w:pPr>
        <w:spacing w:before="0" w:after="160"/>
        <w:ind w:firstLine="0"/>
        <w:jc w:val="center"/>
      </w:pPr>
      <w:r>
        <w:rPr>
          <w:i/>
          <w:sz w:val="22"/>
          <w:szCs w:val="22"/>
        </w:rPr>
        <w:t xml:space="preserve">Nguồn: REPORT_READY/figures/F25_case_du_bao_kho.png</w:t>
      </w:r>
    </w:p>
    <w:p>
      <w:pPr>
        <w:keepLines w:val="0"/>
        <w:spacing w:after="120"/>
        <w:ind w:firstLine="567"/>
      </w:pPr>
      <w:r>
        <w:t xml:space="preserve">Dải P10–P90 trong Hình 4.21 thay đổi theo quy mô dự báo: bảy ngày đầu chỉ từ 0 đến 4 và chứa giá trị thực tế, còn chín ngày sau giãn ra theo dự báo điểm nhưng thực tế đều nằm dưới P10. Độ bao phủ 43,75% vì vậy hoàn toàn đến từ bảy ngày không có doanh số. Chuỗi có r = 1,029, nhãn HIGH, lượng bổ sung Stage 07 là 340,19, gấp hơn bốn lần tổng thực tế. Stage 08 xếp chuỗi ở vị trí 447 với hành động BỔ SUNG THẬN TRỌNG, chọn phương án B với 243,35 đơn vị. Nhưng khuyến nghị khuyến mãi lại là CÂN NHẮC THỬ NGHIỆM, kèm cảnh báo ngoại suy, vì kịch bản Medium làm P50 tăng từ 455,14 lên 890,24 và vẫn nằm trong miền |Δ| ≤ 100%. Quy tắc chỉ nhìn phản ứng dự báo, không biết dự báo hiện tại đã cao gấp nhiều lần thực tế, nên phiếu cần con người rà soát. Với cầu nhỏ như vậy, phân phối rời rạc cho dữ liệu đếm phù hợp hơn (Kolassa, 2016).</w:t>
      </w:r>
    </w:p>
    <w:p>
      <w:pPr>
        <w:pStyle w:val="Heading3"/>
        <w:keepNext/>
      </w:pPr>
      <w:r>
        <w:t xml:space="preserve">4.13.4. CH 2 – BEVERAGES: "bất định cao" theo một tiêu chí không phân biệt</w:t>
      </w:r>
    </w:p>
    <w:p>
      <w:pPr>
        <w:keepLines w:val="0"/>
        <w:spacing w:after="120"/>
        <w:ind w:firstLine="567"/>
      </w:pPr>
      <w:r>
        <w:t xml:space="preserve">Trường hợp bat_dinh_cao (Hình 4.22) có WAPE 19,11%, cao hơn rõ rệt so với hai chuỗi lớn còn lại. P50 theo được hình dạng tuần của doanh số, với đỉnh vào cuối tuần 05–06/08 và 12–13/08, nhưng thiên cao gần như suốt kỳ: dự báo điểm cao hơn thực tế ở 14 trong 16 ngày, ngày lệch lớn nhất là 12/08 (thực tế 2.649 so với dự báo 3.736), và bias bằng −466,598. Tổng dự báo 51.704,57 cao hơn tổng thực tế 44.239 khoảng 7.466 đơn vị. Mức thiên cao ở 12–13/08 khớp với hai ngày có sai lệch dương lớn nhất ở cấp hệ thống (mục 4.6), và BEVERAGES cũng là nhóm có bias âm lớn nhất trong phân rã theo nhóm ở mục 4.7.</w:t>
      </w:r>
    </w:p>
    <w:p>
      <w:pPr>
        <w:jc w:val="center"/>
      </w:pPr>
      <w:r>
        <w:drawing>
          <wp:inline xmlns:a="http://schemas.openxmlformats.org/drawingml/2006/main" xmlns:pic="http://schemas.openxmlformats.org/drawingml/2006/picture">
            <wp:extent cx="5580000" cy="3463935"/>
            <wp:docPr id="5026" name="Picture 5026"/>
            <wp:cNvGraphicFramePr>
              <a:graphicFrameLocks noChangeAspect="1"/>
            </wp:cNvGraphicFramePr>
            <a:graphic>
              <a:graphicData uri="http://schemas.openxmlformats.org/drawingml/2006/picture">
                <pic:pic>
                  <pic:nvPicPr>
                    <pic:cNvPr id="0" name="F25_case_bat_dinh_cao_1077.png"/>
                    <pic:cNvPicPr/>
                  </pic:nvPicPr>
                  <pic:blipFill>
                    <a:blip r:embed="rId125"/>
                    <a:stretch>
                      <a:fillRect/>
                    </a:stretch>
                  </pic:blipFill>
                  <pic:spPr>
                    <a:xfrm>
                      <a:off x="0" y="0"/>
                      <a:ext cx="5580000" cy="3463935"/>
                    </a:xfrm>
                    <a:prstGeom prst="rect"/>
                  </pic:spPr>
                </pic:pic>
              </a:graphicData>
            </a:graphic>
          </wp:inline>
        </w:drawing>
      </w:r>
    </w:p>
    <w:p>
      <w:pPr>
        <w:keepNext w:val="0"/>
        <w:spacing w:after="160"/>
        <w:ind w:firstLine="0"/>
        <w:jc w:val="center"/>
      </w:pPr>
      <w:r>
        <w:t xml:space="preserve">Hình 4.22. Doanh số thực tế, P50 và khoảng P10–P90 theo ngày của trường hợp bat_dinh_cao (CH 2 – BEVERAGES), kèm phần dư theo ngày</w:t>
      </w:r>
    </w:p>
    <w:p>
      <w:pPr>
        <w:spacing w:before="0" w:after="160"/>
        <w:ind w:firstLine="0"/>
        <w:jc w:val="center"/>
      </w:pPr>
      <w:r>
        <w:rPr>
          <w:i/>
          <w:sz w:val="22"/>
          <w:szCs w:val="22"/>
        </w:rPr>
        <w:t xml:space="preserve">Nguồn: REPORT_READY/figures/F25_case_bat_dinh_cao.png</w:t>
      </w:r>
    </w:p>
    <w:p>
      <w:pPr>
        <w:keepLines w:val="0"/>
        <w:spacing w:after="120"/>
        <w:ind w:firstLine="567"/>
      </w:pPr>
      <w:r>
        <w:t xml:space="preserve">Dải P10–P90 trong Hình 4.22 có độ rộng chung của nhóm cao nhất, khoảng 1.176 đơn vị mỗi ngày, tức hơn một phần ba mức doanh số bình quân của chuỗi. Dù rộng như vậy, độ bao phủ chỉ đạt 43,75%: 9 trong 16 ngày có thực tế thấp hơn P10, không ngày nào vượt P90. Đây là minh họa cấp chuỗi cho độ bao phủ 60,53% của BEVERAGES: khoảng dựng từ phân vị phần dư của cửa sổ hiệu chỉnh không bù được độ lệch có hệ thống. Chuỗi nhận nhãn MEDIUM (r = 0,363), đứng thứ 4 trong hàng đợi; phiếu của chuỗi đề xuất BỔ SUNG THEO P90 · RÀ SOÁT KHOẢNG DỰ BÁO với 22.505 đơn vị để đạt mức mục tiêu 63.984, và KHÔNG ĐỀ XUẤT TĂNG khuyến mãi vì mọi kịch bản đều thấp hơn Current. Với một chuỗi mà thực tế thường nằm dưới cả P10, mức mục tiêu P90 là nơi người phê duyệt cần điều chỉnh xuống nhiều nhất.</w:t>
      </w:r>
    </w:p>
    <w:p>
      <w:pPr>
        <w:pStyle w:val="Heading3"/>
        <w:keepNext/>
      </w:pPr>
      <w:r>
        <w:t xml:space="preserve">4.13.5. CH 45 – GROCERY I: độ nhạy khuyến mãi âm do hạ đầu vào</w:t>
      </w:r>
    </w:p>
    <w:p>
      <w:pPr>
        <w:keepLines w:val="0"/>
        <w:spacing w:after="120"/>
        <w:ind w:firstLine="567"/>
      </w:pPr>
      <w:r>
        <w:t xml:space="preserve">Trường hợp nhay_khuyen_mai là chuỗi có |High − Current| lớn nhất, với Δ = −9.113,03. Hình 4.23 cho thấy đây cũng là một chuỗi dự báo tốt: P50 bám sát đỉnh cuối tuần 05–06/08, WAPE 6,36% và dự báo điểm cao hơn thực tế ở đúng 8 trong 16 ngày. Phần dư đổi dấu rõ rệt giữa hai nửa kỳ: dương ở phần lớn tuần đầu, rồi âm lớn ở cuối tuần thứ hai, khi 12/08 có thực tế 9.917 so với dự báo 12.752 và 13/08 có 12.723 so với 14.733. Độ bao phủ đạt 62,50%, với năm ngày thực tế dưới P10 và một ngày (02/08) vượt P90. Chuỗi nhận nhãn LOW (r = 0,104), có lượng bổ sung lớn nhất hệ thống, 48.226,90, và đứng thứ 361 trong hàng đợi với hành động rà soát khoảng dự báo.</w:t>
      </w:r>
    </w:p>
    <w:p>
      <w:pPr>
        <w:jc w:val="center"/>
      </w:pPr>
      <w:r>
        <w:drawing>
          <wp:inline xmlns:a="http://schemas.openxmlformats.org/drawingml/2006/main" xmlns:pic="http://schemas.openxmlformats.org/drawingml/2006/picture">
            <wp:extent cx="5580000" cy="3463935"/>
            <wp:docPr id="5027" name="Picture 5027"/>
            <wp:cNvGraphicFramePr>
              <a:graphicFrameLocks noChangeAspect="1"/>
            </wp:cNvGraphicFramePr>
            <a:graphic>
              <a:graphicData uri="http://schemas.openxmlformats.org/drawingml/2006/picture">
                <pic:pic>
                  <pic:nvPicPr>
                    <pic:cNvPr id="0" name="F25_case_nhay_khuyen_mai_1083.png"/>
                    <pic:cNvPicPr/>
                  </pic:nvPicPr>
                  <pic:blipFill>
                    <a:blip r:embed="rId126"/>
                    <a:stretch>
                      <a:fillRect/>
                    </a:stretch>
                  </pic:blipFill>
                  <pic:spPr>
                    <a:xfrm>
                      <a:off x="0" y="0"/>
                      <a:ext cx="5580000" cy="3463935"/>
                    </a:xfrm>
                    <a:prstGeom prst="rect"/>
                  </pic:spPr>
                </pic:pic>
              </a:graphicData>
            </a:graphic>
          </wp:inline>
        </w:drawing>
      </w:r>
    </w:p>
    <w:p>
      <w:pPr>
        <w:keepNext w:val="0"/>
        <w:spacing w:after="160"/>
        <w:ind w:firstLine="0"/>
        <w:jc w:val="center"/>
      </w:pPr>
      <w:r>
        <w:t xml:space="preserve">Hình 4.23. Doanh số thực tế, P50 và khoảng P10–P90 theo ngày của trường hợp nhay_khuyen_mai (CH 45 – GROCERY I), kèm phần dư theo ngày</w:t>
      </w:r>
    </w:p>
    <w:p>
      <w:pPr>
        <w:spacing w:before="0" w:after="160"/>
        <w:ind w:firstLine="0"/>
        <w:jc w:val="center"/>
      </w:pPr>
      <w:r>
        <w:rPr>
          <w:i/>
          <w:sz w:val="22"/>
          <w:szCs w:val="22"/>
        </w:rPr>
        <w:t xml:space="preserve">Nguồn: REPORT_READY/figures/F25_case_nhay_khuyen_mai.png</w:t>
      </w:r>
    </w:p>
    <w:p>
      <w:pPr>
        <w:keepLines w:val="0"/>
        <w:spacing w:after="120"/>
        <w:ind w:firstLine="567"/>
      </w:pPr>
      <w:r>
        <w:t xml:space="preserve">Độ nhạy âm của chuỗi không có nghĩa là khuyến mãi làm giảm doanh số. Trong tập kiểm tra cuối, CH 45 – GROCERY I có từ 34 đến 72 mặt hàng khuyến mãi mỗi ngày, trung bình 46,125; mọi kịch bản gán đồng loạt đều hạ đầu vào này. Tương ứng, P50 kịch bản giảm 17.171,80 ở No promotion, 17.256,52 ở Low, 14.570,14 ở Medium và 9.113,03 ở High, tức High là kịch bản giảm ít nhất; ngoài cặp No promotion và Low gần như bằng nhau, P50 tăng dần khi giá trị gán tiến gần mức hiện tại. Dấu âm vì vậy là sản phẩm của thiết kế kịch bản. Tiêu chí chọn trường hợp nhay_khuyen_mai theo |Δ| tuyệt đối vì vậy ưu tiên chuỗi lớn bị hạ đầu vào, và cần được bổ sung bằng một tiêu chí tương đối theo mức onpromotion hiện tại như đề xuất ở mục 4.10.4.</w:t>
      </w:r>
    </w:p>
    <w:p>
      <w:pPr>
        <w:pStyle w:val="Heading3"/>
        <w:keepNext/>
      </w:pPr>
      <w:r>
        <w:t xml:space="preserve">4.13.6. Bài học rút ra từ bốn trường hợp</w:t>
      </w:r>
    </w:p>
    <w:p>
      <w:pPr>
        <w:keepLines w:val="0"/>
        <w:spacing w:after="120"/>
        <w:ind w:firstLine="567"/>
      </w:pPr>
      <w:r>
        <w:t xml:space="preserve">Bốn trường hợp củng cố ở cấp chuỗi các phát hiện tổng hợp. Thứ nhất, độ chính xác của dự báo điểm và mức hiệu chỉnh của khoảng là hai thuộc tính khác nhau: CH 3 và CH 45 có WAPE thấp nhưng độ bao phủ chỉ 68,75% và 62,50%, vì khoảng của nhóm cao nhất không theo kịp độ lệch theo ngày. Thứ hai, khi dự báo điểm thiên lệch có hệ thống, như ở CH 2 và CH 12, khoảng dự báo không tự sửa được độ lệch đó, và thực tế rơi xuống dưới P10 ở phần lớn các ngày có doanh số. Thứ ba, bat_dinh_cao chỉ là một trong 139 chuỗi cùng độ rộng tối đa, còn nhay_khuyen_mai là chuỗi bị hạ đầu vào.</w:t>
      </w:r>
    </w:p>
    <w:p>
      <w:pPr>
        <w:keepLines w:val="0"/>
        <w:spacing w:after="120"/>
        <w:ind w:firstLine="567"/>
      </w:pPr>
      <w:r>
        <w:t xml:space="preserve">Thứ tư, bộ máy khuyến nghị xử lý đúng một phần các tình huống này: nó đưa CH 2 lên thứ 4 trong hàng đợi, yêu cầu rà soát khoảng ở ba chuỗi lớn và chọn phương án thận trọng cho CH 12. Nhưng nó vẫn đề xuất thử nghiệm khuyến mãi cho CH 12 và chưa có cơ chế phát hiện độ lệch dự báo gần đây. Từ đó, mọi nhãn do hệ thống sinh ra, dù là du_bao_tot, bat_dinh_cao, HIGH hay CÂN NHẮC THỬ NGHIỆM, cần được xem xét cùng ít nhất ba thông tin là quy mô chuỗi, sai số điểm gần đây và độ bao phủ thực nghiệm.</w:t>
      </w:r>
    </w:p>
    <w:p>
      <w:pPr>
        <w:pStyle w:val="Heading2"/>
        <w:keepNext/>
      </w:pPr>
      <w:r>
        <w:t xml:space="preserve">4.14. Tổng hợp kết quả theo câu hỏi nghiên cứu</w:t>
      </w:r>
    </w:p>
    <w:p>
      <w:pPr>
        <w:pStyle w:val="Heading3"/>
        <w:keepNext/>
      </w:pPr>
      <w:r>
        <w:t xml:space="preserve">4.14.1. Bảng đối chiếu câu hỏi – bằng chứng – kết quả – giới hạn</w:t>
      </w:r>
    </w:p>
    <w:p>
      <w:pPr>
        <w:keepLines w:val="0"/>
        <w:spacing w:after="120"/>
        <w:ind w:firstLine="567"/>
      </w:pPr>
      <w:r>
        <w:t xml:space="preserve">Mục này tập hợp các kết quả của Chương 4 theo năm câu hỏi nghiên cứu đã nêu ở Chương 1. Bảng 4.21 trình bày đối chiếu này theo bốn cột: câu hỏi, bằng chứng, kết quả chính và giới hạn. Mục đích là xác định rõ đến đâu kết quả có thể làm căn cứ và từ đâu kết luận chỉ nên dừng ở mức giả thuyết. Mọi con số trong bảng đều lấy từ lần chạy chính thức; độ nhạy của kết luận lựa chọn mô hình trước hai lựa chọn thiết kế được trình bày riêng ở mục 4.15.</w:t>
      </w:r>
    </w:p>
    <w:p>
      <w:pPr>
        <w:keepNext/>
        <w:spacing w:before="120" w:after="60"/>
        <w:ind w:firstLine="0"/>
        <w:jc w:val="center"/>
      </w:pPr>
      <w:r>
        <w:t xml:space="preserve">Bảng 4.21. Đối chiếu năm câu hỏi nghiên cứu với bằng chứng, kết quả chính và giới hạn diễn giải trong Chương 4</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258"/>
        <w:gridCol w:w="2604"/>
        <w:gridCol w:w="2604"/>
        <w:gridCol w:w="2605"/>
      </w:tblGrid>
      <w:tr>
        <w:trPr>
          <w:tblHeader/>
          <w:cantSplit/>
        </w:trPr>
        <w:tc>
          <w:tcPr>
            <w:tcW w:type="dxa" w:w="1258"/>
            <w:shd w:val="clear" w:color="auto" w:fill="D9E2F3"/>
            <w:vAlign w:val="center"/>
          </w:tcPr>
          <w:p>
            <w:pPr>
              <w:spacing w:before="20" w:after="20" w:line="260" w:lineRule="auto"/>
              <w:ind w:firstLine="0"/>
              <w:jc w:val="center"/>
            </w:pPr>
            <w:r>
              <w:rPr>
                <w:b/>
                <w:sz w:val="20"/>
                <w:szCs w:val="20"/>
              </w:rPr>
              <w:t xml:space="preserve">Câu hỏi</w:t>
            </w:r>
          </w:p>
        </w:tc>
        <w:tc>
          <w:tcPr>
            <w:tcW w:type="dxa" w:w="2604"/>
            <w:shd w:val="clear" w:color="auto" w:fill="D9E2F3"/>
            <w:vAlign w:val="center"/>
          </w:tcPr>
          <w:p>
            <w:pPr>
              <w:spacing w:before="20" w:after="20" w:line="260" w:lineRule="auto"/>
              <w:ind w:firstLine="0"/>
              <w:jc w:val="center"/>
            </w:pPr>
            <w:r>
              <w:rPr>
                <w:b/>
                <w:sz w:val="20"/>
                <w:szCs w:val="20"/>
              </w:rPr>
              <w:t xml:space="preserve">Bằng chứng (tệp kết quả)</w:t>
            </w:r>
          </w:p>
        </w:tc>
        <w:tc>
          <w:tcPr>
            <w:tcW w:type="dxa" w:w="2604"/>
            <w:shd w:val="clear" w:color="auto" w:fill="D9E2F3"/>
            <w:vAlign w:val="center"/>
          </w:tcPr>
          <w:p>
            <w:pPr>
              <w:spacing w:before="20" w:after="20" w:line="260" w:lineRule="auto"/>
              <w:ind w:firstLine="0"/>
              <w:jc w:val="center"/>
            </w:pPr>
            <w:r>
              <w:rPr>
                <w:b/>
                <w:sz w:val="20"/>
                <w:szCs w:val="20"/>
              </w:rPr>
              <w:t xml:space="preserve">Kết quả chính</w:t>
            </w:r>
          </w:p>
        </w:tc>
        <w:tc>
          <w:tcPr>
            <w:tcW w:type="dxa" w:w="2605"/>
            <w:shd w:val="clear" w:color="auto" w:fill="D9E2F3"/>
            <w:vAlign w:val="center"/>
          </w:tcPr>
          <w:p>
            <w:pPr>
              <w:spacing w:before="20" w:after="20" w:line="260" w:lineRule="auto"/>
              <w:ind w:firstLine="0"/>
              <w:jc w:val="center"/>
            </w:pPr>
            <w:r>
              <w:rPr>
                <w:b/>
                <w:sz w:val="20"/>
                <w:szCs w:val="20"/>
              </w:rPr>
              <w:t xml:space="preserve">Giới hạn</w:t>
            </w:r>
          </w:p>
        </w:tc>
      </w:tr>
      <w:tr>
        <w:trPr>
          <w:cantSplit/>
        </w:trPr>
        <w:tc>
          <w:tcPr>
            <w:tcW w:type="dxa" w:w="1258"/>
            <w:vAlign w:val="center"/>
          </w:tcPr>
          <w:p>
            <w:pPr>
              <w:spacing w:before="20" w:after="20" w:line="260" w:lineRule="auto"/>
              <w:ind w:firstLine="0"/>
              <w:jc w:val="left"/>
            </w:pPr>
            <w:r>
              <w:rPr>
                <w:sz w:val="20"/>
                <w:szCs w:val="20"/>
              </w:rPr>
              <w:t xml:space="preserve">RQ1 – Đặc điểm dữ liệu</w:t>
            </w:r>
          </w:p>
        </w:tc>
        <w:tc>
          <w:tcPr>
            <w:tcW w:type="dxa" w:w="2604"/>
            <w:vAlign w:val="center"/>
          </w:tcPr>
          <w:p>
            <w:pPr>
              <w:spacing w:before="20" w:after="20" w:line="260" w:lineRule="auto"/>
              <w:ind w:firstLine="0"/>
              <w:jc w:val="left"/>
            </w:pPr>
            <w:r>
              <w:rPr>
                <w:sz w:val="20"/>
                <w:szCs w:val="20"/>
              </w:rPr>
              <w:t xml:space="preserve">01_data_quality.csv, 02_promotion_descriptive.csv, daily_aggregate.csv, phân rã STL (Chương 3)</w:t>
            </w:r>
          </w:p>
        </w:tc>
        <w:tc>
          <w:tcPr>
            <w:tcW w:type="dxa" w:w="2604"/>
            <w:vAlign w:val="center"/>
          </w:tcPr>
          <w:p>
            <w:pPr>
              <w:spacing w:before="20" w:after="20" w:line="260" w:lineRule="auto"/>
              <w:ind w:firstLine="0"/>
              <w:jc w:val="left"/>
            </w:pPr>
            <w:r>
              <w:rPr>
                <w:sz w:val="20"/>
                <w:szCs w:val="20"/>
              </w:rPr>
              <w:t xml:space="preserve">3.000.888 quan sát, 54 cửa hàng, 33 nhóm, 1.782 chuỗi; 31,30% dòng sales = 0; 20,37% dòng có onpromotion &gt; 0; không thiếu, không trùng lặp; 4 ngày 25/12 vắng được hoàn thiện lịch với cờ closed</w:t>
            </w:r>
          </w:p>
        </w:tc>
        <w:tc>
          <w:tcPr>
            <w:tcW w:type="dxa" w:w="2605"/>
            <w:vAlign w:val="center"/>
          </w:tcPr>
          <w:p>
            <w:pPr>
              <w:spacing w:before="20" w:after="20" w:line="260" w:lineRule="auto"/>
              <w:ind w:firstLine="0"/>
              <w:jc w:val="left"/>
            </w:pPr>
            <w:r>
              <w:rPr>
                <w:sz w:val="20"/>
                <w:szCs w:val="20"/>
              </w:rPr>
              <w:t xml:space="preserve">Thống kê mô tả; chênh lệch doanh số giữa dòng có và không có khuyến mãi (1.137,694 so với 158,247) không phải hiệu ứng nhân quả</w:t>
            </w:r>
          </w:p>
        </w:tc>
      </w:tr>
      <w:tr>
        <w:trPr>
          <w:cantSplit/>
        </w:trPr>
        <w:tc>
          <w:tcPr>
            <w:tcW w:type="dxa" w:w="1258"/>
            <w:vAlign w:val="center"/>
          </w:tcPr>
          <w:p>
            <w:pPr>
              <w:spacing w:before="20" w:after="20" w:line="260" w:lineRule="auto"/>
              <w:ind w:firstLine="0"/>
              <w:jc w:val="left"/>
            </w:pPr>
            <w:r>
              <w:rPr>
                <w:sz w:val="20"/>
                <w:szCs w:val="20"/>
              </w:rPr>
              <w:t xml:space="preserve">RQ2 – Lựa chọn mô hình</w:t>
            </w:r>
          </w:p>
        </w:tc>
        <w:tc>
          <w:tcPr>
            <w:tcW w:type="dxa" w:w="2604"/>
            <w:vAlign w:val="center"/>
          </w:tcPr>
          <w:p>
            <w:pPr>
              <w:spacing w:before="20" w:after="20" w:line="260" w:lineRule="auto"/>
              <w:ind w:firstLine="0"/>
              <w:jc w:val="left"/>
            </w:pPr>
            <w:r>
              <w:rPr>
                <w:sz w:val="20"/>
                <w:szCs w:val="20"/>
              </w:rPr>
              <w:t xml:space="preserve">05_model_cv_summary.csv, 06_rolling_cv_metrics.csv, 07_final_holdout_metrics.csv, sensitivity_cv.csv (Stage 14)</w:t>
            </w:r>
          </w:p>
        </w:tc>
        <w:tc>
          <w:tcPr>
            <w:tcW w:type="dxa" w:w="2604"/>
            <w:vAlign w:val="center"/>
          </w:tcPr>
          <w:p>
            <w:pPr>
              <w:spacing w:before="20" w:after="20" w:line="260" w:lineRule="auto"/>
              <w:ind w:firstLine="0"/>
              <w:jc w:val="left"/>
            </w:pPr>
            <w:r>
              <w:rPr>
                <w:sz w:val="20"/>
                <w:szCs w:val="20"/>
              </w:rPr>
              <w:t xml:space="preserve">XGBoost WAPE CV 12,089%, hạng 1 WAPE và RMSE thấp nhất ở cả 3 lần; tập kiểm tra cuối 14,327%; Seasonal Naive cố định gốc dự báo 15,718% là đường cơ sở hợp lệ; LightGBM có RMSE kiểm tra cuối thấp hơn rất ít (225,479 so với 225,602); thứ hạng giữ nguyên khi XGBoost dùng mẫu 600.000 dòng (12,258%) hoặc LightGBM không đặt subsample_freq (12,594%)</w:t>
            </w:r>
          </w:p>
        </w:tc>
        <w:tc>
          <w:tcPr>
            <w:tcW w:type="dxa" w:w="2605"/>
            <w:vAlign w:val="center"/>
          </w:tcPr>
          <w:p>
            <w:pPr>
              <w:spacing w:before="20" w:after="20" w:line="260" w:lineRule="auto"/>
              <w:ind w:firstLine="0"/>
              <w:jc w:val="left"/>
            </w:pPr>
            <w:r>
              <w:rPr>
                <w:sz w:val="20"/>
                <w:szCs w:val="20"/>
              </w:rPr>
              <w:t xml:space="preserve">Chỉ 3 lần kiểm định; chênh lệch với LightGBM (0,478 điểm %) nhỏ hơn sd của XGBoost (0,646 điểm %), không kiểm định được ý nghĩa thống kê; không tinh chỉnh siêu tham số; Random Forest giới hạn 600.000 dòng</w:t>
            </w:r>
          </w:p>
        </w:tc>
      </w:tr>
      <w:tr>
        <w:trPr>
          <w:cantSplit/>
        </w:trPr>
        <w:tc>
          <w:tcPr>
            <w:tcW w:type="dxa" w:w="1258"/>
            <w:vAlign w:val="center"/>
          </w:tcPr>
          <w:p>
            <w:pPr>
              <w:spacing w:before="20" w:after="20" w:line="260" w:lineRule="auto"/>
              <w:ind w:firstLine="0"/>
              <w:jc w:val="left"/>
            </w:pPr>
            <w:r>
              <w:rPr>
                <w:sz w:val="20"/>
                <w:szCs w:val="20"/>
              </w:rPr>
              <w:t xml:space="preserve">RQ3 – Bất định P10/P50/P90</w:t>
            </w:r>
          </w:p>
        </w:tc>
        <w:tc>
          <w:tcPr>
            <w:tcW w:type="dxa" w:w="2604"/>
            <w:vAlign w:val="center"/>
          </w:tcPr>
          <w:p>
            <w:pPr>
              <w:spacing w:before="20" w:after="20" w:line="260" w:lineRule="auto"/>
              <w:ind w:firstLine="0"/>
              <w:jc w:val="left"/>
            </w:pPr>
            <w:r>
              <w:rPr>
                <w:sz w:val="20"/>
                <w:szCs w:val="20"/>
              </w:rPr>
              <w:t xml:space="preserve">12_probabilistic_metrics.csv, 13_probabilistic_by_family.csv, 11_error_by_demand_level.csv, 22_conformal_bins.csv</w:t>
            </w:r>
          </w:p>
        </w:tc>
        <w:tc>
          <w:tcPr>
            <w:tcW w:type="dxa" w:w="2604"/>
            <w:vAlign w:val="center"/>
          </w:tcPr>
          <w:p>
            <w:pPr>
              <w:spacing w:before="20" w:after="20" w:line="260" w:lineRule="auto"/>
              <w:ind w:firstLine="0"/>
              <w:jc w:val="left"/>
            </w:pPr>
            <w:r>
              <w:rPr>
                <w:sz w:val="20"/>
                <w:szCs w:val="20"/>
              </w:rPr>
              <w:t xml:space="preserve">Pinball 17,850 / 33,428 / 20,960; bao phủ 75,40% (danh nghĩa 80%); bao phủ theo mức nhu cầu 70,86% – 81,90%; Spearman (quy mô nhóm, bao phủ) 0,013; độ rộng tăng theo nhóm Mondrian</w:t>
            </w:r>
          </w:p>
        </w:tc>
        <w:tc>
          <w:tcPr>
            <w:tcW w:type="dxa" w:w="2605"/>
            <w:vAlign w:val="center"/>
          </w:tcPr>
          <w:p>
            <w:pPr>
              <w:spacing w:before="20" w:after="20" w:line="260" w:lineRule="auto"/>
              <w:ind w:firstLine="0"/>
              <w:jc w:val="left"/>
            </w:pPr>
            <w:r>
              <w:rPr>
                <w:sz w:val="20"/>
                <w:szCs w:val="20"/>
              </w:rPr>
              <w:t xml:space="preserve">Bao phủ tổng dưới danh nghĩa, nhóm nhu cầu thấp nhất 70,86%; cửa sổ hiệu chỉnh trùng lần kiểm định 3; BEVERAGES, CLEANING khoảng 61%; tổng phân vị theo ngày không phải phân vị của tổng</w:t>
            </w:r>
          </w:p>
        </w:tc>
      </w:tr>
      <w:tr>
        <w:trPr>
          <w:cantSplit/>
        </w:trPr>
        <w:tc>
          <w:tcPr>
            <w:tcW w:type="dxa" w:w="1258"/>
            <w:vAlign w:val="center"/>
          </w:tcPr>
          <w:p>
            <w:pPr>
              <w:spacing w:before="20" w:after="20" w:line="260" w:lineRule="auto"/>
              <w:ind w:firstLine="0"/>
              <w:jc w:val="left"/>
            </w:pPr>
            <w:r>
              <w:rPr>
                <w:sz w:val="20"/>
                <w:szCs w:val="20"/>
              </w:rPr>
              <w:t xml:space="preserve">RQ4 – Kịch bản và tồn kho</w:t>
            </w:r>
          </w:p>
        </w:tc>
        <w:tc>
          <w:tcPr>
            <w:tcW w:type="dxa" w:w="2604"/>
            <w:vAlign w:val="center"/>
          </w:tcPr>
          <w:p>
            <w:pPr>
              <w:spacing w:before="20" w:after="20" w:line="260" w:lineRule="auto"/>
              <w:ind w:firstLine="0"/>
              <w:jc w:val="left"/>
            </w:pPr>
            <w:r>
              <w:rPr>
                <w:sz w:val="20"/>
                <w:szCs w:val="20"/>
              </w:rPr>
              <w:t xml:space="preserve">promotion_scenarios.csv, 16_top_promotion_sensitivity.csv, inventory_recommendations.csv</w:t>
            </w:r>
          </w:p>
        </w:tc>
        <w:tc>
          <w:tcPr>
            <w:tcW w:type="dxa" w:w="2604"/>
            <w:vAlign w:val="center"/>
          </w:tcPr>
          <w:p>
            <w:pPr>
              <w:spacing w:before="20" w:after="20" w:line="260" w:lineRule="auto"/>
              <w:ind w:firstLine="0"/>
              <w:jc w:val="left"/>
            </w:pPr>
            <w:r>
              <w:rPr>
                <w:sz w:val="20"/>
                <w:szCs w:val="20"/>
              </w:rPr>
              <w:t xml:space="preserve">No promotion −5,04%, Low −1,45%, Medium +3,20%, High +9,06%; 783 chuỗi ngoại suy |Δ| &gt; 100%; HIGH/MEDIUM/LOW 1.064/634/84; tồn kho an toàn thay đổi theo chuỗi; bổ sung gợi ý 5.950.610</w:t>
            </w:r>
          </w:p>
        </w:tc>
        <w:tc>
          <w:tcPr>
            <w:tcW w:type="dxa" w:w="2605"/>
            <w:vAlign w:val="center"/>
          </w:tcPr>
          <w:p>
            <w:pPr>
              <w:spacing w:before="20" w:after="20" w:line="260" w:lineRule="auto"/>
              <w:ind w:firstLine="0"/>
              <w:jc w:val="left"/>
            </w:pPr>
            <w:r>
              <w:rPr>
                <w:sz w:val="20"/>
                <w:szCs w:val="20"/>
              </w:rPr>
              <w:t xml:space="preserve">Phản ứng có điều kiện, không nhân quả; mức tăng tổng hợp do ngoại suy chi phối; nhãn r gắn với quy mô (Spearman −0,970); LOW có bao phủ 58,18%; vị thế giả định 0,8 × P50 (46,24% lượng bổ sung); ROP = P90; không có giá, biên lợi nhuận, tồn kho thực</w:t>
            </w:r>
          </w:p>
        </w:tc>
      </w:tr>
      <w:tr>
        <w:trPr>
          <w:cantSplit/>
        </w:trPr>
        <w:tc>
          <w:tcPr>
            <w:tcW w:type="dxa" w:w="1258"/>
            <w:vAlign w:val="center"/>
          </w:tcPr>
          <w:p>
            <w:pPr>
              <w:spacing w:before="20" w:after="20" w:line="260" w:lineRule="auto"/>
              <w:ind w:firstLine="0"/>
              <w:jc w:val="left"/>
            </w:pPr>
            <w:r>
              <w:rPr>
                <w:sz w:val="20"/>
                <w:szCs w:val="20"/>
              </w:rPr>
              <w:t xml:space="preserve">RQ5 – Generative AI/RAG/HITL</w:t>
            </w:r>
          </w:p>
        </w:tc>
        <w:tc>
          <w:tcPr>
            <w:tcW w:type="dxa" w:w="2604"/>
            <w:vAlign w:val="center"/>
          </w:tcPr>
          <w:p>
            <w:pPr>
              <w:spacing w:before="20" w:after="20" w:line="260" w:lineRule="auto"/>
              <w:ind w:firstLine="0"/>
              <w:jc w:val="left"/>
            </w:pPr>
            <w:r>
              <w:rPr>
                <w:sz w:val="20"/>
                <w:szCs w:val="20"/>
              </w:rPr>
              <w:t xml:space="preserve">genai_run_status.csv, decision_queue.csv, decision_briefs/*.md, lược đồ hitl_audit_log.csv, mã nguồn Stage 08 và dashboard</w:t>
            </w:r>
          </w:p>
        </w:tc>
        <w:tc>
          <w:tcPr>
            <w:tcW w:type="dxa" w:w="2604"/>
            <w:vAlign w:val="center"/>
          </w:tcPr>
          <w:p>
            <w:pPr>
              <w:spacing w:before="20" w:after="20" w:line="260" w:lineRule="auto"/>
              <w:ind w:firstLine="0"/>
              <w:jc w:val="left"/>
            </w:pPr>
            <w:r>
              <w:rPr>
                <w:sz w:val="20"/>
                <w:szCs w:val="20"/>
              </w:rPr>
              <w:t xml:space="preserve">1.782 phiếu có mã lý do, điểm ưu tiên, 3 phương án, mức tin cậy, cảnh báo ngoại suy và chính sách trích dẫn; RULE_BASED 1.782/1.782; biểu mẫu HITL 14 cột, trạng thái PENDING_HUMAN_REVIEW</w:t>
            </w:r>
          </w:p>
        </w:tc>
        <w:tc>
          <w:tcPr>
            <w:tcW w:type="dxa" w:w="2605"/>
            <w:vAlign w:val="center"/>
          </w:tcPr>
          <w:p>
            <w:pPr>
              <w:spacing w:before="20" w:after="20" w:line="260" w:lineRule="auto"/>
              <w:ind w:firstLine="0"/>
              <w:jc w:val="left"/>
            </w:pPr>
            <w:r>
              <w:rPr>
                <w:sz w:val="20"/>
                <w:szCs w:val="20"/>
              </w:rPr>
              <w:t xml:space="preserve">Chưa gọi LLM thật; kiểm tra bám bằng chứng chỉ kiểm thử bằng mô phỏng; chính sách là mẫu giả định; chưa có quyết định phê duyệt thật nào trong lần chạy (tệp nhật ký chỉ được tạo khi ghi quyết định đầu tiên)</w:t>
            </w:r>
          </w:p>
        </w:tc>
      </w:tr>
    </w:tbl>
    <w:p>
      <w:pPr>
        <w:spacing w:before="40" w:after="160"/>
        <w:ind w:firstLine="0"/>
      </w:pPr>
      <w:r>
        <w:rPr>
          <w:i/>
          <w:sz w:val="22"/>
          <w:szCs w:val="22"/>
        </w:rPr>
        <w:t xml:space="preserve">Nguồn: tổng hợp của tác giả từ các tệp kết quả nêu trong bảng.</w:t>
      </w:r>
    </w:p>
    <w:p>
      <w:pPr>
        <w:keepLines w:val="0"/>
        <w:spacing w:after="120"/>
        <w:ind w:firstLine="567"/>
      </w:pPr>
      <w:r>
        <w:t xml:space="preserve">Với RQ1, bằng chứng thuần túy mô tả và có độ chắc chắn cao: dữ liệu đầy đủ, không có giá trị thiếu hay trùng lặp, nhưng mang những đặc điểm ảnh hưởng trực tiếp đến thiết kế như tỷ lệ dòng bằng 0 cao, khuyến mãi xuất hiện ở khoảng một phần năm số dòng và mùa vụ tuần. Các đặc điểm này giải thích việc chọn WAPE thay vì sMAPE, RMSLE, vốn ưu ái dự báo đúng các giá trị 0 hoặc nhỏ. Với RQ2, điểm mạnh là quy tắc lựa chọn được cố định trước khi mở tập kiểm tra cuối, XGBoost dẫn đầu WAPE và có RMSE thấp nhất ở cả ba lần kiểm định, và vì Seasonal Naive được cố định tại gốc dự báo, không dùng doanh số nằm trong kỳ dự báo, khoảng cách từ 15,718% xuống 12,089% có thể dùng làm bằng chứng định lượng về lợi ích của học máy trong thiết kế này. Điểm yếu là khác biệt với LightGBM nhỏ hơn biến động giữa các lần, nên XGBoost chỉ nên được xem là lựa chọn tốt nhất theo quy tắc và cấu hình của lần chạy; thí nghiệm độ nhạy ở mục 4.15 cho thấy thứ hạng này không đảo khi thay đổi quy mô dữ liệu của XGBoost hay cơ chế lấy mẫu dòng của LightGBM.</w:t>
      </w:r>
    </w:p>
    <w:p>
      <w:pPr>
        <w:pStyle w:val="Heading3"/>
        <w:keepNext/>
      </w:pPr>
      <w:r>
        <w:t xml:space="preserve">4.14.2. Mức độ trả lời của RQ3–RQ5 và giới hạn xuyên suốt</w:t>
      </w:r>
    </w:p>
    <w:p>
      <w:pPr>
        <w:keepLines w:val="0"/>
        <w:spacing w:after="120"/>
        <w:ind w:firstLine="567"/>
      </w:pPr>
      <w:r>
        <w:t xml:space="preserve">RQ3 được trả lời đầy đủ về mặt đo lường, và kết quả cho thấy lớp xác suất đạt mức hiệu chỉnh có điều kiện tương đối đồng đều theo quy mô: độ bao phủ theo mức nhu cầu nằm trong khoảng 70,86% đến 81,90%, và hệ số Spearman giữa quy mô nhóm hàng và độ bao phủ chỉ là 0,013. Tuy vậy, độ bao phủ tổng 75,40% vẫn thấp hơn danh nghĩa 4,6 điểm phần trăm, và điểm yếu ở các nhóm lớn nhất lan sang lớp quyết định qua nhãn LOW. RQ4 được trả lời ở mức kiến trúc: luận văn chứng minh được cách chuyển P10/P50/P90 thành kịch bản khuyến mãi, tồn kho an toàn theo chuỗi, điểm đặt hàng lại và lượng bổ sung, nhưng giá trị tổng hợp của kịch bản bị ngoại suy chi phối, còn lượng bổ sung phụ thuộc gần một nửa vào giả định vị thế, nên chưa dùng được trực tiếp cho quyết định.</w:t>
      </w:r>
    </w:p>
    <w:p>
      <w:pPr>
        <w:keepLines w:val="0"/>
        <w:spacing w:after="120"/>
        <w:ind w:firstLine="567"/>
      </w:pPr>
      <w:r>
        <w:t xml:space="preserve">RQ5 được trả lời ở mức thiết kế và minh chứng luồng hoạt động. Hệ thống tách được vai trò tạo số (mô hình dự báo) khỏi vai trò diễn giải (lớp GenAI), tạo phiếu khuyến nghị có cấu trúc cho mọi chuỗi, xếp hàng đợi bằng điểm ưu tiên minh bạch, trích dẫn bắt buộc quy định đã áp dụng và ghi nhật ký quyết định có người phê duyệt. Tuy nhiên chưa có lời gọi LLM thật và chưa có quyết định HITL thật. Xuyên suốt năm câu hỏi, ba giới hạn chung chi phối mức độ khái quát: (i) chỉ một tập dữ liệu, ba lần kiểm định và một lần chạy chính thức; (ii) không có dữ liệu giá, biên lợi nhuận, tồn kho thực và thời gian cung ứng, nên mọi đại lượng kinh tế và tồn kho là mô phỏng; (iii) các đại lượng theo kỳ là tổng các phân vị theo ngày, không phải phân vị của tổng nhu cầu.</w:t>
      </w:r>
    </w:p>
    <w:p>
      <w:pPr>
        <w:pStyle w:val="Heading2"/>
        <w:keepNext/>
      </w:pPr>
      <w:r>
        <w:t xml:space="preserve">4.15. Thí nghiệm độ nhạy của các lựa chọn thiết kế</w:t>
      </w:r>
    </w:p>
    <w:p>
      <w:pPr>
        <w:pStyle w:val="Heading3"/>
        <w:keepNext/>
      </w:pPr>
      <w:r>
        <w:t xml:space="preserve">4.15.1. Mục đích và thiết kế thí nghiệm</w:t>
      </w:r>
    </w:p>
    <w:p>
      <w:pPr>
        <w:keepLines w:val="0"/>
        <w:spacing w:after="120"/>
        <w:ind w:firstLine="567"/>
      </w:pPr>
      <w:r>
        <w:t xml:space="preserve">Chương 3 đã trình bày hai lựa chọn thiết kế ở tầng mô hình kèm lý do phương pháp. Thứ nhất, XGBoost, LightGBM và Ridge được huấn luyện trên toàn bộ dữ liệu huấn luyện của từng cửa sổ để các mô hình tăng cường được so sánh trong cùng điều kiện dữ liệu, còn Random Forest dùng mẫu ngẫu nhiên 600.000 dòng vì chi phí tính toán. Thứ hai, LightGBM đặt subsample_freq = 1, vì trong thư viện LightGBM tham số subsample (bagging_fraction) chỉ có hiệu lực khi subsample_freq &gt; 0. Cả hai lựa chọn được xác lập từ lập luận phương pháp, không phải từ việc so sánh kết quả. Mục này kiểm tra kết luận của mục 4.2–4.3 nhạy đến mức nào với chính hai lựa chọn đó: nếu thay đổi một lựa chọn làm đảo thứ hạng hoặc thay đổi mạnh WAPE, thì việc chọn mô hình phụ thuộc vào một quyết định cài đặt nhiều hơn vào đặc tính của mô hình. Thí nghiệm độ nhạy (sensitivity experiment) theo nghĩa này là phép kiểm tra độ vững của kết luận, bổ sung cho quy tắc đánh giá ngoài mẫu với gốc dự báo cuốn chiếu (Tashman, 2000).</w:t>
      </w:r>
    </w:p>
    <w:p>
      <w:pPr>
        <w:keepLines w:val="0"/>
        <w:spacing w:after="120"/>
        <w:ind w:firstLine="567"/>
      </w:pPr>
      <w:r>
        <w:t xml:space="preserve">Stage 14 (14_sensitivity_experiments.py) là bước cuối của lần chạy chính thức (Stage 01–14 chạy tuần tự trong một lần), mất 171 giây, và ghi kết quả vào outputs/14_sensitivity/sensitivity_cv.csv. Thí nghiệm dùng đúng ba lần kiểm định cuốn chiếu của Stage 04 (13/06–28/06, 29/06–14/07 và 15/07–30/07/2017), cùng 29 đặc trưng và cùng cách tính thước đo; mỗi cấu hình thay đổi đúng một yếu tố so với cấu hình chính thức. Cấu hình thứ nhất giữ nguyên mọi siêu tham số của XGBoost nhưng huấn luyện trên mẫu ngẫu nhiên 600.000 dòng của tập huấn luyện từng lần, theo cùng quy tắc lấy mẫu (random_state = 42) mà Random Forest sử dụng. Cấu hình thứ hai giữ nguyên LightGBM nhưng không đặt subsample_freq, khi đó subsample = 0,85 không có hiệu lực và mỗi cây học trên toàn bộ dòng, còn lấy mẫu đặc trưng colsample_bytree = 0,85 vẫn giữ. Kết quả của hai cấu hình chính thức được lấy lại từ rolling_cv_metrics.csv của Stage 04. Thí nghiệm không tinh chỉnh thêm siêu tham số nào và không dùng tập kiểm tra cuối, nên không ảnh hưởng đến quy tắc lựa chọn đã cố định trước.</w:t>
      </w:r>
    </w:p>
    <w:p>
      <w:pPr>
        <w:pStyle w:val="Heading3"/>
        <w:keepNext/>
      </w:pPr>
      <w:r>
        <w:t xml:space="preserve">4.15.2. Kết quả theo từng lần kiểm định</w:t>
      </w:r>
    </w:p>
    <w:p>
      <w:pPr>
        <w:keepLines w:val="0"/>
        <w:spacing w:after="120"/>
        <w:ind w:firstLine="567"/>
      </w:pPr>
      <w:r>
        <w:t xml:space="preserve">Bảng 4.22 trình bày WAPE theo từng lần, WAPE và RMSE trung bình, số dòng huấn luyện ở lần 3 và thời gian huấn luyện trung bình của bốn cấu hình. Với XGBoost, huấn luyện trên mẫu 600.000 dòng cho WAPE trung bình 12,258%, cao hơn cấu hình chính thức (12,089%) 0,169 điểm phần trăm, trong khi RMSE trung bình gần như không đổi (217,471 so với 217,464). Mẫu này chỉ bằng khoảng 22,79% số dòng huấn luyện của lần 3 (600.000 trên 2.632.476), nên mức tăng WAPE là nhỏ so với lượng dữ liệu bị bỏ đi. Đổi lại, thời gian huấn luyện trung bình giảm từ 65,3 xuống 15,3 giây, tức cấu hình chính thức tốn khoảng 4,3 lần thời gian. Với LightGBM, bỏ subsample_freq cho WAPE trung bình 12,594% so với 12,568%, chênh lệch 0,027 điểm, và RMSE trung bình tăng từ 220,044 lên 220,625. Thời gian huấn luyện của cấu hình này là 40,2 giây so với 43,0 giây; chênh lệch nhỏ ở mức này chịu ảnh hưởng của môi trường chạy nên không được diễn giải thêm.</w:t>
      </w:r>
    </w:p>
    <w:p>
      <w:pPr>
        <w:keepNext/>
        <w:spacing w:before="120" w:after="60"/>
        <w:ind w:firstLine="0"/>
        <w:jc w:val="center"/>
      </w:pPr>
      <w:r>
        <w:t xml:space="preserve">Bảng 4.22. Thí nghiệm độ nhạy: WAPE theo từng lần kiểm định, WAPE và RMSE trung bình, quy mô dữ liệu và thời gian huấn luyện của cấu hình chính thức và cấu hình thay đổi một yếu tố</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467"/>
        <w:gridCol w:w="1607"/>
        <w:gridCol w:w="784"/>
        <w:gridCol w:w="784"/>
        <w:gridCol w:w="784"/>
        <w:gridCol w:w="701"/>
        <w:gridCol w:w="701"/>
        <w:gridCol w:w="1189"/>
        <w:gridCol w:w="1054"/>
      </w:tblGrid>
      <w:tr>
        <w:trPr>
          <w:tblHeader/>
          <w:cantSplit/>
        </w:trPr>
        <w:tc>
          <w:tcPr>
            <w:tcW w:type="dxa" w:w="1467"/>
            <w:shd w:val="clear" w:color="auto" w:fill="D9E2F3"/>
            <w:vAlign w:val="center"/>
          </w:tcPr>
          <w:p>
            <w:pPr>
              <w:spacing w:before="20" w:after="20" w:line="260" w:lineRule="auto"/>
              <w:ind w:firstLine="0"/>
              <w:jc w:val="center"/>
            </w:pPr>
            <w:r>
              <w:rPr>
                <w:b/>
                <w:sz w:val="20"/>
                <w:szCs w:val="20"/>
              </w:rPr>
              <w:t xml:space="preserve">Cấu hình</w:t>
            </w:r>
          </w:p>
        </w:tc>
        <w:tc>
          <w:tcPr>
            <w:tcW w:type="dxa" w:w="1607"/>
            <w:shd w:val="clear" w:color="auto" w:fill="D9E2F3"/>
            <w:vAlign w:val="center"/>
          </w:tcPr>
          <w:p>
            <w:pPr>
              <w:spacing w:before="20" w:after="20" w:line="260" w:lineRule="auto"/>
              <w:ind w:firstLine="0"/>
              <w:jc w:val="center"/>
            </w:pPr>
            <w:r>
              <w:rPr>
                <w:b/>
                <w:sz w:val="20"/>
                <w:szCs w:val="20"/>
              </w:rPr>
              <w:t xml:space="preserve">Yếu tố thay đổi</w:t>
            </w:r>
          </w:p>
        </w:tc>
        <w:tc>
          <w:tcPr>
            <w:tcW w:type="dxa" w:w="784"/>
            <w:shd w:val="clear" w:color="auto" w:fill="D9E2F3"/>
            <w:vAlign w:val="center"/>
          </w:tcPr>
          <w:p>
            <w:pPr>
              <w:spacing w:before="20" w:after="20" w:line="260" w:lineRule="auto"/>
              <w:ind w:firstLine="0"/>
              <w:jc w:val="center"/>
            </w:pPr>
            <w:r>
              <w:rPr>
                <w:b/>
                <w:sz w:val="20"/>
                <w:szCs w:val="20"/>
              </w:rPr>
              <w:t xml:space="preserve">WAPE lần 1</w:t>
            </w:r>
          </w:p>
        </w:tc>
        <w:tc>
          <w:tcPr>
            <w:tcW w:type="dxa" w:w="784"/>
            <w:shd w:val="clear" w:color="auto" w:fill="D9E2F3"/>
            <w:vAlign w:val="center"/>
          </w:tcPr>
          <w:p>
            <w:pPr>
              <w:spacing w:before="20" w:after="20" w:line="260" w:lineRule="auto"/>
              <w:ind w:firstLine="0"/>
              <w:jc w:val="center"/>
            </w:pPr>
            <w:r>
              <w:rPr>
                <w:b/>
                <w:sz w:val="20"/>
                <w:szCs w:val="20"/>
              </w:rPr>
              <w:t xml:space="preserve">WAPE lần 2</w:t>
            </w:r>
          </w:p>
        </w:tc>
        <w:tc>
          <w:tcPr>
            <w:tcW w:type="dxa" w:w="784"/>
            <w:shd w:val="clear" w:color="auto" w:fill="D9E2F3"/>
            <w:vAlign w:val="center"/>
          </w:tcPr>
          <w:p>
            <w:pPr>
              <w:spacing w:before="20" w:after="20" w:line="260" w:lineRule="auto"/>
              <w:ind w:firstLine="0"/>
              <w:jc w:val="center"/>
            </w:pPr>
            <w:r>
              <w:rPr>
                <w:b/>
                <w:sz w:val="20"/>
                <w:szCs w:val="20"/>
              </w:rPr>
              <w:t xml:space="preserve">WAPE lần 3</w:t>
            </w:r>
          </w:p>
        </w:tc>
        <w:tc>
          <w:tcPr>
            <w:tcW w:type="dxa" w:w="701"/>
            <w:shd w:val="clear" w:color="auto" w:fill="D9E2F3"/>
            <w:vAlign w:val="center"/>
          </w:tcPr>
          <w:p>
            <w:pPr>
              <w:spacing w:before="20" w:after="20" w:line="260" w:lineRule="auto"/>
              <w:ind w:firstLine="0"/>
              <w:jc w:val="center"/>
            </w:pPr>
            <w:r>
              <w:rPr>
                <w:b/>
                <w:sz w:val="20"/>
                <w:szCs w:val="20"/>
              </w:rPr>
              <w:t xml:space="preserve">WAPE TB</w:t>
            </w:r>
          </w:p>
        </w:tc>
        <w:tc>
          <w:tcPr>
            <w:tcW w:type="dxa" w:w="701"/>
            <w:shd w:val="clear" w:color="auto" w:fill="D9E2F3"/>
            <w:vAlign w:val="center"/>
          </w:tcPr>
          <w:p>
            <w:pPr>
              <w:spacing w:before="20" w:after="20" w:line="260" w:lineRule="auto"/>
              <w:ind w:firstLine="0"/>
              <w:jc w:val="center"/>
            </w:pPr>
            <w:r>
              <w:rPr>
                <w:b/>
                <w:sz w:val="20"/>
                <w:szCs w:val="20"/>
              </w:rPr>
              <w:t xml:space="preserve">RMSE TB</w:t>
            </w:r>
          </w:p>
        </w:tc>
        <w:tc>
          <w:tcPr>
            <w:tcW w:type="dxa" w:w="1189"/>
            <w:shd w:val="clear" w:color="auto" w:fill="D9E2F3"/>
            <w:vAlign w:val="center"/>
          </w:tcPr>
          <w:p>
            <w:pPr>
              <w:spacing w:before="20" w:after="20" w:line="260" w:lineRule="auto"/>
              <w:ind w:firstLine="0"/>
              <w:jc w:val="center"/>
            </w:pPr>
            <w:r>
              <w:rPr>
                <w:b/>
                <w:sz w:val="20"/>
                <w:szCs w:val="20"/>
              </w:rPr>
              <w:t xml:space="preserve">Dòng huấn luyện (lần 3)</w:t>
            </w:r>
          </w:p>
        </w:tc>
        <w:tc>
          <w:tcPr>
            <w:tcW w:type="dxa" w:w="1054"/>
            <w:shd w:val="clear" w:color="auto" w:fill="D9E2F3"/>
            <w:vAlign w:val="center"/>
          </w:tcPr>
          <w:p>
            <w:pPr>
              <w:spacing w:before="20" w:after="20" w:line="260" w:lineRule="auto"/>
              <w:ind w:firstLine="0"/>
              <w:jc w:val="center"/>
            </w:pPr>
            <w:r>
              <w:rPr>
                <w:b/>
                <w:sz w:val="20"/>
                <w:szCs w:val="20"/>
              </w:rPr>
              <w:t xml:space="preserve">Giây huấn luyện TB</w:t>
            </w:r>
          </w:p>
        </w:tc>
      </w:tr>
      <w:tr>
        <w:trPr>
          <w:cantSplit/>
        </w:trPr>
        <w:tc>
          <w:tcPr>
            <w:tcW w:type="dxa" w:w="1467"/>
            <w:vAlign w:val="center"/>
          </w:tcPr>
          <w:p>
            <w:pPr>
              <w:spacing w:before="20" w:after="20" w:line="260" w:lineRule="auto"/>
              <w:ind w:firstLine="0"/>
              <w:jc w:val="left"/>
            </w:pPr>
            <w:r>
              <w:rPr>
                <w:sz w:val="20"/>
                <w:szCs w:val="20"/>
              </w:rPr>
              <w:t xml:space="preserve">XGBoost · cấu hình chính thức</w:t>
            </w:r>
          </w:p>
        </w:tc>
        <w:tc>
          <w:tcPr>
            <w:tcW w:type="dxa" w:w="1607"/>
            <w:vAlign w:val="center"/>
          </w:tcPr>
          <w:p>
            <w:pPr>
              <w:spacing w:before="20" w:after="20" w:line="260" w:lineRule="auto"/>
              <w:ind w:firstLine="0"/>
              <w:jc w:val="left"/>
            </w:pPr>
            <w:r>
              <w:rPr>
                <w:sz w:val="20"/>
                <w:szCs w:val="20"/>
              </w:rPr>
              <w:t xml:space="preserve">—</w:t>
            </w:r>
          </w:p>
        </w:tc>
        <w:tc>
          <w:tcPr>
            <w:tcW w:type="dxa" w:w="784"/>
            <w:vAlign w:val="center"/>
          </w:tcPr>
          <w:p>
            <w:pPr>
              <w:spacing w:before="20" w:after="20" w:line="260" w:lineRule="auto"/>
              <w:ind w:firstLine="0"/>
              <w:jc w:val="center"/>
            </w:pPr>
            <w:r>
              <w:rPr>
                <w:sz w:val="20"/>
                <w:szCs w:val="20"/>
              </w:rPr>
              <w:t xml:space="preserve">12,393%</w:t>
            </w:r>
          </w:p>
        </w:tc>
        <w:tc>
          <w:tcPr>
            <w:tcW w:type="dxa" w:w="784"/>
            <w:vAlign w:val="center"/>
          </w:tcPr>
          <w:p>
            <w:pPr>
              <w:spacing w:before="20" w:after="20" w:line="260" w:lineRule="auto"/>
              <w:ind w:firstLine="0"/>
              <w:jc w:val="center"/>
            </w:pPr>
            <w:r>
              <w:rPr>
                <w:sz w:val="20"/>
                <w:szCs w:val="20"/>
              </w:rPr>
              <w:t xml:space="preserve">11,348%</w:t>
            </w:r>
          </w:p>
        </w:tc>
        <w:tc>
          <w:tcPr>
            <w:tcW w:type="dxa" w:w="784"/>
            <w:vAlign w:val="center"/>
          </w:tcPr>
          <w:p>
            <w:pPr>
              <w:spacing w:before="20" w:after="20" w:line="260" w:lineRule="auto"/>
              <w:ind w:firstLine="0"/>
              <w:jc w:val="center"/>
            </w:pPr>
            <w:r>
              <w:rPr>
                <w:sz w:val="20"/>
                <w:szCs w:val="20"/>
              </w:rPr>
              <w:t xml:space="preserve">12,527%</w:t>
            </w:r>
          </w:p>
        </w:tc>
        <w:tc>
          <w:tcPr>
            <w:tcW w:type="dxa" w:w="701"/>
            <w:vAlign w:val="center"/>
          </w:tcPr>
          <w:p>
            <w:pPr>
              <w:spacing w:before="20" w:after="20" w:line="260" w:lineRule="auto"/>
              <w:ind w:firstLine="0"/>
              <w:jc w:val="center"/>
            </w:pPr>
            <w:r>
              <w:rPr>
                <w:sz w:val="20"/>
                <w:szCs w:val="20"/>
              </w:rPr>
              <w:t xml:space="preserve">12,089%</w:t>
            </w:r>
          </w:p>
        </w:tc>
        <w:tc>
          <w:tcPr>
            <w:tcW w:type="dxa" w:w="701"/>
            <w:vAlign w:val="center"/>
          </w:tcPr>
          <w:p>
            <w:pPr>
              <w:spacing w:before="20" w:after="20" w:line="260" w:lineRule="auto"/>
              <w:ind w:firstLine="0"/>
              <w:jc w:val="center"/>
            </w:pPr>
            <w:r>
              <w:rPr>
                <w:sz w:val="20"/>
                <w:szCs w:val="20"/>
              </w:rPr>
              <w:t xml:space="preserve">217,464</w:t>
            </w:r>
          </w:p>
        </w:tc>
        <w:tc>
          <w:tcPr>
            <w:tcW w:type="dxa" w:w="1189"/>
            <w:vAlign w:val="center"/>
          </w:tcPr>
          <w:p>
            <w:pPr>
              <w:spacing w:before="20" w:after="20" w:line="260" w:lineRule="auto"/>
              <w:ind w:firstLine="0"/>
              <w:jc w:val="center"/>
            </w:pPr>
            <w:r>
              <w:rPr>
                <w:sz w:val="20"/>
                <w:szCs w:val="20"/>
              </w:rPr>
              <w:t xml:space="preserve">2.632.476</w:t>
            </w:r>
          </w:p>
        </w:tc>
        <w:tc>
          <w:tcPr>
            <w:tcW w:type="dxa" w:w="1054"/>
            <w:vAlign w:val="center"/>
          </w:tcPr>
          <w:p>
            <w:pPr>
              <w:spacing w:before="20" w:after="20" w:line="260" w:lineRule="auto"/>
              <w:ind w:firstLine="0"/>
              <w:jc w:val="center"/>
            </w:pPr>
            <w:r>
              <w:rPr>
                <w:sz w:val="20"/>
                <w:szCs w:val="20"/>
              </w:rPr>
              <w:t xml:space="preserve">65,3</w:t>
            </w:r>
          </w:p>
        </w:tc>
      </w:tr>
      <w:tr>
        <w:trPr>
          <w:cantSplit/>
        </w:trPr>
        <w:tc>
          <w:tcPr>
            <w:tcW w:type="dxa" w:w="1467"/>
            <w:vAlign w:val="center"/>
          </w:tcPr>
          <w:p>
            <w:pPr>
              <w:spacing w:before="20" w:after="20" w:line="260" w:lineRule="auto"/>
              <w:ind w:firstLine="0"/>
              <w:jc w:val="left"/>
            </w:pPr>
            <w:r>
              <w:rPr>
                <w:sz w:val="20"/>
                <w:szCs w:val="20"/>
              </w:rPr>
              <w:t xml:space="preserve">XGBoost · mẫu 600.000 dòng</w:t>
            </w:r>
          </w:p>
        </w:tc>
        <w:tc>
          <w:tcPr>
            <w:tcW w:type="dxa" w:w="1607"/>
            <w:vAlign w:val="center"/>
          </w:tcPr>
          <w:p>
            <w:pPr>
              <w:spacing w:before="20" w:after="20" w:line="260" w:lineRule="auto"/>
              <w:ind w:firstLine="0"/>
              <w:jc w:val="left"/>
            </w:pPr>
            <w:r>
              <w:rPr>
                <w:sz w:val="20"/>
                <w:szCs w:val="20"/>
              </w:rPr>
              <w:t xml:space="preserve">Quy mô dữ liệu huấn luyện</w:t>
            </w:r>
          </w:p>
        </w:tc>
        <w:tc>
          <w:tcPr>
            <w:tcW w:type="dxa" w:w="784"/>
            <w:vAlign w:val="center"/>
          </w:tcPr>
          <w:p>
            <w:pPr>
              <w:spacing w:before="20" w:after="20" w:line="260" w:lineRule="auto"/>
              <w:ind w:firstLine="0"/>
              <w:jc w:val="center"/>
            </w:pPr>
            <w:r>
              <w:rPr>
                <w:sz w:val="20"/>
                <w:szCs w:val="20"/>
              </w:rPr>
              <w:t xml:space="preserve">12,655%</w:t>
            </w:r>
          </w:p>
        </w:tc>
        <w:tc>
          <w:tcPr>
            <w:tcW w:type="dxa" w:w="784"/>
            <w:vAlign w:val="center"/>
          </w:tcPr>
          <w:p>
            <w:pPr>
              <w:spacing w:before="20" w:after="20" w:line="260" w:lineRule="auto"/>
              <w:ind w:firstLine="0"/>
              <w:jc w:val="center"/>
            </w:pPr>
            <w:r>
              <w:rPr>
                <w:sz w:val="20"/>
                <w:szCs w:val="20"/>
              </w:rPr>
              <w:t xml:space="preserve">11,295%</w:t>
            </w:r>
          </w:p>
        </w:tc>
        <w:tc>
          <w:tcPr>
            <w:tcW w:type="dxa" w:w="784"/>
            <w:vAlign w:val="center"/>
          </w:tcPr>
          <w:p>
            <w:pPr>
              <w:spacing w:before="20" w:after="20" w:line="260" w:lineRule="auto"/>
              <w:ind w:firstLine="0"/>
              <w:jc w:val="center"/>
            </w:pPr>
            <w:r>
              <w:rPr>
                <w:sz w:val="20"/>
                <w:szCs w:val="20"/>
              </w:rPr>
              <w:t xml:space="preserve">12,825%</w:t>
            </w:r>
          </w:p>
        </w:tc>
        <w:tc>
          <w:tcPr>
            <w:tcW w:type="dxa" w:w="701"/>
            <w:vAlign w:val="center"/>
          </w:tcPr>
          <w:p>
            <w:pPr>
              <w:spacing w:before="20" w:after="20" w:line="260" w:lineRule="auto"/>
              <w:ind w:firstLine="0"/>
              <w:jc w:val="center"/>
            </w:pPr>
            <w:r>
              <w:rPr>
                <w:sz w:val="20"/>
                <w:szCs w:val="20"/>
              </w:rPr>
              <w:t xml:space="preserve">12,258%</w:t>
            </w:r>
          </w:p>
        </w:tc>
        <w:tc>
          <w:tcPr>
            <w:tcW w:type="dxa" w:w="701"/>
            <w:vAlign w:val="center"/>
          </w:tcPr>
          <w:p>
            <w:pPr>
              <w:spacing w:before="20" w:after="20" w:line="260" w:lineRule="auto"/>
              <w:ind w:firstLine="0"/>
              <w:jc w:val="center"/>
            </w:pPr>
            <w:r>
              <w:rPr>
                <w:sz w:val="20"/>
                <w:szCs w:val="20"/>
              </w:rPr>
              <w:t xml:space="preserve">217,471</w:t>
            </w:r>
          </w:p>
        </w:tc>
        <w:tc>
          <w:tcPr>
            <w:tcW w:type="dxa" w:w="1189"/>
            <w:vAlign w:val="center"/>
          </w:tcPr>
          <w:p>
            <w:pPr>
              <w:spacing w:before="20" w:after="20" w:line="260" w:lineRule="auto"/>
              <w:ind w:firstLine="0"/>
              <w:jc w:val="center"/>
            </w:pPr>
            <w:r>
              <w:rPr>
                <w:sz w:val="20"/>
                <w:szCs w:val="20"/>
              </w:rPr>
              <w:t xml:space="preserve">600.000</w:t>
            </w:r>
          </w:p>
        </w:tc>
        <w:tc>
          <w:tcPr>
            <w:tcW w:type="dxa" w:w="1054"/>
            <w:vAlign w:val="center"/>
          </w:tcPr>
          <w:p>
            <w:pPr>
              <w:spacing w:before="20" w:after="20" w:line="260" w:lineRule="auto"/>
              <w:ind w:firstLine="0"/>
              <w:jc w:val="center"/>
            </w:pPr>
            <w:r>
              <w:rPr>
                <w:sz w:val="20"/>
                <w:szCs w:val="20"/>
              </w:rPr>
              <w:t xml:space="preserve">15,3</w:t>
            </w:r>
          </w:p>
        </w:tc>
      </w:tr>
      <w:tr>
        <w:trPr>
          <w:cantSplit/>
        </w:trPr>
        <w:tc>
          <w:tcPr>
            <w:tcW w:type="dxa" w:w="1467"/>
            <w:vAlign w:val="center"/>
          </w:tcPr>
          <w:p>
            <w:pPr>
              <w:spacing w:before="20" w:after="20" w:line="260" w:lineRule="auto"/>
              <w:ind w:firstLine="0"/>
              <w:jc w:val="left"/>
            </w:pPr>
            <w:r>
              <w:rPr>
                <w:sz w:val="20"/>
                <w:szCs w:val="20"/>
              </w:rPr>
              <w:t xml:space="preserve">LightGBM · cấu hình chính thức</w:t>
            </w:r>
          </w:p>
        </w:tc>
        <w:tc>
          <w:tcPr>
            <w:tcW w:type="dxa" w:w="1607"/>
            <w:vAlign w:val="center"/>
          </w:tcPr>
          <w:p>
            <w:pPr>
              <w:spacing w:before="20" w:after="20" w:line="260" w:lineRule="auto"/>
              <w:ind w:firstLine="0"/>
              <w:jc w:val="left"/>
            </w:pPr>
            <w:r>
              <w:rPr>
                <w:sz w:val="20"/>
                <w:szCs w:val="20"/>
              </w:rPr>
              <w:t xml:space="preserve">—</w:t>
            </w:r>
          </w:p>
        </w:tc>
        <w:tc>
          <w:tcPr>
            <w:tcW w:type="dxa" w:w="784"/>
            <w:vAlign w:val="center"/>
          </w:tcPr>
          <w:p>
            <w:pPr>
              <w:spacing w:before="20" w:after="20" w:line="260" w:lineRule="auto"/>
              <w:ind w:firstLine="0"/>
              <w:jc w:val="center"/>
            </w:pPr>
            <w:r>
              <w:rPr>
                <w:sz w:val="20"/>
                <w:szCs w:val="20"/>
              </w:rPr>
              <w:t xml:space="preserve">12,863%</w:t>
            </w:r>
          </w:p>
        </w:tc>
        <w:tc>
          <w:tcPr>
            <w:tcW w:type="dxa" w:w="784"/>
            <w:vAlign w:val="center"/>
          </w:tcPr>
          <w:p>
            <w:pPr>
              <w:spacing w:before="20" w:after="20" w:line="260" w:lineRule="auto"/>
              <w:ind w:firstLine="0"/>
              <w:jc w:val="center"/>
            </w:pPr>
            <w:r>
              <w:rPr>
                <w:sz w:val="20"/>
                <w:szCs w:val="20"/>
              </w:rPr>
              <w:t xml:space="preserve">11,991%</w:t>
            </w:r>
          </w:p>
        </w:tc>
        <w:tc>
          <w:tcPr>
            <w:tcW w:type="dxa" w:w="784"/>
            <w:vAlign w:val="center"/>
          </w:tcPr>
          <w:p>
            <w:pPr>
              <w:spacing w:before="20" w:after="20" w:line="260" w:lineRule="auto"/>
              <w:ind w:firstLine="0"/>
              <w:jc w:val="center"/>
            </w:pPr>
            <w:r>
              <w:rPr>
                <w:sz w:val="20"/>
                <w:szCs w:val="20"/>
              </w:rPr>
              <w:t xml:space="preserve">12,849%</w:t>
            </w:r>
          </w:p>
        </w:tc>
        <w:tc>
          <w:tcPr>
            <w:tcW w:type="dxa" w:w="701"/>
            <w:vAlign w:val="center"/>
          </w:tcPr>
          <w:p>
            <w:pPr>
              <w:spacing w:before="20" w:after="20" w:line="260" w:lineRule="auto"/>
              <w:ind w:firstLine="0"/>
              <w:jc w:val="center"/>
            </w:pPr>
            <w:r>
              <w:rPr>
                <w:sz w:val="20"/>
                <w:szCs w:val="20"/>
              </w:rPr>
              <w:t xml:space="preserve">12,568%</w:t>
            </w:r>
          </w:p>
        </w:tc>
        <w:tc>
          <w:tcPr>
            <w:tcW w:type="dxa" w:w="701"/>
            <w:vAlign w:val="center"/>
          </w:tcPr>
          <w:p>
            <w:pPr>
              <w:spacing w:before="20" w:after="20" w:line="260" w:lineRule="auto"/>
              <w:ind w:firstLine="0"/>
              <w:jc w:val="center"/>
            </w:pPr>
            <w:r>
              <w:rPr>
                <w:sz w:val="20"/>
                <w:szCs w:val="20"/>
              </w:rPr>
              <w:t xml:space="preserve">220,044</w:t>
            </w:r>
          </w:p>
        </w:tc>
        <w:tc>
          <w:tcPr>
            <w:tcW w:type="dxa" w:w="1189"/>
            <w:vAlign w:val="center"/>
          </w:tcPr>
          <w:p>
            <w:pPr>
              <w:spacing w:before="20" w:after="20" w:line="260" w:lineRule="auto"/>
              <w:ind w:firstLine="0"/>
              <w:jc w:val="center"/>
            </w:pPr>
            <w:r>
              <w:rPr>
                <w:sz w:val="20"/>
                <w:szCs w:val="20"/>
              </w:rPr>
              <w:t xml:space="preserve">2.632.476</w:t>
            </w:r>
          </w:p>
        </w:tc>
        <w:tc>
          <w:tcPr>
            <w:tcW w:type="dxa" w:w="1054"/>
            <w:vAlign w:val="center"/>
          </w:tcPr>
          <w:p>
            <w:pPr>
              <w:spacing w:before="20" w:after="20" w:line="260" w:lineRule="auto"/>
              <w:ind w:firstLine="0"/>
              <w:jc w:val="center"/>
            </w:pPr>
            <w:r>
              <w:rPr>
                <w:sz w:val="20"/>
                <w:szCs w:val="20"/>
              </w:rPr>
              <w:t xml:space="preserve">43,0</w:t>
            </w:r>
          </w:p>
        </w:tc>
      </w:tr>
      <w:tr>
        <w:trPr>
          <w:cantSplit/>
        </w:trPr>
        <w:tc>
          <w:tcPr>
            <w:tcW w:type="dxa" w:w="1467"/>
            <w:vAlign w:val="center"/>
          </w:tcPr>
          <w:p>
            <w:pPr>
              <w:spacing w:before="20" w:after="20" w:line="260" w:lineRule="auto"/>
              <w:ind w:firstLine="0"/>
              <w:jc w:val="left"/>
            </w:pPr>
            <w:r>
              <w:rPr>
                <w:sz w:val="20"/>
                <w:szCs w:val="20"/>
              </w:rPr>
              <w:t xml:space="preserve">LightGBM · không đặt subsample_freq</w:t>
            </w:r>
          </w:p>
        </w:tc>
        <w:tc>
          <w:tcPr>
            <w:tcW w:type="dxa" w:w="1607"/>
            <w:vAlign w:val="center"/>
          </w:tcPr>
          <w:p>
            <w:pPr>
              <w:spacing w:before="20" w:after="20" w:line="260" w:lineRule="auto"/>
              <w:ind w:firstLine="0"/>
              <w:jc w:val="left"/>
            </w:pPr>
            <w:r>
              <w:rPr>
                <w:sz w:val="20"/>
                <w:szCs w:val="20"/>
              </w:rPr>
              <w:t xml:space="preserve">Lấy mẫu dòng (subsample) không có hiệu lực</w:t>
            </w:r>
          </w:p>
        </w:tc>
        <w:tc>
          <w:tcPr>
            <w:tcW w:type="dxa" w:w="784"/>
            <w:vAlign w:val="center"/>
          </w:tcPr>
          <w:p>
            <w:pPr>
              <w:spacing w:before="20" w:after="20" w:line="260" w:lineRule="auto"/>
              <w:ind w:firstLine="0"/>
              <w:jc w:val="center"/>
            </w:pPr>
            <w:r>
              <w:rPr>
                <w:sz w:val="20"/>
                <w:szCs w:val="20"/>
              </w:rPr>
              <w:t xml:space="preserve">12,999%</w:t>
            </w:r>
          </w:p>
        </w:tc>
        <w:tc>
          <w:tcPr>
            <w:tcW w:type="dxa" w:w="784"/>
            <w:vAlign w:val="center"/>
          </w:tcPr>
          <w:p>
            <w:pPr>
              <w:spacing w:before="20" w:after="20" w:line="260" w:lineRule="auto"/>
              <w:ind w:firstLine="0"/>
              <w:jc w:val="center"/>
            </w:pPr>
            <w:r>
              <w:rPr>
                <w:sz w:val="20"/>
                <w:szCs w:val="20"/>
              </w:rPr>
              <w:t xml:space="preserve">11,976%</w:t>
            </w:r>
          </w:p>
        </w:tc>
        <w:tc>
          <w:tcPr>
            <w:tcW w:type="dxa" w:w="784"/>
            <w:vAlign w:val="center"/>
          </w:tcPr>
          <w:p>
            <w:pPr>
              <w:spacing w:before="20" w:after="20" w:line="260" w:lineRule="auto"/>
              <w:ind w:firstLine="0"/>
              <w:jc w:val="center"/>
            </w:pPr>
            <w:r>
              <w:rPr>
                <w:sz w:val="20"/>
                <w:szCs w:val="20"/>
              </w:rPr>
              <w:t xml:space="preserve">12,808%</w:t>
            </w:r>
          </w:p>
        </w:tc>
        <w:tc>
          <w:tcPr>
            <w:tcW w:type="dxa" w:w="701"/>
            <w:vAlign w:val="center"/>
          </w:tcPr>
          <w:p>
            <w:pPr>
              <w:spacing w:before="20" w:after="20" w:line="260" w:lineRule="auto"/>
              <w:ind w:firstLine="0"/>
              <w:jc w:val="center"/>
            </w:pPr>
            <w:r>
              <w:rPr>
                <w:sz w:val="20"/>
                <w:szCs w:val="20"/>
              </w:rPr>
              <w:t xml:space="preserve">12,594%</w:t>
            </w:r>
          </w:p>
        </w:tc>
        <w:tc>
          <w:tcPr>
            <w:tcW w:type="dxa" w:w="701"/>
            <w:vAlign w:val="center"/>
          </w:tcPr>
          <w:p>
            <w:pPr>
              <w:spacing w:before="20" w:after="20" w:line="260" w:lineRule="auto"/>
              <w:ind w:firstLine="0"/>
              <w:jc w:val="center"/>
            </w:pPr>
            <w:r>
              <w:rPr>
                <w:sz w:val="20"/>
                <w:szCs w:val="20"/>
              </w:rPr>
              <w:t xml:space="preserve">220,625</w:t>
            </w:r>
          </w:p>
        </w:tc>
        <w:tc>
          <w:tcPr>
            <w:tcW w:type="dxa" w:w="1189"/>
            <w:vAlign w:val="center"/>
          </w:tcPr>
          <w:p>
            <w:pPr>
              <w:spacing w:before="20" w:after="20" w:line="260" w:lineRule="auto"/>
              <w:ind w:firstLine="0"/>
              <w:jc w:val="center"/>
            </w:pPr>
            <w:r>
              <w:rPr>
                <w:sz w:val="20"/>
                <w:szCs w:val="20"/>
              </w:rPr>
              <w:t xml:space="preserve">2.632.476</w:t>
            </w:r>
          </w:p>
        </w:tc>
        <w:tc>
          <w:tcPr>
            <w:tcW w:type="dxa" w:w="1054"/>
            <w:vAlign w:val="center"/>
          </w:tcPr>
          <w:p>
            <w:pPr>
              <w:spacing w:before="20" w:after="20" w:line="260" w:lineRule="auto"/>
              <w:ind w:firstLine="0"/>
              <w:jc w:val="center"/>
            </w:pPr>
            <w:r>
              <w:rPr>
                <w:sz w:val="20"/>
                <w:szCs w:val="20"/>
              </w:rPr>
              <w:t xml:space="preserve">40,2</w:t>
            </w:r>
          </w:p>
        </w:tc>
      </w:tr>
    </w:tbl>
    <w:p>
      <w:pPr>
        <w:spacing w:before="40" w:after="160"/>
        <w:ind w:firstLine="0"/>
      </w:pPr>
      <w:r>
        <w:rPr>
          <w:i/>
          <w:sz w:val="22"/>
          <w:szCs w:val="22"/>
        </w:rPr>
        <w:t xml:space="preserve">Nguồn: outputs/14_sensitivity/sensitivity_cv.csv (Stage 14); dòng cấu hình chính thức lấy từ rolling_cv_metrics.csv của Stage 04. Ba lần kiểm định: 13/06–28/06, 29/06–14/07 và 15/07–30/07/2017. Bảng chi tiết ở Phụ lục E.</w:t>
      </w:r>
    </w:p>
    <w:p>
      <w:pPr>
        <w:keepLines w:val="0"/>
        <w:spacing w:after="120"/>
        <w:ind w:firstLine="567"/>
      </w:pPr>
      <w:r>
        <w:t xml:space="preserve">Bảng 4.23 tách chênh lệch theo từng lần. Với XGBoost, cấu hình dùng mẫu kém hơn ở lần 1 (0,262 điểm) và lần 3 (0,298 điểm) nhưng tốt hơn rất nhẹ ở lần 2 (0,053 điểm). Hướng chênh lệch vì vậy nghiêng về lợi ích của dữ liệu đầy đủ, phù hợp với quan điểm rằng mô hình toàn cục học chéo nhiều chuỗi hưởng lợi từ việc quan sát nhiều mẫu hình hơn (Montero-Manso và Hyndman, 2021), nhưng không nhất quán ở cả ba lần. Với LightGBM, bỏ subsample_freq làm WAPE kém hơn ở lần 1 (0,136 điểm) nhưng tốt hơn nhẹ ở lần 2 và lần 3 (0,015 và 0,041 điểm), nên mức trung bình 0,027 điểm gần như bằng không. Nói cách khác, lấy mẫu dòng với tỷ lệ 0,85 không mang lại lợi ích độ chính xác rõ rệt trên các cửa sổ này. Lý do giữ subsample_freq = 1 là tính nhất quán giữa cấu hình khai báo và cấu hình thực thi, tức tham số subsample được ghi trong cấu hình phải thực sự có hiệu lực, chứ không phải một mức cải thiện đo được.</w:t>
      </w:r>
    </w:p>
    <w:p>
      <w:pPr>
        <w:keepNext/>
        <w:spacing w:before="120" w:after="60"/>
        <w:ind w:firstLine="0"/>
        <w:jc w:val="center"/>
      </w:pPr>
      <w:r>
        <w:t xml:space="preserve">Bảng 4.23. Chênh lệch WAPE giữa cấu hình thay đổi một yếu tố và cấu hình chính thức theo từng lần kiểm định (điểm phần trăm)</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99"/>
        <w:gridCol w:w="989"/>
        <w:gridCol w:w="989"/>
        <w:gridCol w:w="989"/>
        <w:gridCol w:w="1106"/>
        <w:gridCol w:w="2599"/>
      </w:tblGrid>
      <w:tr>
        <w:trPr>
          <w:tblHeader/>
          <w:cantSplit/>
        </w:trPr>
        <w:tc>
          <w:tcPr>
            <w:tcW w:type="dxa" w:w="2399"/>
            <w:shd w:val="clear" w:color="auto" w:fill="D9E2F3"/>
            <w:vAlign w:val="center"/>
          </w:tcPr>
          <w:p>
            <w:pPr>
              <w:spacing w:before="20" w:after="20" w:line="260" w:lineRule="auto"/>
              <w:ind w:firstLine="0"/>
              <w:jc w:val="center"/>
            </w:pPr>
            <w:r>
              <w:rPr>
                <w:b/>
                <w:sz w:val="20"/>
                <w:szCs w:val="20"/>
              </w:rPr>
              <w:t xml:space="preserve">So sánh</w:t>
            </w:r>
          </w:p>
        </w:tc>
        <w:tc>
          <w:tcPr>
            <w:tcW w:type="dxa" w:w="989"/>
            <w:shd w:val="clear" w:color="auto" w:fill="D9E2F3"/>
            <w:vAlign w:val="center"/>
          </w:tcPr>
          <w:p>
            <w:pPr>
              <w:spacing w:before="20" w:after="20" w:line="260" w:lineRule="auto"/>
              <w:ind w:firstLine="0"/>
              <w:jc w:val="center"/>
            </w:pPr>
            <w:r>
              <w:rPr>
                <w:b/>
                <w:sz w:val="20"/>
                <w:szCs w:val="20"/>
              </w:rPr>
              <w:t xml:space="preserve">Lần 1</w:t>
            </w:r>
          </w:p>
        </w:tc>
        <w:tc>
          <w:tcPr>
            <w:tcW w:type="dxa" w:w="989"/>
            <w:shd w:val="clear" w:color="auto" w:fill="D9E2F3"/>
            <w:vAlign w:val="center"/>
          </w:tcPr>
          <w:p>
            <w:pPr>
              <w:spacing w:before="20" w:after="20" w:line="260" w:lineRule="auto"/>
              <w:ind w:firstLine="0"/>
              <w:jc w:val="center"/>
            </w:pPr>
            <w:r>
              <w:rPr>
                <w:b/>
                <w:sz w:val="20"/>
                <w:szCs w:val="20"/>
              </w:rPr>
              <w:t xml:space="preserve">Lần 2</w:t>
            </w:r>
          </w:p>
        </w:tc>
        <w:tc>
          <w:tcPr>
            <w:tcW w:type="dxa" w:w="989"/>
            <w:shd w:val="clear" w:color="auto" w:fill="D9E2F3"/>
            <w:vAlign w:val="center"/>
          </w:tcPr>
          <w:p>
            <w:pPr>
              <w:spacing w:before="20" w:after="20" w:line="260" w:lineRule="auto"/>
              <w:ind w:firstLine="0"/>
              <w:jc w:val="center"/>
            </w:pPr>
            <w:r>
              <w:rPr>
                <w:b/>
                <w:sz w:val="20"/>
                <w:szCs w:val="20"/>
              </w:rPr>
              <w:t xml:space="preserve">Lần 3</w:t>
            </w:r>
          </w:p>
        </w:tc>
        <w:tc>
          <w:tcPr>
            <w:tcW w:type="dxa" w:w="1106"/>
            <w:shd w:val="clear" w:color="auto" w:fill="D9E2F3"/>
            <w:vAlign w:val="center"/>
          </w:tcPr>
          <w:p>
            <w:pPr>
              <w:spacing w:before="20" w:after="20" w:line="260" w:lineRule="auto"/>
              <w:ind w:firstLine="0"/>
              <w:jc w:val="center"/>
            </w:pPr>
            <w:r>
              <w:rPr>
                <w:b/>
                <w:sz w:val="20"/>
                <w:szCs w:val="20"/>
              </w:rPr>
              <w:t xml:space="preserve">Trung bình</w:t>
            </w:r>
          </w:p>
        </w:tc>
        <w:tc>
          <w:tcPr>
            <w:tcW w:type="dxa" w:w="2599"/>
            <w:shd w:val="clear" w:color="auto" w:fill="D9E2F3"/>
            <w:vAlign w:val="center"/>
          </w:tcPr>
          <w:p>
            <w:pPr>
              <w:spacing w:before="20" w:after="20" w:line="260" w:lineRule="auto"/>
              <w:ind w:firstLine="0"/>
              <w:jc w:val="center"/>
            </w:pPr>
            <w:r>
              <w:rPr>
                <w:b/>
                <w:sz w:val="20"/>
                <w:szCs w:val="20"/>
              </w:rPr>
              <w:t xml:space="preserve">Độ lệch chuẩn WAPE giữa các lần của cấu hình chính thức</w:t>
            </w:r>
          </w:p>
        </w:tc>
      </w:tr>
      <w:tr>
        <w:trPr>
          <w:cantSplit/>
        </w:trPr>
        <w:tc>
          <w:tcPr>
            <w:tcW w:type="dxa" w:w="2399"/>
            <w:vAlign w:val="center"/>
          </w:tcPr>
          <w:p>
            <w:pPr>
              <w:spacing w:before="20" w:after="20" w:line="260" w:lineRule="auto"/>
              <w:ind w:firstLine="0"/>
              <w:jc w:val="left"/>
            </w:pPr>
            <w:r>
              <w:rPr>
                <w:sz w:val="20"/>
                <w:szCs w:val="20"/>
              </w:rPr>
              <w:t xml:space="preserve">XGBoost: mẫu 600.000 dòng − chính thức</w:t>
            </w:r>
          </w:p>
        </w:tc>
        <w:tc>
          <w:tcPr>
            <w:tcW w:type="dxa" w:w="989"/>
            <w:vAlign w:val="center"/>
          </w:tcPr>
          <w:p>
            <w:pPr>
              <w:spacing w:before="20" w:after="20" w:line="260" w:lineRule="auto"/>
              <w:ind w:firstLine="0"/>
              <w:jc w:val="left"/>
            </w:pPr>
            <w:r>
              <w:rPr>
                <w:sz w:val="20"/>
                <w:szCs w:val="20"/>
              </w:rPr>
              <w:t xml:space="preserve">+0,262</w:t>
            </w:r>
          </w:p>
        </w:tc>
        <w:tc>
          <w:tcPr>
            <w:tcW w:type="dxa" w:w="989"/>
            <w:vAlign w:val="center"/>
          </w:tcPr>
          <w:p>
            <w:pPr>
              <w:spacing w:before="20" w:after="20" w:line="260" w:lineRule="auto"/>
              <w:ind w:firstLine="0"/>
              <w:jc w:val="center"/>
            </w:pPr>
            <w:r>
              <w:rPr>
                <w:sz w:val="20"/>
                <w:szCs w:val="20"/>
              </w:rPr>
              <w:t xml:space="preserve">−0,053</w:t>
            </w:r>
          </w:p>
        </w:tc>
        <w:tc>
          <w:tcPr>
            <w:tcW w:type="dxa" w:w="989"/>
            <w:vAlign w:val="center"/>
          </w:tcPr>
          <w:p>
            <w:pPr>
              <w:spacing w:before="20" w:after="20" w:line="260" w:lineRule="auto"/>
              <w:ind w:firstLine="0"/>
              <w:jc w:val="left"/>
            </w:pPr>
            <w:r>
              <w:rPr>
                <w:sz w:val="20"/>
                <w:szCs w:val="20"/>
              </w:rPr>
              <w:t xml:space="preserve">+0,298</w:t>
            </w:r>
          </w:p>
        </w:tc>
        <w:tc>
          <w:tcPr>
            <w:tcW w:type="dxa" w:w="1106"/>
            <w:vAlign w:val="center"/>
          </w:tcPr>
          <w:p>
            <w:pPr>
              <w:spacing w:before="20" w:after="20" w:line="260" w:lineRule="auto"/>
              <w:ind w:firstLine="0"/>
              <w:jc w:val="left"/>
            </w:pPr>
            <w:r>
              <w:rPr>
                <w:sz w:val="20"/>
                <w:szCs w:val="20"/>
              </w:rPr>
              <w:t xml:space="preserve">+0,169</w:t>
            </w:r>
          </w:p>
        </w:tc>
        <w:tc>
          <w:tcPr>
            <w:tcW w:type="dxa" w:w="2599"/>
            <w:vAlign w:val="center"/>
          </w:tcPr>
          <w:p>
            <w:pPr>
              <w:spacing w:before="20" w:after="20" w:line="260" w:lineRule="auto"/>
              <w:ind w:firstLine="0"/>
              <w:jc w:val="center"/>
            </w:pPr>
            <w:r>
              <w:rPr>
                <w:sz w:val="20"/>
                <w:szCs w:val="20"/>
              </w:rPr>
              <w:t xml:space="preserve">0,646</w:t>
            </w:r>
          </w:p>
        </w:tc>
      </w:tr>
      <w:tr>
        <w:trPr>
          <w:cantSplit/>
        </w:trPr>
        <w:tc>
          <w:tcPr>
            <w:tcW w:type="dxa" w:w="2399"/>
            <w:vAlign w:val="center"/>
          </w:tcPr>
          <w:p>
            <w:pPr>
              <w:spacing w:before="20" w:after="20" w:line="260" w:lineRule="auto"/>
              <w:ind w:firstLine="0"/>
              <w:jc w:val="left"/>
            </w:pPr>
            <w:r>
              <w:rPr>
                <w:sz w:val="20"/>
                <w:szCs w:val="20"/>
              </w:rPr>
              <w:t xml:space="preserve">LightGBM: không đặt subsample_freq − chính thức</w:t>
            </w:r>
          </w:p>
        </w:tc>
        <w:tc>
          <w:tcPr>
            <w:tcW w:type="dxa" w:w="989"/>
            <w:vAlign w:val="center"/>
          </w:tcPr>
          <w:p>
            <w:pPr>
              <w:spacing w:before="20" w:after="20" w:line="260" w:lineRule="auto"/>
              <w:ind w:firstLine="0"/>
              <w:jc w:val="left"/>
            </w:pPr>
            <w:r>
              <w:rPr>
                <w:sz w:val="20"/>
                <w:szCs w:val="20"/>
              </w:rPr>
              <w:t xml:space="preserve">+0,136</w:t>
            </w:r>
          </w:p>
        </w:tc>
        <w:tc>
          <w:tcPr>
            <w:tcW w:type="dxa" w:w="989"/>
            <w:vAlign w:val="center"/>
          </w:tcPr>
          <w:p>
            <w:pPr>
              <w:spacing w:before="20" w:after="20" w:line="260" w:lineRule="auto"/>
              <w:ind w:firstLine="0"/>
              <w:jc w:val="center"/>
            </w:pPr>
            <w:r>
              <w:rPr>
                <w:sz w:val="20"/>
                <w:szCs w:val="20"/>
              </w:rPr>
              <w:t xml:space="preserve">−0,015</w:t>
            </w:r>
          </w:p>
        </w:tc>
        <w:tc>
          <w:tcPr>
            <w:tcW w:type="dxa" w:w="989"/>
            <w:vAlign w:val="center"/>
          </w:tcPr>
          <w:p>
            <w:pPr>
              <w:spacing w:before="20" w:after="20" w:line="260" w:lineRule="auto"/>
              <w:ind w:firstLine="0"/>
              <w:jc w:val="center"/>
            </w:pPr>
            <w:r>
              <w:rPr>
                <w:sz w:val="20"/>
                <w:szCs w:val="20"/>
              </w:rPr>
              <w:t xml:space="preserve">−0,041</w:t>
            </w:r>
          </w:p>
        </w:tc>
        <w:tc>
          <w:tcPr>
            <w:tcW w:type="dxa" w:w="1106"/>
            <w:vAlign w:val="center"/>
          </w:tcPr>
          <w:p>
            <w:pPr>
              <w:spacing w:before="20" w:after="20" w:line="260" w:lineRule="auto"/>
              <w:ind w:firstLine="0"/>
              <w:jc w:val="left"/>
            </w:pPr>
            <w:r>
              <w:rPr>
                <w:sz w:val="20"/>
                <w:szCs w:val="20"/>
              </w:rPr>
              <w:t xml:space="preserve">+0,027</w:t>
            </w:r>
          </w:p>
        </w:tc>
        <w:tc>
          <w:tcPr>
            <w:tcW w:type="dxa" w:w="2599"/>
            <w:vAlign w:val="center"/>
          </w:tcPr>
          <w:p>
            <w:pPr>
              <w:spacing w:before="20" w:after="20" w:line="260" w:lineRule="auto"/>
              <w:ind w:firstLine="0"/>
              <w:jc w:val="center"/>
            </w:pPr>
            <w:r>
              <w:rPr>
                <w:sz w:val="20"/>
                <w:szCs w:val="20"/>
              </w:rPr>
              <w:t xml:space="preserve">0,499</w:t>
            </w:r>
          </w:p>
        </w:tc>
      </w:tr>
    </w:tbl>
    <w:p>
      <w:pPr>
        <w:spacing w:before="40" w:after="160"/>
        <w:ind w:firstLine="0"/>
      </w:pPr>
      <w:r>
        <w:rPr>
          <w:i/>
          <w:sz w:val="22"/>
          <w:szCs w:val="22"/>
        </w:rPr>
        <w:t xml:space="preserve">Giá trị dương: cấu hình thay đổi có WAPE cao hơn (kém hơn) cấu hình chính thức. Nguồn: sensitivity_cv.csv; độ lệch chuẩn từ 05_model_cv_summary.csv.</w:t>
      </w:r>
    </w:p>
    <w:p>
      <w:pPr>
        <w:keepLines w:val="0"/>
        <w:spacing w:after="120"/>
        <w:ind w:firstLine="567"/>
      </w:pPr>
      <w:r>
        <w:t xml:space="preserve">Điểm quan trọng hơn là cả hai thay đổi đều không làm đảo thứ hạng của mục 4.2. XGBoost trên mẫu 600.000 dòng (12,258%) vẫn có WAPE trung bình thấp hơn LightGBM chính thức (12,568%) và LightGBM không đặt subsample_freq (12,594%), còn LightGBM không đặt subsample_freq vẫn tốt hơn Random Forest (12,969%). Xét từng lần, XGBoost dùng mẫu vẫn thấp hơn LightGBM chính thức ở cả ba lần (12,655% so với 12,863%; 11,295% so với 11,991%; 12,825% so với 12,849%), dù ở lần 3 khoảng cách chỉ còn 0,024 điểm. Chênh lệch trung bình do quy mô dữ liệu (0,169 điểm) nhỏ hơn khoảng cách giữa XGBoost và LightGBM của cấu hình chính thức (0,478 điểm), nên việc XGBoost dẫn đầu không phải hệ quả của riêng lựa chọn cho XGBoost học trên toàn bộ dữ liệu. Tương tự, bỏ subsample_freq chỉ đưa LightGBM gần thêm 0,027 điểm về phía Random Forest, không đủ để thay đổi vị trí thứ hai. Kết luận lựa chọn mô hình vì vậy vững trước hai lựa chọn thiết kế được kiểm tra, trong phạm vi ba cửa sổ đánh giá.</w:t>
      </w:r>
    </w:p>
    <w:p>
      <w:pPr>
        <w:pStyle w:val="Heading3"/>
        <w:keepNext/>
      </w:pPr>
      <w:r>
        <w:t xml:space="preserve">4.15.3. Liên hệ với ràng buộc của Random Forest và giới hạn diễn giải</w:t>
      </w:r>
    </w:p>
    <w:p>
      <w:pPr>
        <w:keepLines w:val="0"/>
        <w:spacing w:after="120"/>
        <w:ind w:firstLine="567"/>
      </w:pPr>
      <w:r>
        <w:t xml:space="preserve">Thí nghiệm cũng cho phép đọc lại ràng buộc Random Forest chỉ học trên mẫu 600.000 dòng (mục 4.5). Vì cấu hình XGBoost dùng mẫu theo cùng quy tắc lấy mẫu của Random Forest, hai mô hình được so sánh trên cùng quy mô dữ liệu huấn luyện ở mỗi lần. Trong điều kiện đó, XGBoost vẫn có WAPE trung bình thấp hơn Random Forest 0,711 điểm phần trăm (12,258% so với 12,969%) và thấp hơn ở cả ba lần (12,655% so với 13,623%; 11,295% so với 12,106%; 12,825% so với 13,177%). Khoảng cách 0,879 điểm giữa Random Forest và XGBoost chính thức vì vậy không thể quy trọn cho giới hạn dữ liệu: đối với XGBoost, phần gắn với quy mô dữ liệu chỉ khoảng 0,169 điểm. Tuy vậy, thí nghiệm không huấn luyện Random Forest trên toàn bộ dữ liệu, và mức hưởng lợi từ dữ liệu lớn hơn của một rừng cây sâu dựa trên bagging (Breiman, 2001) có thể khác với XGBoost. Kết luận chỉ dừng ở chỗ XGBoost dẫn đầu khi hai mô hình cùng dùng 600.000 dòng, không khẳng định Random Forest giữ nguyên thứ hạng nếu được huấn luyện đầy đủ.</w:t>
      </w:r>
    </w:p>
    <w:p>
      <w:pPr>
        <w:keepLines w:val="0"/>
        <w:spacing w:after="120"/>
        <w:ind w:firstLine="567"/>
      </w:pPr>
      <w:r>
        <w:t xml:space="preserve">Các kết quả trên cần được diễn giải thận trọng. Chỉ có ba cửa sổ kiểm định 16 ngày, liền kề nhau trong giai đoạn 13/06–30/07/2017, nên ba chênh lệch theo từng lần không đủ để ước lượng phân phối của chênh lệch hay kiểm định ý nghĩa thống kê; hai chênh lệch trung bình (0,169 và 0,027 điểm) đều nhỏ hơn độ lệch chuẩn WAPE giữa các lần của chính mô hình (0,646 và 0,499 điểm). Mỗi cấu hình chỉ được chạy với một hạt giống ngẫu nhiên (SEED = 42), nên biến động ngẫu nhiên của việc lấy mẫu dòng và đặc trưng chưa được tách khỏi tác động của yếu tố được thay đổi, một rủi ro diễn giải quá mức chênh lệch nhỏ đã được lưu ý trong đánh giá dự báo (Hewamalage và cộng sự, 2023). Thời gian huấn luyện đo trên môi trường 2 CPU và phụ thuộc phiên bản thư viện, nên chỉ có ý nghĩa tương đối trong lần chạy. Ngoài ra, thí nghiệm chỉ xét hai lựa chọn ở tầng mô hình; các lựa chọn như lịch ngày đầy đủ hay dịch nguồn bổ sung 16 ngày lịch được giữ vì lý do phương pháp, không thuộc phạm vi so sánh.</w:t>
      </w:r>
    </w:p>
    <w:p>
      <w:pPr>
        <w:keepLines w:val="0"/>
        <w:spacing w:after="120"/>
        <w:ind w:firstLine="567"/>
      </w:pPr>
      <w:r>
        <w:t xml:space="preserve">Trong các giới hạn đó, thí nghiệm hỗ trợ ba nhận định ở mức mô tả. Thứ nhất, thứ hạng XGBoost – LightGBM – Random Forest theo WAPE trung bình vững trước hai lựa chọn được kiểm tra, kể cả khi XGBoost chịu cùng ràng buộc dữ liệu với Random Forest. Thứ hai, huấn luyện trên toàn bộ dữ liệu có xu hướng giảm WAPE của XGBoost nhưng mức giảm nhỏ và không xuất hiện ở mọi lần, trong khi thời gian huấn luyện tăng khoảng 4,3 lần; trong vận hành với tần suất huấn luyện lại cao hoặc danh mục lớn hơn, huấn luyện trên mẫu là phương án có thể cân nhắc nếu doanh nghiệp chấp nhận mức chênh lệch này, với điều kiện được kiểm chứng lại trên dữ liệu của chính doanh nghiệp. Thứ ba, subsample_freq = 1 được giữ vì lý do nhất quán giữa cấu hình khai báo và thực thi, không phải vì một lợi ích độ chính xác đã được chứng minh. Bảng chi tiết theo từng lần kiểm định của thí nghiệm được trình bày ở Phụ lục E.</w:t>
      </w:r>
    </w:p>
    <w:p>
      <w:pPr>
        <w:pStyle w:val="Heading2"/>
        <w:keepNext/>
      </w:pPr>
      <w:r>
        <w:t xml:space="preserve">4.16. Tiểu kết Chương 4</w:t>
      </w:r>
    </w:p>
    <w:p>
      <w:pPr>
        <w:keepLines w:val="0"/>
        <w:spacing w:after="120"/>
        <w:ind w:firstLine="567"/>
      </w:pPr>
      <w:r>
        <w:t xml:space="preserve">Chương 4 đã trình bày bằng chứng thực nghiệm của lần chạy chính thức theo năm tầng đã nêu ở mục 4.1: lựa chọn mô hình, khái quát hóa và chẩn đoán, độ bất định, hỗ trợ quyết định có kiểm soát và thí nghiệm độ nhạy của các lựa chọn thiết kế. Ở tầng dự báo điểm, XGBoost đạt WAPE trung bình 12,089% qua ba lần kiểm định chéo cuốn chiếu, dẫn đầu WAPE và có RMSE thấp nhất ở cả ba lần, và đạt 14,327% trên tập kiểm tra cuối; khoảng cách với LightGBM (0,478 điểm phần trăm) nhỏ hơn biến động giữa các lần, và LightGBM có RMSE kiểm tra cuối thấp hơn rất ít. Ở tầng bất định, khoảng Mondrian đạt độ bao phủ 75,40%, thấp hơn danh nghĩa, nhưng đồng đều theo quy mô, với độ rộng tăng theo nhóm dự báo điểm.</w:t>
      </w:r>
    </w:p>
    <w:p>
      <w:pPr>
        <w:keepLines w:val="0"/>
        <w:spacing w:after="120"/>
        <w:ind w:firstLine="567"/>
      </w:pPr>
      <w:r>
        <w:t xml:space="preserve">Ở tầng hỗ trợ quyết định, các kịch bản khuyến mãi cho mức thay đổi từ −5,04% đến +9,06% so với hiện tại, nhưng phần tăng tổng hợp do 783 chuỗi ngoại suy chi phối, còn ở chuỗi lớn, phép gán đồng loạt thực chất là hạ đầu vào; lớp này chỉ phù hợp cho sàng lọc và luôn phải được đọc là phản ứng có điều kiện. Lớp tồn kho cho tồn kho an toàn theo chuỗi, nhưng nhãn rủi ro vẫn gắn với quy mô (Spearman −0,970), nhóm LOW chỉ đạt độ bao phủ 58,18%, và 46,24% lượng bổ sung đến từ giả định vị thế. Lớp Generative AI tạo 1.782 phiếu khuyến nghị có cấu trúc ở chế độ quy tắc, với điểm ưu tiên minh bạch và biểu mẫu HITL 14 cột; luồng LLM và kiểm tra bám bằng chứng mới được kiểm thử bằng mô phỏng.</w:t>
      </w:r>
    </w:p>
    <w:p>
      <w:pPr>
        <w:keepLines w:val="0"/>
        <w:spacing w:after="120"/>
        <w:ind w:firstLine="567"/>
      </w:pPr>
      <w:r>
        <w:t xml:space="preserve">Mục 4.15 bổ sung rằng kết luận về lựa chọn mô hình vững trước hai lựa chọn thiết kế ở tầng mô hình: huấn luyện XGBoost trên mẫu 600.000 dòng làm WAPE trung bình tăng 0,169 điểm phần trăm, bỏ subsample_freq của LightGBM chỉ thay đổi 0,027 điểm, và thứ hạng giữa các mô hình giữ nguyên; cả hai chênh lệch đều nhỏ hơn biến động giữa các lần và chỉ được diễn giải ở mức mô tả. Đóng góp thực nghiệm của chương vì vậy có hai mặt. Một mặt, quy trình từ dự báo điểm đến phiếu khuyến nghị đã được triển khai trọn vẹn trong một lần chạy chính thức, chạy lại được từ train.csv và qua các kiểm thử nêu ở mục 3.14. Mặt khác, các lớp chẩn đoán tiếp tục làm lộ những điểm cần hiệu chỉnh: bao phủ tổng dưới danh nghĩa, quy tắc nhãn gắn với quy mô, thiết kế kịch bản gán đồng loạt và việc chưa đánh giá LLM thật. Chương 5 sẽ thảo luận ý nghĩa của các kết quả này đối với hoạt động bán lẻ và thương mại điện tử, hệ thống hóa các hạn chế và đề xuất hướng mở rộng.</w:t>
      </w:r>
    </w:p>
    <w:p>
      <w:pPr>
        <w:pStyle w:val="Heading1"/>
        <w:pageBreakBefore/>
      </w:pPr>
      <w:r>
        <w:t xml:space="preserve">CHƯƠNG 5. THẢO LUẬN KẾT QUẢ, HÀM Ý QUẢN TRỊ VÀ HẠN CHẾ</w:t>
      </w:r>
    </w:p>
    <w:p>
      <w:pPr>
        <w:keepLines w:val="0"/>
        <w:spacing w:after="120"/>
        <w:ind w:firstLine="567"/>
      </w:pPr>
      <w:r>
        <w:t xml:space="preserve">Nếu Chương 4 trả lời câu hỏi “kết quả thực nghiệm là gì”, thì Chương 5 đặt các kết quả đó vào bối cảnh vận hành của doanh nghiệp bán lẻ và thương mại điện tử để làm rõ “kết quả có ý nghĩa gì, được dùng trong điều kiện nào và chưa được phép kết luận điều gì”. Cơ sở của chương là lần chạy chính thức của quy trình, thực hiện tuần tự 14 stage từ train.csv như mô tả ở mục 3.14. Chương lần lượt thảo luận mô hình cơ sở và bằng chứng về lợi ích của học máy, quan hệ XGBoost – LightGBM, lớp dự báo xác suất theo nhóm, nhãn rủi ro tồn kho, kịch bản khuyến mãi, lớp Generative AI cùng cơ chế HITL và các công cụ xuất báo cáo, rồi trình bày hàm ý quản trị và hạn chế. Mọi con số trong chương đều lấy từ tệp kết quả của lần chạy chính thức; luận văn không đưa ra ước tính lợi ích tài chính giả định nào.</w:t>
      </w:r>
    </w:p>
    <w:p>
      <w:pPr>
        <w:pStyle w:val="Heading2"/>
        <w:keepNext/>
      </w:pPr>
      <w:r>
        <w:t xml:space="preserve">5.1. Mô hình cơ sở và bằng chứng về lợi ích của học máy</w:t>
      </w:r>
    </w:p>
    <w:p>
      <w:pPr>
        <w:pStyle w:val="Heading3"/>
        <w:keepNext/>
      </w:pPr>
      <w:r>
        <w:t xml:space="preserve">5.1.1. Tính khả dụng thông tin tại gốc dự báo như điều kiện của bằng chứng</w:t>
      </w:r>
    </w:p>
    <w:p>
      <w:pPr>
        <w:keepLines w:val="0"/>
        <w:spacing w:after="120"/>
        <w:ind w:firstLine="567"/>
      </w:pPr>
      <w:r>
        <w:t xml:space="preserve">Trước khi thảo luận độ chính xác, cần xác định điều kiện để các con số được xem là bằng chứng. Một so sánh giữa các mô hình dự báo chỉ có ý nghĩa khi mọi mô hình, kể cả mô hình cơ sở, chỉ dùng thông tin thực sự có tại gốc dự báo; nếu một đặc trưng hay một mốc so sánh chứa doanh số của chính kỳ cần dự báo, sai số đo được sẽ thấp hơn mức có thể đạt trong vận hành và mọi kết luận về lợi ích của học máy đều bị méo. Đây là dạng rò rỉ thông tin mà Kaufman và cộng sự (2012) mô tả và Hewamalage, Ackermann và Bergmeir (2023) xếp vào nhóm sai lầm phổ biến khi đánh giá dự báo. Với kỳ dự báo trực tiếp H = 16 ngày, luận văn áp dụng nguyên tắc này một cách nhất quán: bốn mô hình học máy chỉ dùng độ trễ từ 16 ngày trở lên (lag_16 đến lag_56) và thống kê trượt tính trên chuỗi đã dịch 16 ngày, lag_7 và lag_14 không được đưa vào 29 đặc trưng của các mô hình này, còn giá dầu và số giao dịch đều được dịch 16 ngày lịch. Nhờ vậy, mọi đặc trưng đều đã biết tại gốc dự báo cho cả 16 ngày của kỳ.</w:t>
      </w:r>
    </w:p>
    <w:p>
      <w:pPr>
        <w:keepLines w:val="0"/>
        <w:spacing w:after="120"/>
        <w:ind w:firstLine="567"/>
      </w:pPr>
      <w:r>
        <w:t xml:space="preserve">Nguyên tắc khả dụng thông tin chỉ được bảo đảm khi đơn vị của độ trễ là ngày lịch. Dữ liệu vắng bốn ngày 25/12 do cửa hàng đóng cửa; nếu dịch theo dòng, quanh các ngày vắng một bước dịch sẽ không tương ứng đúng một ngày lịch, vì vậy quy trình hoàn thiện lịch ngày cho mọi chuỗi, thêm bốn ngày này với cờ closed = 1 và loại chúng khỏi huấn luyện và đánh giá. Tương tự, số giao dịch được dịch và làm trơn trên lịch ngày của từng cửa hàng trước khi ghép vào bảng chuỗi, để giá trị của cửa hàng hay nhóm hàng khác không tràn sang khi điền giá trị thiếu, còn biến ngày lễ quốc gia loại các ngày làm bù (Work Day) và các ngày đã chuyển. Tác động định lượng riêng của từng lựa chọn này không được đo trong luận văn; giá trị của chúng nằm ở tính hợp lệ của thiết kế, là điều kiện để các so sánh ở các tiểu mục sau có ý nghĩa. Các ràng buộc này được bảo đảm ngay trong mã nguồn của Stage 03; smoke test ở Stage 10 (PASS, mục 3.14) kiểm tra ở mức đầu ra: đủ các tệp kết quả, tập kiểm tra cuối không tham gia lựa chọn mô hình, các phân vị P10 ≤ P50 ≤ P90 không bắt chéo và không thiếu giá trị. Cảnh báo về nợ kỹ thuật ẩn trong hệ thống học máy (Sculley và cộng sự, 2015) cho thấy vì sao ràng buộc cần được mã hóa thành kiểm thử: sai sót ở bước ghép dữ liệu thường không làm quy trình dừng mà chỉ làm sai lệch kết quả một cách âm thầm.</w:t>
      </w:r>
    </w:p>
    <w:p>
      <w:pPr>
        <w:pStyle w:val="Heading3"/>
        <w:keepNext/>
      </w:pPr>
      <w:r>
        <w:t xml:space="preserve">5.1.2. Seasonal Naive cố định gốc: mốc so sánh hợp lệ</w:t>
      </w:r>
    </w:p>
    <w:p>
      <w:pPr>
        <w:keepLines w:val="0"/>
        <w:spacing w:after="120"/>
        <w:ind w:firstLine="567"/>
      </w:pPr>
      <w:r>
        <w:t xml:space="preserve">Theo cùng nguyên tắc, Seasonal Naive được thiết kế theo gốc dự báo cố định: ngày thứ h của cửa sổ dùng doanh số cùng thứ trong tuần của tuần cuối cùng trước gốc, tức lag_7 với h = 1–7, lag_14 với h = 8–14 và lag_21 với h = 15–16. Mô hình cơ sở vì vậy chỉ dùng thông tin có sẵn tại thời điểm dự báo và trở thành mốc hợp lệ theo tinh thần đánh giá ngoài mẫu của Tashman (2000) và các phương pháp cơ sở mùa vụ trong Hyndman và Athanasopoulos (2021). Với mốc này, XGBoost có WAPE trung bình kiểm định chéo 12,089% so với 15,718% của Seasonal Naive, thấp hơn khoảng 23,09% tương đối; trên tập kiểm tra cuối là 14,327% so với 20,665%, thấp hơn khoảng 30,67%. So với Ridge Regression, học trên cùng 29 đặc trưng và được chuẩn hóa bằng StandardScaler vì hình phạt L2 phụ thuộc thang đo của đặc trưng, mức giảm tương ứng khoảng 29,48% và 32,29%. Trật tự XGBoost, LightGBM, Random Forest giữ nguyên ở mọi lần kiểm định, phù hợp về ý tưởng với nhận định rằng mô hình cây tăng cường huấn luyện toàn cục thường có lợi thế với dữ liệu bán lẻ phân cấp (Makridakis, Spiliotis và Assimakopoulos, 2022); (Januschowski và cộng sự, 2022).</w:t>
      </w:r>
    </w:p>
    <w:p>
      <w:pPr>
        <w:keepLines w:val="0"/>
        <w:spacing w:after="120"/>
        <w:ind w:firstLine="567"/>
      </w:pPr>
      <w:r>
        <w:t xml:space="preserve">Hai điểm cần đọc thận trọng. Thứ nhất, lý do của thiết kế cố định gốc không phải là làm mốc cơ sở mạnh hơn hay yếu hơn, mà là làm cho nó khả thi: nếu dùng lag_7 cho cả 16 ngày thì các ngày 8–16 sẽ lấy doanh số nằm trong chính kỳ dự báo, là thông tin chưa có tại gốc dự báo, và mô hình cơ sở khi đó không thể vận hành thực tế. Cái giá của tính khả thi là Seasonal Naive lặp lại tuần cuối cùng trước gốc cho cả kỳ nên rất nhạy với tuần đó: WAPE của nó dao động từ 13,968% ở lần 3 đến 16,926% ở lần 1, với độ lệch chuẩn 1,552 điểm phần trăm, lớn hơn gấp đôi của XGBoost. Thứ hai, Seasonal Naive vẫn có sMAPE thấp nhất ở cả ba lần kiểm định (trung bình 0,4079) và trên tập kiểm tra cuối (0,4334), còn Random Forest có RMSLE thấp nhất ở mọi lần. Điều này không có nghĩa hai mô hình đó tốt hơn: cả sMAPE và RMSLE ưu ái các dự báo đúng tại giá trị 0 hoặc nhỏ, vì điểm có |y| + |ŷ| = 0 được tính sai số 0 và RMSLE dùng log(1 + y), trong khi 31,30% số dòng toàn bộ dữ liệu và 14,58% số dòng tập kiểm tra cuối có doanh số bằng 0. Hạn chế của thước đo tỷ lệ khi giá trị gần 0 đã được Hyndman và Koehler (2006) phân tích; WAPE vì vậy được giữ làm tiêu chí chọn mô hình theo khối lượng hàng hóa.</w:t>
      </w:r>
    </w:p>
    <w:p>
      <w:pPr>
        <w:pStyle w:val="Heading3"/>
        <w:keepNext/>
      </w:pPr>
      <w:r>
        <w:t xml:space="preserve">5.1.3. Độ nhạy của kết quả theo các lựa chọn thiết kế</w:t>
      </w:r>
    </w:p>
    <w:p>
      <w:pPr>
        <w:keepLines w:val="0"/>
        <w:spacing w:after="120"/>
        <w:ind w:firstLine="567"/>
      </w:pPr>
      <w:r>
        <w:t xml:space="preserve">Hai lựa chọn thiết kế của lớp dự báo điểm có thể ảnh hưởng trực tiếp tới mức lợi ích đo được: quy mô dữ liệu huấn luyện của XGBoost và việc kích hoạt lấy mẫu dòng của LightGBM. Thí nghiệm độ nhạy ở Stage 14 (mục 4.15) đo tác động của từng lựa chọn bằng cách giữ nguyên ba lần kiểm định và tập đặc trưng của Stage 04, mỗi cấu hình chỉ thay đổi đúng một yếu tố. Khi XGBoost học trên mẫu ngẫu nhiên 600.000 dòng thay vì toàn bộ dữ liệu, WAPE trung bình tăng từ 12,089% lên 12,258%, tức 0,169 điểm phần trăm, trong khi RMSE trung bình gần như không đổi (217,471 so với 217,464) và thời gian huấn luyện trung bình giảm từ 65,3 xuống 15,3 giây. Mức chênh không đồng nhất giữa các lần: mẫu con kém hơn 0,262 điểm phần trăm ở lần 1 và 0,298 ở lần 3 nhưng tốt hơn 0,053 ở lần 2. Kết quả ủng hộ lựa chọn huấn luyện XGBoost trên toàn bộ dữ liệu, đồng thời cho thấy cỡ mẫu là một biến có thể đánh đổi khi chu kỳ tái huấn luyện bị giới hạn bởi tài nguyên tính toán.</w:t>
      </w:r>
    </w:p>
    <w:p>
      <w:pPr>
        <w:keepLines w:val="0"/>
        <w:spacing w:after="120"/>
        <w:ind w:firstLine="567"/>
      </w:pPr>
      <w:r>
        <w:t xml:space="preserve">Với LightGBM, tham số subsample chỉ có hiệu lực khi subsample_freq lớn hơn 0; cấu hình chính thức đặt subsample_freq = 1 để cơ chế lấy mẫu dòng thực sự được áp dụng. Khi bỏ tham số này, WAPE trung bình đổi từ 12,568% sang 12,594%, chỉ 0,027 điểm phần trăm, với dấu thay đổi giữa các lần (0,136 ở lần 1, −0,015 ở lần 2 và −0,041 ở lần 3). Cả hai chênh lệch 0,169 và 0,027 điểm phần trăm đều nhỏ hơn độ lệch chuẩn WAPE giữa các lần của mô hình tương ứng (0,646 và 0,499 điểm phần trăm), và với chỉ ba cửa sổ, luận văn không thể kiểm định ý nghĩa thống kê. Vì vậy, luận văn không khẳng định các lựa chọn này chắc chắn cải thiện độ chính xác; giá trị của chúng trước hết là tính đúng đắn và nhất quán của thiết kế: tham số đã khai báo phải có hiệu lực, và hai mô hình tăng cường được so sánh trong cùng điều kiện dữ liệu. Bài học phương pháp là mọi tuyên bố rằng một thay đổi “cải thiện mô hình” chỉ nên được đưa ra sau khi tách được phần đóng góp của riêng thay đổi đó trên nhiều cửa sổ đánh giá.</w:t>
      </w:r>
    </w:p>
    <w:p>
      <w:pPr>
        <w:pStyle w:val="Heading3"/>
        <w:keepNext/>
      </w:pPr>
      <w:r>
        <w:t xml:space="preserve">5.1.4. Độ ổn định, độ chệch có hệ thống và phơi nhiễm kinh tế</w:t>
      </w:r>
    </w:p>
    <w:p>
      <w:pPr>
        <w:keepLines w:val="0"/>
        <w:spacing w:after="120"/>
        <w:ind w:firstLine="567"/>
      </w:pPr>
      <w:r>
        <w:t xml:space="preserve">Cả năm mô hình giữ nguyên thứ hạng ở cả ba lần kiểm định: XGBoost 1, LightGBM 2, Random Forest 3, Seasonal Naive 4 và Ridge 5. Độ lệch chuẩn WAPE của XGBoost là 0,646 điểm phần trăm, cao hơn LightGBM (0,499), nên XGBoost không phải mô hình ổn định nhất giữa các cửa sổ dù có WAPE trung bình thấp nhất. Trên tập kiểm tra cuối, WAPE của mọi mô hình đều tăng: XGBoost thêm 2,237 điểm phần trăm, LightGBM 2,300, Random Forest 3,213, Ridge 4,018 và Seasonal Naive 4,947. Mô hình được chọn có mức suy giảm tuyệt đối nhỏ nhất, chỉ thấp hơn LightGBM khoảng 0,063 điểm phần trăm, còn theo giá trị tương đối LightGBM suy giảm ít hơn một chút (18,30% so với 18,51%); với ba lần kiểm định, nhận định về độ ổn định chỉ dừng ở mức mô tả. Đáng chú ý hơn là độ chệch: tổng dự báo 16 ngày là 13.773.080 so với thực tế 13.319.180, cao hơn 3,41%, và dự báo vượt thực tế ở 12/16 ngày.</w:t>
      </w:r>
    </w:p>
    <w:p>
      <w:pPr>
        <w:keepLines w:val="0"/>
        <w:spacing w:after="120"/>
        <w:ind w:firstLine="567"/>
      </w:pPr>
      <w:r>
        <w:t xml:space="preserve">Phần lớn chênh lệch tập trung vào bốn ngày cuối tuần, với tổng chênh lệch 382.776 (10,42%), trong khi 12 ngày còn lại chỉ 71.124 (0,74%); hai ngày 12/08/2017 và 13/08/2017 lệch lớn nhất, lần lượt 16,27% và 14,22%. Dự báo cao hơn thực tế còn lặp lại ở cả bốn tứ phân vị mức nhu cầu (bias từ −1,231 ở Q1 đến −53,219 ở Q4) và ở 34/54 cửa hàng. Luận văn không có dữ liệu để xác định nguyên nhân, nhưng về vận hành, cùng một WAPE có thể ứng với xu hướng dự báo thừa có hệ thống, vốn chuyển thành rủi ro tồn dư và hư hỏng đối với hàng tươi sống. Doanh nghiệp vì vậy cần theo dõi độ chệch có dấu theo ngày trong tuần bên cạnh WAPE, và nên duy trì Seasonal Naive cố định gốc chạy song song như chuẩn giám sát và cơ chế dự phòng (Hyndman và Athanasopoulos, 2021).</w:t>
      </w:r>
    </w:p>
    <w:p>
      <w:pPr>
        <w:keepLines w:val="0"/>
        <w:spacing w:after="120"/>
        <w:ind w:firstLine="567"/>
      </w:pPr>
      <w:r>
        <w:t xml:space="preserve">Từ góc độ tài chính, WAPE thấp hơn chưa đủ để kết luận doanh nghiệp tiết kiệm được một khoản tiền cụ thể. Gọi p(i,t) là đơn giá và m(i,t) là biên lợi nhuận gộp trên mỗi đơn vị của chuỗi i tại ngày t, mức phơi nhiễm kinh tế của sai số có thể viết như sau:</w:t>
      </w:r>
    </w:p>
    <w:p>
      <w:pPr>
        <w:tabs>
          <w:tab w:val="center" w:pos="4535"/>
          <w:tab w:val="right" w:pos="9071"/>
        </w:tabs>
        <w:spacing w:before="60" w:after="60"/>
        <w:ind w:firstLine="0"/>
      </w:pPr>
      <w:r>
        <w:tab/>
      </w:r>
      <m:oMath xmlns:a="http://schemas.openxmlformats.org/drawingml/2006/main" xmlns:pic="http://schemas.openxmlformats.org/drawingml/2006/picture">
        <m:sSup>
          <m:e>
            <m:r>
              <m:t>E</m:t>
            </m:r>
          </m:e>
          <m:sup>
            <m:r>
              <m:rPr>
                <m:sty m:val="p"/>
              </m:rPr>
              <m:t>r</m:t>
            </m:r>
            <m:r>
              <m:rPr>
                <m:sty m:val="p"/>
              </m:rPr>
              <m:t>e</m:t>
            </m:r>
            <m:r>
              <m:rPr>
                <m:sty m:val="p"/>
              </m:rPr>
              <m:t>v</m:t>
            </m:r>
          </m:sup>
        </m:sSup>
        <m:r>
          <m:rPr>
            <m:sty m:val="p"/>
          </m:rPr>
          <m:t>=</m:t>
        </m:r>
        <m:nary>
          <m:naryPr>
            <m:chr m:val="∑"/>
            <m:limLoc m:val="undOvr"/>
            <m:subHide m:val="off"/>
            <m:supHide m:val="on"/>
          </m:naryPr>
          <m:sub>
            <m:r>
              <m:t>i</m:t>
            </m:r>
          </m:sub>
          <m:sup>
            <m:r>
              <m:t>​</m:t>
            </m:r>
          </m:sup>
          <m:e>
            <m:nary>
              <m:naryPr>
                <m:chr m:val="∑"/>
                <m:limLoc m:val="undOvr"/>
                <m:subHide m:val="off"/>
                <m:supHide m:val="on"/>
              </m:naryPr>
              <m:sub>
                <m:r>
                  <m:t>t</m:t>
                </m:r>
              </m:sub>
              <m:sup>
                <m:r>
                  <m:t>​</m:t>
                </m:r>
              </m:sup>
              <m:e>
                <m:d>
                  <m:dPr>
                    <m:begChr m:val="|"/>
                    <m:sepChr m:val=""/>
                    <m:endChr m:val="|"/>
                    <m:grow/>
                  </m:dPr>
                  <m:e>
                    <m:sSub>
                      <m:e>
                        <m:r>
                          <m:t>y</m:t>
                        </m:r>
                      </m:e>
                      <m:sub>
                        <m:r>
                          <m:t>i</m:t>
                        </m:r>
                        <m:r>
                          <m:rPr>
                            <m:sty m:val="p"/>
                          </m:rPr>
                          <m:t>,</m:t>
                        </m:r>
                        <m:r>
                          <m:t>t</m:t>
                        </m:r>
                      </m:sub>
                    </m:sSub>
                    <m:r>
                      <m:rPr>
                        <m:sty m:val="p"/>
                      </m:rPr>
                      <m:t>−</m:t>
                    </m:r>
                    <m:sSub>
                      <m:e>
                        <m:acc>
                          <m:accPr>
                            <m:chr m:val="̂"/>
                          </m:accPr>
                          <m:e>
                            <m:r>
                              <m:t>y</m:t>
                            </m:r>
                          </m:e>
                        </m:acc>
                      </m:e>
                      <m:sub>
                        <m:r>
                          <m:t>i</m:t>
                        </m:r>
                        <m:r>
                          <m:rPr>
                            <m:sty m:val="p"/>
                          </m:rPr>
                          <m:t>,</m:t>
                        </m:r>
                        <m:r>
                          <m:t>t</m:t>
                        </m:r>
                      </m:sub>
                    </m:sSub>
                  </m:e>
                </m:d>
              </m:e>
            </m:nary>
          </m:e>
        </m:nary>
        <m:r>
          <m:t> </m:t>
        </m:r>
        <m:sSub>
          <m:e>
            <m:r>
              <m:t>p</m:t>
            </m:r>
          </m:e>
          <m:sub>
            <m:r>
              <m:t>i</m:t>
            </m:r>
            <m:r>
              <m:rPr>
                <m:sty m:val="p"/>
              </m:rPr>
              <m:t>,</m:t>
            </m:r>
            <m:r>
              <m:t>t</m:t>
            </m:r>
          </m:sub>
        </m:sSub>
        <m:r>
          <m:rPr>
            <m:sty m:val="p"/>
          </m:rPr>
          <m:t>,</m:t>
        </m:r>
        <m:r>
          <m:t>  </m:t>
        </m:r>
        <m:sSup>
          <m:e>
            <m:r>
              <m:t>E</m:t>
            </m:r>
          </m:e>
          <m:sup>
            <m:r>
              <m:rPr>
                <m:sty m:val="p"/>
              </m:rPr>
              <m:t>m</m:t>
            </m:r>
            <m:r>
              <m:rPr>
                <m:sty m:val="p"/>
              </m:rPr>
              <m:t>a</m:t>
            </m:r>
            <m:r>
              <m:rPr>
                <m:sty m:val="p"/>
              </m:rPr>
              <m:t>r</m:t>
            </m:r>
          </m:sup>
        </m:sSup>
        <m:r>
          <m:rPr>
            <m:sty m:val="p"/>
          </m:rPr>
          <m:t>=</m:t>
        </m:r>
        <m:nary>
          <m:naryPr>
            <m:chr m:val="∑"/>
            <m:limLoc m:val="undOvr"/>
            <m:subHide m:val="off"/>
            <m:supHide m:val="on"/>
          </m:naryPr>
          <m:sub>
            <m:r>
              <m:t>i</m:t>
            </m:r>
          </m:sub>
          <m:sup>
            <m:r>
              <m:t>​</m:t>
            </m:r>
          </m:sup>
          <m:e>
            <m:nary>
              <m:naryPr>
                <m:chr m:val="∑"/>
                <m:limLoc m:val="undOvr"/>
                <m:subHide m:val="off"/>
                <m:supHide m:val="on"/>
              </m:naryPr>
              <m:sub>
                <m:r>
                  <m:t>t</m:t>
                </m:r>
              </m:sub>
              <m:sup>
                <m:r>
                  <m:t>​</m:t>
                </m:r>
              </m:sup>
              <m:e>
                <m:d>
                  <m:dPr>
                    <m:begChr m:val="|"/>
                    <m:sepChr m:val=""/>
                    <m:endChr m:val="|"/>
                    <m:grow/>
                  </m:dPr>
                  <m:e>
                    <m:sSub>
                      <m:e>
                        <m:r>
                          <m:t>y</m:t>
                        </m:r>
                      </m:e>
                      <m:sub>
                        <m:r>
                          <m:t>i</m:t>
                        </m:r>
                        <m:r>
                          <m:rPr>
                            <m:sty m:val="p"/>
                          </m:rPr>
                          <m:t>,</m:t>
                        </m:r>
                        <m:r>
                          <m:t>t</m:t>
                        </m:r>
                      </m:sub>
                    </m:sSub>
                    <m:r>
                      <m:rPr>
                        <m:sty m:val="p"/>
                      </m:rPr>
                      <m:t>−</m:t>
                    </m:r>
                    <m:sSub>
                      <m:e>
                        <m:acc>
                          <m:accPr>
                            <m:chr m:val="̂"/>
                          </m:accPr>
                          <m:e>
                            <m:r>
                              <m:t>y</m:t>
                            </m:r>
                          </m:e>
                        </m:acc>
                      </m:e>
                      <m:sub>
                        <m:r>
                          <m:t>i</m:t>
                        </m:r>
                        <m:r>
                          <m:rPr>
                            <m:sty m:val="p"/>
                          </m:rPr>
                          <m:t>,</m:t>
                        </m:r>
                        <m:r>
                          <m:t>t</m:t>
                        </m:r>
                      </m:sub>
                    </m:sSub>
                  </m:e>
                </m:d>
              </m:e>
            </m:nary>
          </m:e>
        </m:nary>
        <m:r>
          <m:t> </m:t>
        </m:r>
        <m:sSub>
          <m:e>
            <m:r>
              <m:t>m</m:t>
            </m:r>
          </m:e>
          <m:sub>
            <m:r>
              <m:t>i</m:t>
            </m:r>
            <m:r>
              <m:rPr>
                <m:sty m:val="p"/>
              </m:rPr>
              <m:t>,</m:t>
            </m:r>
            <m:r>
              <m:t>t</m:t>
            </m:r>
          </m:sub>
        </m:sSub>
      </m:oMath>
      <w:r>
        <w:tab/>
        <w:t>(5.1)</w:t>
      </w:r>
    </w:p>
    <w:p>
      <w:pPr>
        <w:keepLines w:val="0"/>
        <w:spacing w:after="120"/>
        <w:ind w:firstLine="567"/>
      </w:pPr>
      <w:r>
        <w:t xml:space="preserve">Công thức (5.1) cho thấy hai mô hình có cùng WAPE vẫn có thể tạo ra mức phơi nhiễm khác nhau nếu sai số rơi vào các nhóm hàng có đơn giá hoặc biên lợi nhuận khác nhau. Dữ liệu Favorita không chứa giá bán, biên lợi nhuận, tồn kho thực hay thời gian cung ứng, nên luận văn chỉ xác định được sai số nằm ở đâu và cung cấp khung công thức để doanh nghiệp bổ sung dữ liệu kinh tế, thay vì đưa ra một con số lợi tức đầu tư không có căn cứ.</w:t>
      </w:r>
    </w:p>
    <w:p>
      <w:pPr>
        <w:pStyle w:val="Heading2"/>
        <w:keepNext/>
      </w:pPr>
      <w:r>
        <w:t xml:space="preserve">5.2. XGBoost và LightGBM: lợi thế nhất quán nhưng nhỏ</w:t>
      </w:r>
    </w:p>
    <w:p>
      <w:pPr>
        <w:pStyle w:val="Heading3"/>
        <w:keepNext/>
      </w:pPr>
      <w:r>
        <w:t xml:space="preserve">5.2.1. Khoảng cách nhỏ hơn biến động giữa các lần kiểm định</w:t>
      </w:r>
    </w:p>
    <w:p>
      <w:pPr>
        <w:keepLines w:val="0"/>
        <w:spacing w:after="120"/>
        <w:ind w:firstLine="567"/>
      </w:pPr>
      <w:r>
        <w:t xml:space="preserve">XGBoost dẫn đầu theo WAPE trung bình kiểm định chéo với 12,089%, so với 12,568% của LightGBM, tức chênh lệch 0,478 điểm phần trăm. Bảng 5.1 tổng hợp chỉ số và điều kiện huấn luyện của hai mô hình. XGBoost cũng có RMSE thấp nhất ở cả ba lần kiểm định và RMSE trung bình thấp hơn (217,464 so với 220,044); MAE cùng chiều, điều tất yếu ở từng lần kiểm định vì trong cùng một cửa sổ thứ hạng theo WAPE trùng với thứ hạng theo MAE. Tuy vậy, chênh lệch 0,478 điểm phần trăm nhỏ hơn độ lệch chuẩn giữa các lần của chính XGBoost (0,646 điểm phần trăm), và với ba lần kiểm định, luận văn không thể kiểm định ý nghĩa thống kê. Kết luận thận trọng là XGBoost đứng đầu nhất quán về thứ hạng trong ba cửa sổ đã xét, nhưng độ lớn lợi thế nằm trong phạm vi biến động giữa các cửa sổ.</w:t>
      </w:r>
    </w:p>
    <w:p>
      <w:pPr>
        <w:keepNext/>
        <w:spacing w:before="120" w:after="60"/>
        <w:ind w:firstLine="0"/>
        <w:jc w:val="center"/>
      </w:pPr>
      <w:r>
        <w:t xml:space="preserve">Bảng 5.1. So sánh XGBoost và LightGBM trong lần chạy chính thức theo độ chính xác và điều kiện huấn luyện</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551"/>
        <w:gridCol w:w="3479"/>
        <w:gridCol w:w="3041"/>
      </w:tblGrid>
      <w:tr>
        <w:trPr>
          <w:tblHeader/>
          <w:cantSplit/>
        </w:trPr>
        <w:tc>
          <w:tcPr>
            <w:tcW w:type="dxa" w:w="2551"/>
            <w:shd w:val="clear" w:color="auto" w:fill="D9E2F3"/>
            <w:vAlign w:val="center"/>
          </w:tcPr>
          <w:p>
            <w:pPr>
              <w:spacing w:before="20" w:after="20" w:line="260" w:lineRule="auto"/>
              <w:ind w:firstLine="0"/>
              <w:jc w:val="center"/>
            </w:pPr>
            <w:r>
              <w:rPr>
                <w:b/>
                <w:sz w:val="20"/>
                <w:szCs w:val="20"/>
              </w:rPr>
              <w:t xml:space="preserve">Tiêu chí</w:t>
            </w:r>
          </w:p>
        </w:tc>
        <w:tc>
          <w:tcPr>
            <w:tcW w:type="dxa" w:w="3479"/>
            <w:shd w:val="clear" w:color="auto" w:fill="D9E2F3"/>
            <w:vAlign w:val="center"/>
          </w:tcPr>
          <w:p>
            <w:pPr>
              <w:spacing w:before="20" w:after="20" w:line="260" w:lineRule="auto"/>
              <w:ind w:firstLine="0"/>
              <w:jc w:val="center"/>
            </w:pPr>
            <w:r>
              <w:rPr>
                <w:b/>
                <w:sz w:val="20"/>
                <w:szCs w:val="20"/>
              </w:rPr>
              <w:t xml:space="preserve">XGBoost</w:t>
            </w:r>
          </w:p>
        </w:tc>
        <w:tc>
          <w:tcPr>
            <w:tcW w:type="dxa" w:w="3041"/>
            <w:shd w:val="clear" w:color="auto" w:fill="D9E2F3"/>
            <w:vAlign w:val="center"/>
          </w:tcPr>
          <w:p>
            <w:pPr>
              <w:spacing w:before="20" w:after="20" w:line="260" w:lineRule="auto"/>
              <w:ind w:firstLine="0"/>
              <w:jc w:val="center"/>
            </w:pPr>
            <w:r>
              <w:rPr>
                <w:b/>
                <w:sz w:val="20"/>
                <w:szCs w:val="20"/>
              </w:rPr>
              <w:t xml:space="preserve">LightGBM</w:t>
            </w:r>
          </w:p>
        </w:tc>
      </w:tr>
      <w:tr>
        <w:trPr>
          <w:cantSplit/>
        </w:trPr>
        <w:tc>
          <w:tcPr>
            <w:tcW w:type="dxa" w:w="2551"/>
            <w:vAlign w:val="center"/>
          </w:tcPr>
          <w:p>
            <w:pPr>
              <w:spacing w:before="20" w:after="20" w:line="260" w:lineRule="auto"/>
              <w:ind w:firstLine="0"/>
              <w:jc w:val="left"/>
            </w:pPr>
            <w:r>
              <w:rPr>
                <w:sz w:val="20"/>
                <w:szCs w:val="20"/>
              </w:rPr>
              <w:t xml:space="preserve">WAPE trung bình kiểm định chéo (sd)</w:t>
            </w:r>
          </w:p>
        </w:tc>
        <w:tc>
          <w:tcPr>
            <w:tcW w:type="dxa" w:w="3479"/>
            <w:vAlign w:val="center"/>
          </w:tcPr>
          <w:p>
            <w:pPr>
              <w:spacing w:before="20" w:after="20" w:line="260" w:lineRule="auto"/>
              <w:ind w:firstLine="0"/>
              <w:jc w:val="center"/>
            </w:pPr>
            <w:r>
              <w:rPr>
                <w:sz w:val="20"/>
                <w:szCs w:val="20"/>
              </w:rPr>
              <w:t xml:space="preserve">12,089% (0,646%)</w:t>
            </w:r>
          </w:p>
        </w:tc>
        <w:tc>
          <w:tcPr>
            <w:tcW w:type="dxa" w:w="3041"/>
            <w:vAlign w:val="center"/>
          </w:tcPr>
          <w:p>
            <w:pPr>
              <w:spacing w:before="20" w:after="20" w:line="260" w:lineRule="auto"/>
              <w:ind w:firstLine="0"/>
              <w:jc w:val="center"/>
            </w:pPr>
            <w:r>
              <w:rPr>
                <w:sz w:val="20"/>
                <w:szCs w:val="20"/>
              </w:rPr>
              <w:t xml:space="preserve">12,568% (0,499%)</w:t>
            </w:r>
          </w:p>
        </w:tc>
      </w:tr>
      <w:tr>
        <w:trPr>
          <w:cantSplit/>
        </w:trPr>
        <w:tc>
          <w:tcPr>
            <w:tcW w:type="dxa" w:w="2551"/>
            <w:vAlign w:val="center"/>
          </w:tcPr>
          <w:p>
            <w:pPr>
              <w:spacing w:before="20" w:after="20" w:line="260" w:lineRule="auto"/>
              <w:ind w:firstLine="0"/>
              <w:jc w:val="left"/>
            </w:pPr>
            <w:r>
              <w:rPr>
                <w:sz w:val="20"/>
                <w:szCs w:val="20"/>
              </w:rPr>
              <w:t xml:space="preserve">MAE trung bình kiểm định chéo (±sd)</w:t>
            </w:r>
          </w:p>
        </w:tc>
        <w:tc>
          <w:tcPr>
            <w:tcW w:type="dxa" w:w="3479"/>
            <w:vAlign w:val="center"/>
          </w:tcPr>
          <w:p>
            <w:pPr>
              <w:spacing w:before="20" w:after="20" w:line="260" w:lineRule="auto"/>
              <w:ind w:firstLine="0"/>
              <w:jc w:val="left"/>
            </w:pPr>
            <w:r>
              <w:rPr>
                <w:sz w:val="20"/>
                <w:szCs w:val="20"/>
              </w:rPr>
              <w:t xml:space="preserve">57,309 (±2,746)</w:t>
            </w:r>
          </w:p>
        </w:tc>
        <w:tc>
          <w:tcPr>
            <w:tcW w:type="dxa" w:w="3041"/>
            <w:vAlign w:val="center"/>
          </w:tcPr>
          <w:p>
            <w:pPr>
              <w:spacing w:before="20" w:after="20" w:line="260" w:lineRule="auto"/>
              <w:ind w:firstLine="0"/>
              <w:jc w:val="left"/>
            </w:pPr>
            <w:r>
              <w:rPr>
                <w:sz w:val="20"/>
                <w:szCs w:val="20"/>
              </w:rPr>
              <w:t xml:space="preserve">59,580 (±2,033)</w:t>
            </w:r>
          </w:p>
        </w:tc>
      </w:tr>
      <w:tr>
        <w:trPr>
          <w:cantSplit/>
        </w:trPr>
        <w:tc>
          <w:tcPr>
            <w:tcW w:type="dxa" w:w="2551"/>
            <w:vAlign w:val="center"/>
          </w:tcPr>
          <w:p>
            <w:pPr>
              <w:spacing w:before="20" w:after="20" w:line="260" w:lineRule="auto"/>
              <w:ind w:firstLine="0"/>
              <w:jc w:val="left"/>
            </w:pPr>
            <w:r>
              <w:rPr>
                <w:sz w:val="20"/>
                <w:szCs w:val="20"/>
              </w:rPr>
              <w:t xml:space="preserve">RMSE trung bình kiểm định chéo (±sd)</w:t>
            </w:r>
          </w:p>
        </w:tc>
        <w:tc>
          <w:tcPr>
            <w:tcW w:type="dxa" w:w="3479"/>
            <w:vAlign w:val="center"/>
          </w:tcPr>
          <w:p>
            <w:pPr>
              <w:spacing w:before="20" w:after="20" w:line="260" w:lineRule="auto"/>
              <w:ind w:firstLine="0"/>
              <w:jc w:val="left"/>
            </w:pPr>
            <w:r>
              <w:rPr>
                <w:sz w:val="20"/>
                <w:szCs w:val="20"/>
              </w:rPr>
              <w:t xml:space="preserve">217,464 (±3,989)</w:t>
            </w:r>
          </w:p>
        </w:tc>
        <w:tc>
          <w:tcPr>
            <w:tcW w:type="dxa" w:w="3041"/>
            <w:vAlign w:val="center"/>
          </w:tcPr>
          <w:p>
            <w:pPr>
              <w:spacing w:before="20" w:after="20" w:line="260" w:lineRule="auto"/>
              <w:ind w:firstLine="0"/>
              <w:jc w:val="left"/>
            </w:pPr>
            <w:r>
              <w:rPr>
                <w:sz w:val="20"/>
                <w:szCs w:val="20"/>
              </w:rPr>
              <w:t xml:space="preserve">220,044 (±3,674)</w:t>
            </w:r>
          </w:p>
        </w:tc>
      </w:tr>
      <w:tr>
        <w:trPr>
          <w:cantSplit/>
        </w:trPr>
        <w:tc>
          <w:tcPr>
            <w:tcW w:type="dxa" w:w="2551"/>
            <w:vAlign w:val="center"/>
          </w:tcPr>
          <w:p>
            <w:pPr>
              <w:spacing w:before="20" w:after="20" w:line="260" w:lineRule="auto"/>
              <w:ind w:firstLine="0"/>
              <w:jc w:val="left"/>
            </w:pPr>
            <w:r>
              <w:rPr>
                <w:sz w:val="20"/>
                <w:szCs w:val="20"/>
              </w:rPr>
              <w:t xml:space="preserve">Số lần có RMSE thấp nhất trong 3 lần kiểm định</w:t>
            </w:r>
          </w:p>
        </w:tc>
        <w:tc>
          <w:tcPr>
            <w:tcW w:type="dxa" w:w="3479"/>
            <w:vAlign w:val="center"/>
          </w:tcPr>
          <w:p>
            <w:pPr>
              <w:spacing w:before="20" w:after="20" w:line="260" w:lineRule="auto"/>
              <w:ind w:firstLine="0"/>
              <w:jc w:val="center"/>
            </w:pPr>
            <w:r>
              <w:rPr>
                <w:sz w:val="20"/>
                <w:szCs w:val="20"/>
              </w:rPr>
              <w:t xml:space="preserve">3/3</w:t>
            </w:r>
          </w:p>
        </w:tc>
        <w:tc>
          <w:tcPr>
            <w:tcW w:type="dxa" w:w="3041"/>
            <w:vAlign w:val="center"/>
          </w:tcPr>
          <w:p>
            <w:pPr>
              <w:spacing w:before="20" w:after="20" w:line="260" w:lineRule="auto"/>
              <w:ind w:firstLine="0"/>
              <w:jc w:val="center"/>
            </w:pPr>
            <w:r>
              <w:rPr>
                <w:sz w:val="20"/>
                <w:szCs w:val="20"/>
              </w:rPr>
              <w:t xml:space="preserve">0/3</w:t>
            </w:r>
          </w:p>
        </w:tc>
      </w:tr>
      <w:tr>
        <w:trPr>
          <w:cantSplit/>
        </w:trPr>
        <w:tc>
          <w:tcPr>
            <w:tcW w:type="dxa" w:w="2551"/>
            <w:vAlign w:val="center"/>
          </w:tcPr>
          <w:p>
            <w:pPr>
              <w:spacing w:before="20" w:after="20" w:line="260" w:lineRule="auto"/>
              <w:ind w:firstLine="0"/>
              <w:jc w:val="left"/>
            </w:pPr>
            <w:r>
              <w:rPr>
                <w:sz w:val="20"/>
                <w:szCs w:val="20"/>
              </w:rPr>
              <w:t xml:space="preserve">sMAPE / RMSLE trung bình kiểm định chéo</w:t>
            </w:r>
          </w:p>
        </w:tc>
        <w:tc>
          <w:tcPr>
            <w:tcW w:type="dxa" w:w="3479"/>
            <w:vAlign w:val="center"/>
          </w:tcPr>
          <w:p>
            <w:pPr>
              <w:spacing w:before="20" w:after="20" w:line="260" w:lineRule="auto"/>
              <w:ind w:firstLine="0"/>
              <w:jc w:val="center"/>
            </w:pPr>
            <w:r>
              <w:rPr>
                <w:sz w:val="20"/>
                <w:szCs w:val="20"/>
              </w:rPr>
              <w:t xml:space="preserve">0,5093 / 0,5838</w:t>
            </w:r>
          </w:p>
        </w:tc>
        <w:tc>
          <w:tcPr>
            <w:tcW w:type="dxa" w:w="3041"/>
            <w:vAlign w:val="center"/>
          </w:tcPr>
          <w:p>
            <w:pPr>
              <w:spacing w:before="20" w:after="20" w:line="260" w:lineRule="auto"/>
              <w:ind w:firstLine="0"/>
              <w:jc w:val="center"/>
            </w:pPr>
            <w:r>
              <w:rPr>
                <w:sz w:val="20"/>
                <w:szCs w:val="20"/>
              </w:rPr>
              <w:t xml:space="preserve">0,5996 / 0,6788</w:t>
            </w:r>
          </w:p>
        </w:tc>
      </w:tr>
      <w:tr>
        <w:trPr>
          <w:cantSplit/>
        </w:trPr>
        <w:tc>
          <w:tcPr>
            <w:tcW w:type="dxa" w:w="2551"/>
            <w:vAlign w:val="center"/>
          </w:tcPr>
          <w:p>
            <w:pPr>
              <w:spacing w:before="20" w:after="20" w:line="260" w:lineRule="auto"/>
              <w:ind w:firstLine="0"/>
              <w:jc w:val="left"/>
            </w:pPr>
            <w:r>
              <w:rPr>
                <w:sz w:val="20"/>
                <w:szCs w:val="20"/>
              </w:rPr>
              <w:t xml:space="preserve">WAPE tập kiểm tra cuối</w:t>
            </w:r>
          </w:p>
        </w:tc>
        <w:tc>
          <w:tcPr>
            <w:tcW w:type="dxa" w:w="3479"/>
            <w:vAlign w:val="center"/>
          </w:tcPr>
          <w:p>
            <w:pPr>
              <w:spacing w:before="20" w:after="20" w:line="260" w:lineRule="auto"/>
              <w:ind w:firstLine="0"/>
              <w:jc w:val="center"/>
            </w:pPr>
            <w:r>
              <w:rPr>
                <w:sz w:val="20"/>
                <w:szCs w:val="20"/>
              </w:rPr>
              <w:t xml:space="preserve">14,327%</w:t>
            </w:r>
          </w:p>
        </w:tc>
        <w:tc>
          <w:tcPr>
            <w:tcW w:type="dxa" w:w="3041"/>
            <w:vAlign w:val="center"/>
          </w:tcPr>
          <w:p>
            <w:pPr>
              <w:spacing w:before="20" w:after="20" w:line="260" w:lineRule="auto"/>
              <w:ind w:firstLine="0"/>
              <w:jc w:val="center"/>
            </w:pPr>
            <w:r>
              <w:rPr>
                <w:sz w:val="20"/>
                <w:szCs w:val="20"/>
              </w:rPr>
              <w:t xml:space="preserve">14,868%</w:t>
            </w:r>
          </w:p>
        </w:tc>
      </w:tr>
      <w:tr>
        <w:trPr>
          <w:cantSplit/>
        </w:trPr>
        <w:tc>
          <w:tcPr>
            <w:tcW w:type="dxa" w:w="2551"/>
            <w:vAlign w:val="center"/>
          </w:tcPr>
          <w:p>
            <w:pPr>
              <w:spacing w:before="20" w:after="20" w:line="260" w:lineRule="auto"/>
              <w:ind w:firstLine="0"/>
              <w:jc w:val="left"/>
            </w:pPr>
            <w:r>
              <w:rPr>
                <w:sz w:val="20"/>
                <w:szCs w:val="20"/>
              </w:rPr>
              <w:t xml:space="preserve">MAE / RMSE tập kiểm tra cuối</w:t>
            </w:r>
          </w:p>
        </w:tc>
        <w:tc>
          <w:tcPr>
            <w:tcW w:type="dxa" w:w="3479"/>
            <w:vAlign w:val="center"/>
          </w:tcPr>
          <w:p>
            <w:pPr>
              <w:spacing w:before="20" w:after="20" w:line="260" w:lineRule="auto"/>
              <w:ind w:firstLine="0"/>
              <w:jc w:val="center"/>
            </w:pPr>
            <w:r>
              <w:rPr>
                <w:sz w:val="20"/>
                <w:szCs w:val="20"/>
              </w:rPr>
              <w:t xml:space="preserve">66,927 / 225,602</w:t>
            </w:r>
          </w:p>
        </w:tc>
        <w:tc>
          <w:tcPr>
            <w:tcW w:type="dxa" w:w="3041"/>
            <w:vAlign w:val="center"/>
          </w:tcPr>
          <w:p>
            <w:pPr>
              <w:spacing w:before="20" w:after="20" w:line="260" w:lineRule="auto"/>
              <w:ind w:firstLine="0"/>
              <w:jc w:val="center"/>
            </w:pPr>
            <w:r>
              <w:rPr>
                <w:sz w:val="20"/>
                <w:szCs w:val="20"/>
              </w:rPr>
              <w:t xml:space="preserve">69,453 / 225,479</w:t>
            </w:r>
          </w:p>
        </w:tc>
      </w:tr>
      <w:tr>
        <w:trPr>
          <w:cantSplit/>
        </w:trPr>
        <w:tc>
          <w:tcPr>
            <w:tcW w:type="dxa" w:w="2551"/>
            <w:vAlign w:val="center"/>
          </w:tcPr>
          <w:p>
            <w:pPr>
              <w:spacing w:before="20" w:after="20" w:line="260" w:lineRule="auto"/>
              <w:ind w:firstLine="0"/>
              <w:jc w:val="left"/>
            </w:pPr>
            <w:r>
              <w:rPr>
                <w:sz w:val="20"/>
                <w:szCs w:val="20"/>
              </w:rPr>
              <w:t xml:space="preserve">sMAPE / RMSLE tập kiểm tra cuối</w:t>
            </w:r>
          </w:p>
        </w:tc>
        <w:tc>
          <w:tcPr>
            <w:tcW w:type="dxa" w:w="3479"/>
            <w:vAlign w:val="center"/>
          </w:tcPr>
          <w:p>
            <w:pPr>
              <w:spacing w:before="20" w:after="20" w:line="260" w:lineRule="auto"/>
              <w:ind w:firstLine="0"/>
              <w:jc w:val="center"/>
            </w:pPr>
            <w:r>
              <w:rPr>
                <w:sz w:val="20"/>
                <w:szCs w:val="20"/>
              </w:rPr>
              <w:t xml:space="preserve">0,5423 / 0,5752</w:t>
            </w:r>
          </w:p>
        </w:tc>
        <w:tc>
          <w:tcPr>
            <w:tcW w:type="dxa" w:w="3041"/>
            <w:vAlign w:val="center"/>
          </w:tcPr>
          <w:p>
            <w:pPr>
              <w:spacing w:before="20" w:after="20" w:line="260" w:lineRule="auto"/>
              <w:ind w:firstLine="0"/>
              <w:jc w:val="center"/>
            </w:pPr>
            <w:r>
              <w:rPr>
                <w:sz w:val="20"/>
                <w:szCs w:val="20"/>
              </w:rPr>
              <w:t xml:space="preserve">0,6097 / 0,6524</w:t>
            </w:r>
          </w:p>
        </w:tc>
      </w:tr>
      <w:tr>
        <w:trPr>
          <w:cantSplit/>
        </w:trPr>
        <w:tc>
          <w:tcPr>
            <w:tcW w:type="dxa" w:w="2551"/>
            <w:vAlign w:val="center"/>
          </w:tcPr>
          <w:p>
            <w:pPr>
              <w:spacing w:before="20" w:after="20" w:line="260" w:lineRule="auto"/>
              <w:ind w:firstLine="0"/>
              <w:jc w:val="left"/>
            </w:pPr>
            <w:r>
              <w:rPr>
                <w:sz w:val="20"/>
                <w:szCs w:val="20"/>
              </w:rPr>
              <w:t xml:space="preserve">Tăng WAPE từ kiểm định chéo sang tập kiểm tra cuối</w:t>
            </w:r>
          </w:p>
        </w:tc>
        <w:tc>
          <w:tcPr>
            <w:tcW w:type="dxa" w:w="3479"/>
            <w:vAlign w:val="center"/>
          </w:tcPr>
          <w:p>
            <w:pPr>
              <w:spacing w:before="20" w:after="20" w:line="260" w:lineRule="auto"/>
              <w:ind w:firstLine="0"/>
              <w:jc w:val="left"/>
            </w:pPr>
            <w:r>
              <w:rPr>
                <w:sz w:val="20"/>
                <w:szCs w:val="20"/>
              </w:rPr>
              <w:t xml:space="preserve">+2,237 điểm %</w:t>
            </w:r>
          </w:p>
        </w:tc>
        <w:tc>
          <w:tcPr>
            <w:tcW w:type="dxa" w:w="3041"/>
            <w:vAlign w:val="center"/>
          </w:tcPr>
          <w:p>
            <w:pPr>
              <w:spacing w:before="20" w:after="20" w:line="260" w:lineRule="auto"/>
              <w:ind w:firstLine="0"/>
              <w:jc w:val="left"/>
            </w:pPr>
            <w:r>
              <w:rPr>
                <w:sz w:val="20"/>
                <w:szCs w:val="20"/>
              </w:rPr>
              <w:t xml:space="preserve">+2,300 điểm %</w:t>
            </w:r>
          </w:p>
        </w:tc>
      </w:tr>
      <w:tr>
        <w:trPr>
          <w:cantSplit/>
        </w:trPr>
        <w:tc>
          <w:tcPr>
            <w:tcW w:type="dxa" w:w="2551"/>
            <w:vAlign w:val="center"/>
          </w:tcPr>
          <w:p>
            <w:pPr>
              <w:spacing w:before="20" w:after="20" w:line="260" w:lineRule="auto"/>
              <w:ind w:firstLine="0"/>
              <w:jc w:val="left"/>
            </w:pPr>
            <w:r>
              <w:rPr>
                <w:sz w:val="20"/>
                <w:szCs w:val="20"/>
              </w:rPr>
              <w:t xml:space="preserve">Thời gian huấn luyện trung bình kiểm định chéo</w:t>
            </w:r>
          </w:p>
        </w:tc>
        <w:tc>
          <w:tcPr>
            <w:tcW w:type="dxa" w:w="3479"/>
            <w:vAlign w:val="center"/>
          </w:tcPr>
          <w:p>
            <w:pPr>
              <w:spacing w:before="20" w:after="20" w:line="260" w:lineRule="auto"/>
              <w:ind w:firstLine="0"/>
              <w:jc w:val="left"/>
            </w:pPr>
            <w:r>
              <w:rPr>
                <w:sz w:val="20"/>
                <w:szCs w:val="20"/>
              </w:rPr>
              <w:t xml:space="preserve">65,34 giây</w:t>
            </w:r>
          </w:p>
        </w:tc>
        <w:tc>
          <w:tcPr>
            <w:tcW w:type="dxa" w:w="3041"/>
            <w:vAlign w:val="center"/>
          </w:tcPr>
          <w:p>
            <w:pPr>
              <w:spacing w:before="20" w:after="20" w:line="260" w:lineRule="auto"/>
              <w:ind w:firstLine="0"/>
              <w:jc w:val="left"/>
            </w:pPr>
            <w:r>
              <w:rPr>
                <w:sz w:val="20"/>
                <w:szCs w:val="20"/>
              </w:rPr>
              <w:t xml:space="preserve">43,02 giây</w:t>
            </w:r>
          </w:p>
        </w:tc>
      </w:tr>
      <w:tr>
        <w:trPr>
          <w:cantSplit/>
        </w:trPr>
        <w:tc>
          <w:tcPr>
            <w:tcW w:type="dxa" w:w="2551"/>
            <w:vAlign w:val="center"/>
          </w:tcPr>
          <w:p>
            <w:pPr>
              <w:spacing w:before="20" w:after="20" w:line="260" w:lineRule="auto"/>
              <w:ind w:firstLine="0"/>
              <w:jc w:val="left"/>
            </w:pPr>
            <w:r>
              <w:rPr>
                <w:sz w:val="20"/>
                <w:szCs w:val="20"/>
              </w:rPr>
              <w:t xml:space="preserve">Dữ liệu huấn luyện</w:t>
            </w:r>
          </w:p>
        </w:tc>
        <w:tc>
          <w:tcPr>
            <w:tcW w:type="dxa" w:w="3479"/>
            <w:vAlign w:val="center"/>
          </w:tcPr>
          <w:p>
            <w:pPr>
              <w:spacing w:before="20" w:after="20" w:line="260" w:lineRule="auto"/>
              <w:ind w:firstLine="0"/>
              <w:jc w:val="left"/>
            </w:pPr>
            <w:r>
              <w:rPr>
                <w:sz w:val="20"/>
                <w:szCs w:val="20"/>
              </w:rPr>
              <w:t xml:space="preserve">Toàn bộ dữ liệu trước cửa sổ (2.575.452–2.632.476 dòng; 2.660.988 dòng cho tập kiểm tra cuối)</w:t>
            </w:r>
          </w:p>
        </w:tc>
        <w:tc>
          <w:tcPr>
            <w:tcW w:type="dxa" w:w="3041"/>
            <w:vAlign w:val="center"/>
          </w:tcPr>
          <w:p>
            <w:pPr>
              <w:spacing w:before="20" w:after="20" w:line="260" w:lineRule="auto"/>
              <w:ind w:firstLine="0"/>
              <w:jc w:val="left"/>
            </w:pPr>
            <w:r>
              <w:rPr>
                <w:sz w:val="20"/>
                <w:szCs w:val="20"/>
              </w:rPr>
              <w:t xml:space="preserve">Như XGBoost</w:t>
            </w:r>
          </w:p>
        </w:tc>
      </w:tr>
      <w:tr>
        <w:trPr>
          <w:cantSplit/>
        </w:trPr>
        <w:tc>
          <w:tcPr>
            <w:tcW w:type="dxa" w:w="2551"/>
            <w:vAlign w:val="center"/>
          </w:tcPr>
          <w:p>
            <w:pPr>
              <w:spacing w:before="20" w:after="20" w:line="260" w:lineRule="auto"/>
              <w:ind w:firstLine="0"/>
              <w:jc w:val="left"/>
            </w:pPr>
            <w:r>
              <w:rPr>
                <w:sz w:val="20"/>
                <w:szCs w:val="20"/>
              </w:rPr>
              <w:t xml:space="preserve">Lấy mẫu dòng</w:t>
            </w:r>
          </w:p>
        </w:tc>
        <w:tc>
          <w:tcPr>
            <w:tcW w:type="dxa" w:w="3479"/>
            <w:vAlign w:val="center"/>
          </w:tcPr>
          <w:p>
            <w:pPr>
              <w:spacing w:before="20" w:after="20" w:line="260" w:lineRule="auto"/>
              <w:ind w:firstLine="0"/>
              <w:jc w:val="left"/>
            </w:pPr>
            <w:r>
              <w:rPr>
                <w:sz w:val="20"/>
                <w:szCs w:val="20"/>
              </w:rPr>
              <w:t xml:space="preserve">subsample = 0,8</w:t>
            </w:r>
          </w:p>
        </w:tc>
        <w:tc>
          <w:tcPr>
            <w:tcW w:type="dxa" w:w="3041"/>
            <w:vAlign w:val="center"/>
          </w:tcPr>
          <w:p>
            <w:pPr>
              <w:spacing w:before="20" w:after="20" w:line="260" w:lineRule="auto"/>
              <w:ind w:firstLine="0"/>
              <w:jc w:val="left"/>
            </w:pPr>
            <w:r>
              <w:rPr>
                <w:sz w:val="20"/>
                <w:szCs w:val="20"/>
              </w:rPr>
              <w:t xml:space="preserve">subsample = 0,85; subsample_freq = 1</w:t>
            </w:r>
          </w:p>
        </w:tc>
      </w:tr>
      <w:tr>
        <w:trPr>
          <w:cantSplit/>
        </w:trPr>
        <w:tc>
          <w:tcPr>
            <w:tcW w:type="dxa" w:w="2551"/>
            <w:vAlign w:val="center"/>
          </w:tcPr>
          <w:p>
            <w:pPr>
              <w:spacing w:before="20" w:after="20" w:line="260" w:lineRule="auto"/>
              <w:ind w:firstLine="0"/>
              <w:jc w:val="left"/>
            </w:pPr>
            <w:r>
              <w:rPr>
                <w:sz w:val="20"/>
                <w:szCs w:val="20"/>
              </w:rPr>
              <w:t xml:space="preserve">Cấu hình chính</w:t>
            </w:r>
          </w:p>
        </w:tc>
        <w:tc>
          <w:tcPr>
            <w:tcW w:type="dxa" w:w="3479"/>
            <w:vAlign w:val="center"/>
          </w:tcPr>
          <w:p>
            <w:pPr>
              <w:spacing w:before="20" w:after="20" w:line="260" w:lineRule="auto"/>
              <w:ind w:firstLine="0"/>
              <w:jc w:val="left"/>
            </w:pPr>
            <w:r>
              <w:rPr>
                <w:sz w:val="20"/>
                <w:szCs w:val="20"/>
              </w:rPr>
              <w:t xml:space="preserve">450 cây; max_depth = 8; learning_rate = 0,05; colsample_bytree = 0,8; tree_method = hist</w:t>
            </w:r>
          </w:p>
        </w:tc>
        <w:tc>
          <w:tcPr>
            <w:tcW w:type="dxa" w:w="3041"/>
            <w:vAlign w:val="center"/>
          </w:tcPr>
          <w:p>
            <w:pPr>
              <w:spacing w:before="20" w:after="20" w:line="260" w:lineRule="auto"/>
              <w:ind w:firstLine="0"/>
              <w:jc w:val="left"/>
            </w:pPr>
            <w:r>
              <w:rPr>
                <w:sz w:val="20"/>
                <w:szCs w:val="20"/>
              </w:rPr>
              <w:t xml:space="preserve">450 cây; num_leaves = 63; learning_rate = 0,05; colsample_bytree = 0,85</w:t>
            </w:r>
          </w:p>
        </w:tc>
      </w:tr>
      <w:tr>
        <w:trPr>
          <w:cantSplit/>
        </w:trPr>
        <w:tc>
          <w:tcPr>
            <w:tcW w:type="dxa" w:w="2551"/>
            <w:vAlign w:val="center"/>
          </w:tcPr>
          <w:p>
            <w:pPr>
              <w:spacing w:before="20" w:after="20" w:line="260" w:lineRule="auto"/>
              <w:ind w:firstLine="0"/>
              <w:jc w:val="left"/>
            </w:pPr>
            <w:r>
              <w:rPr>
                <w:sz w:val="20"/>
                <w:szCs w:val="20"/>
              </w:rPr>
              <w:t xml:space="preserve">Mức độ quan trọng đặc trưng (chẩn đoán)</w:t>
            </w:r>
          </w:p>
        </w:tc>
        <w:tc>
          <w:tcPr>
            <w:tcW w:type="dxa" w:w="3479"/>
            <w:vAlign w:val="center"/>
          </w:tcPr>
          <w:p>
            <w:pPr>
              <w:spacing w:before="20" w:after="20" w:line="260" w:lineRule="auto"/>
              <w:ind w:firstLine="0"/>
              <w:jc w:val="left"/>
            </w:pPr>
            <w:r>
              <w:rPr>
                <w:sz w:val="20"/>
                <w:szCs w:val="20"/>
              </w:rPr>
              <w:t xml:space="preserve">Theo gain: lag_21 36,09%; roll_mean_7 34,77%</w:t>
            </w:r>
          </w:p>
        </w:tc>
        <w:tc>
          <w:tcPr>
            <w:tcW w:type="dxa" w:w="3041"/>
            <w:vAlign w:val="center"/>
          </w:tcPr>
          <w:p>
            <w:pPr>
              <w:spacing w:before="20" w:after="20" w:line="260" w:lineRule="auto"/>
              <w:ind w:firstLine="0"/>
              <w:jc w:val="left"/>
            </w:pPr>
            <w:r>
              <w:rPr>
                <w:sz w:val="20"/>
                <w:szCs w:val="20"/>
              </w:rPr>
              <w:t xml:space="preserve">Theo số lần tách: oil_price_lag16 2.996; day 2.746</w:t>
            </w:r>
          </w:p>
        </w:tc>
      </w:tr>
    </w:tbl>
    <w:p>
      <w:pPr>
        <w:spacing w:before="40" w:after="160"/>
        <w:ind w:firstLine="0"/>
      </w:pPr>
      <w:r>
        <w:rPr>
          <w:i/>
          <w:sz w:val="22"/>
          <w:szCs w:val="22"/>
        </w:rPr>
        <w:t xml:space="preserve">Nguồn: 05_model_cv_summary.csv, 06_rolling_cv_metrics.csv, 07_final_holdout_metrics.csv, 09_feature_importance.csv (LightGBM, số lần tách), selected_model_feature_importance.csv (XGBoost, gain) và mã nguồn 04_train_compare_5_models.py của lần chạy chính thức; tổng hợp của tác giả.</w:t>
      </w:r>
    </w:p>
    <w:p>
      <w:pPr>
        <w:keepLines w:val="0"/>
        <w:spacing w:after="120"/>
        <w:ind w:firstLine="567"/>
      </w:pPr>
      <w:r>
        <w:t xml:space="preserve">Trên tập kiểm tra cuối, bức tranh gần như cân bằng: XGBoost có WAPE 14,327% và MAE 66,927, thấp hơn LightGBM (14,868% và 69,453), nhưng LightGBM có RMSE thấp hơn rất ít (225,479 so với 225,602). RMSE nhạy với sai lệch lớn (Hyndman và Athanasopoulos, 2021), và tứ phân vị nhu cầu cao nhất, chiếm 92,70% tổng doanh số, có RMSE 449,231 với XGBoost, nên RMSE toàn cục chủ yếu phản ánh sai lệch ở các chuỗi lớn. Mức chênh khoảng 0,123 đơn vị quá nhỏ để rút ra nhận định về khả năng kiểm soát sai lệch cực đoan của từng mô hình. XGBoost cũng có sMAPE và RMSLE thấp hơn LightGBM ở cả kiểm định chéo và tập kiểm tra cuối. Nếu doanh nghiệp đặt nặng việc tránh sai lệch rất lớn ở chuỗi chủ lực, RMSE hoặc một hàm chi phí bất đối xứng sẽ phù hợp hơn; quy tắc chọn theo WAPE là lựa chọn định trước, không phải lựa chọn duy nhất đúng.</w:t>
      </w:r>
    </w:p>
    <w:p>
      <w:pPr>
        <w:pStyle w:val="Heading3"/>
        <w:keepNext/>
      </w:pPr>
      <w:r>
        <w:t xml:space="preserve">5.2.2. Điều kiện so sánh đồng nhất nhưng cấu hình chưa tối ưu</w:t>
      </w:r>
    </w:p>
    <w:p>
      <w:pPr>
        <w:keepLines w:val="0"/>
        <w:spacing w:after="120"/>
        <w:ind w:firstLine="567"/>
      </w:pPr>
      <w:r>
        <w:t xml:space="preserve">Thiết kế thực nghiệm đặt hai thuật toán tăng cường trong cùng điều kiện dữ liệu: cả XGBoost và LightGBM học trên toàn bộ dữ liệu huấn luyện của từng cửa sổ, tree_method = hist được đặt tường minh cho XGBoost, và LightGBM có subsample_freq = 1 để subsample = 0,85 thực sự có hiệu lực. Lý do là nếu một mô hình học trên mẫu con còn mô hình kia học trên toàn bộ dữ liệu, chênh lệch sai số sẽ lẫn giữa khác biệt thuật toán và khác biệt cỡ mẫu, mà thí nghiệm độ nhạy ở mục 5.1.3 cho thấy riêng cỡ mẫu đã làm WAPE trung bình của XGBoost thay đổi 0,169 điểm phần trăm. Thời gian huấn luyện vì vậy so sánh được trên cùng môi trường 2 CPU: LightGBM cần trung bình 43,02 giây mỗi lần, bằng khoảng 0,66 lần 65,34 giây của XGBoost. Random Forest, với 612,65 giây trên mẫu chỉ 600.000 dòng, chậm hơn XGBoost khoảng 9,38 lần; đây là lý do chi phí khiến giới hạn số dòng được giữ riêng cho Random Forest và là thông tin có giá trị khi cân nhắc chu kỳ tái huấn luyện.</w:t>
      </w:r>
    </w:p>
    <w:p>
      <w:pPr>
        <w:keepLines w:val="0"/>
        <w:spacing w:after="120"/>
        <w:ind w:firstLine="567"/>
      </w:pPr>
      <w:r>
        <w:t xml:space="preserve">Sự đồng nhất này mới ở mức dữ liệu và cơ chế lấy mẫu, chưa ở mức cấu hình. Không mô hình nào được tinh chỉnh siêu tham số; các giá trị như max_depth = 8 hay num_leaves = 63 là lựa chọn của tác giả, không phải khuyến nghị của Chen và Guestrin (2016) hay Ke và cộng sự (2017). Kết luận chính xác nhất vì vậy là: với cấu hình và tập đặc trưng đã chọn, XGBoost có WAPE thấp nhất ở cả ba lần kiểm định và trên tập kiểm tra cuối; kết luận này không mở rộng thành nhận định XGBoost vượt trội LightGBM nói chung. Mức độ quan trọng đặc trưng của hai mô hình cũng được đo theo hai cách khác nhau: XGBoost theo gain, với lag_21 và roll_mean_7 chiếm phần lớn tổng gain, LightGBM theo số lần tách, với oil_price_lag16 và day đứng đầu. Số lần tách ưu ái biến có nhiều giá trị khác nhau, nên khác biệt giữa hai bảng không mang nghĩa nhân quả; cả hai chỉ là chẩn đoán dự báo.</w:t>
      </w:r>
    </w:p>
    <w:p>
      <w:pPr>
        <w:pStyle w:val="Heading3"/>
        <w:keepNext/>
      </w:pPr>
      <w:r>
        <w:t xml:space="preserve">5.2.3. Từ thứ hạng sang cơ chế mô hình chính – mô hình thách thức</w:t>
      </w:r>
    </w:p>
    <w:p>
      <w:pPr>
        <w:keepLines w:val="0"/>
        <w:spacing w:after="120"/>
        <w:ind w:firstLine="567"/>
      </w:pPr>
      <w:r>
        <w:t xml:space="preserve">Khoảng cách nhỏ và cấu hình chưa tinh chỉnh cùng dẫn tới một hàm ý quản trị: không nên cố định tên một thuật toán trong chính sách vận hành. Cơ chế mô hình chính – mô hình thách thức (champion–challenger) chuyển hóa kết quả thành quy trình kiểm soát: XGBoost tạo dự báo chính thức, LightGBM chạy song song nhưng không tác động trực tiếp đến quyết định. Theo chu kỳ định trước, hai mô hình được đánh giá trên các cửa sổ mới với cùng bộ tiêu chí, gồm WAPE, RMSE, độ chệch có dấu và thời gian huấn luyện; chỉ khi mô hình thách thức vượt mô hình chính trên nhiều cửa sổ liên tiếp thì mới thay thế, tránh đổi mô hình vì một cửa sổ ngắn thuận lợi. Với thời gian huấn luyện thấp hơn, LightGBM còn là phương án dự phòng hợp lý khi chu kỳ tái huấn luyện bị rút ngắn.</w:t>
      </w:r>
    </w:p>
    <w:p>
      <w:pPr>
        <w:keepLines w:val="0"/>
        <w:spacing w:after="120"/>
        <w:ind w:firstLine="567"/>
      </w:pPr>
      <w:r>
        <w:t xml:space="preserve">Để cơ chế này có ý nghĩa, điều kiện so sánh phải được đồng nhất hóa và mọi thay đổi phải được tách tác động. Thí nghiệm độ nhạy cho thấy cùng một mô hình có thể đổi WAPE chỉ vì quy mô dữ liệu huấn luyện, nên hồ sơ của mỗi mô hình đưa vào vận hành cần ghi cỡ mẫu, cấu hình thực tế đã kiểm tra hiệu lực, phiên bản thư viện và kết quả thí nghiệm độ nhạy, theo ý tưởng thẻ mô hình (Mitchell và cộng sự, 2019). Lần chạy chính thức đã lưu kết quả từng lần kiểm định, số dòng huấn luyện, kết quả tập kiểm tra cuối và tên mô hình được chọn; quy tắc chọn theo WAPE trung bình, hòa theo RMSE rồi MAE, và tập kiểm tra cuối không tham gia lựa chọn. Cùng với khả năng chạy lại toàn bộ quy trình từ train.csv bằng START_WINDOWS.bat và bộ kiểm thử tự động (mục 3.14), đây là nền tảng tối thiểu để vận hành cơ chế champion–challenger có kiểm soát.</w:t>
      </w:r>
    </w:p>
    <w:p>
      <w:pPr>
        <w:pStyle w:val="Heading2"/>
        <w:keepNext/>
      </w:pPr>
      <w:r>
        <w:t xml:space="preserve">5.3. Khoảng dự báo Mondrian: thích ứng theo quy mô nhưng bao phủ tổng vẫn dưới danh nghĩa</w:t>
      </w:r>
    </w:p>
    <w:p>
      <w:pPr>
        <w:pStyle w:val="Heading3"/>
        <w:keepNext/>
      </w:pPr>
      <w:r>
        <w:t xml:space="preserve">5.3.1. Khoảng thích ứng theo nhóm quy mô dự báo</w:t>
      </w:r>
    </w:p>
    <w:p>
      <w:pPr>
        <w:keepLines w:val="0"/>
        <w:spacing w:after="120"/>
        <w:ind w:firstLine="567"/>
      </w:pPr>
      <w:r>
        <w:t xml:space="preserve">Lớp dự báo xác suất dùng khoảng phần dư split-conformal theo nhóm (Mondrian). Lý do của thiết kế này là nếu dùng một bộ phân vị phần dư chung cho mọi chuỗi thì độ rộng khoảng gần như bằng nhau bất kể quy mô: quá rộng cho hàng nghìn chuỗi nhỏ và quá hẹp cho các chuỗi lớn, trong khi sai số tuyệt đối của doanh số bán lẻ tăng theo mức nhu cầu. Trong thiết kế Mondrian, cửa sổ hiệu chỉnh được chia theo phân vị của dự báo điểm, phân vị 0,1, 0,5 và 0,9 của phần dư được lấy riêng trong từng nhóm, và mỗi dòng kiểm tra nhận phân vị của nhóm chứa dự báo điểm của nó; vì dự báo điểm đã biết tại thời điểm dự báo, việc gán nhóm không dùng thông tin tương lai. Thiết kế cho phép tối đa 10 nhóm nhưng lần chạy còn 9 nhóm, vì các biên phân vị trùng nhau ở vùng dự báo bằng 0 được gộp; độ rộng q90 − q10 tăng dần từ 4,22 ở nhóm thấp nhất tới 1.175,96 ở nhóm cao nhất. Bảng 5.2 trình bày độ bao phủ, tỷ lệ quan sát nằm ngoài khoảng và độ rộng theo tứ phân vị nhu cầu.</w:t>
      </w:r>
    </w:p>
    <w:p>
      <w:pPr>
        <w:keepNext/>
        <w:spacing w:before="120" w:after="60"/>
        <w:ind w:firstLine="0"/>
        <w:jc w:val="center"/>
      </w:pPr>
      <w:r>
        <w:t xml:space="preserve">Bảng 5.2. Độ bao phủ, tỷ lệ nằm ngoài khoảng và độ rộng khoảng P10–P90 theo mức nhu cầu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249"/>
        <w:gridCol w:w="1304"/>
        <w:gridCol w:w="1065"/>
        <w:gridCol w:w="1065"/>
        <w:gridCol w:w="1065"/>
        <w:gridCol w:w="1065"/>
        <w:gridCol w:w="1065"/>
        <w:gridCol w:w="1193"/>
      </w:tblGrid>
      <w:tr>
        <w:trPr>
          <w:tblHeader/>
          <w:cantSplit/>
        </w:trPr>
        <w:tc>
          <w:tcPr>
            <w:tcW w:type="dxa" w:w="1249"/>
            <w:shd w:val="clear" w:color="auto" w:fill="D9E2F3"/>
            <w:vAlign w:val="center"/>
          </w:tcPr>
          <w:p>
            <w:pPr>
              <w:spacing w:before="20" w:after="20" w:line="260" w:lineRule="auto"/>
              <w:ind w:firstLine="0"/>
              <w:jc w:val="center"/>
            </w:pPr>
            <w:r>
              <w:rPr>
                <w:b/>
                <w:sz w:val="20"/>
                <w:szCs w:val="20"/>
              </w:rPr>
              <w:t xml:space="preserve">Mức nhu cầu</w:t>
            </w:r>
          </w:p>
        </w:tc>
        <w:tc>
          <w:tcPr>
            <w:tcW w:type="dxa" w:w="1304"/>
            <w:shd w:val="clear" w:color="auto" w:fill="D9E2F3"/>
            <w:vAlign w:val="center"/>
          </w:tcPr>
          <w:p>
            <w:pPr>
              <w:spacing w:before="20" w:after="20" w:line="260" w:lineRule="auto"/>
              <w:ind w:firstLine="0"/>
              <w:jc w:val="center"/>
            </w:pPr>
            <w:r>
              <w:rPr>
                <w:b/>
                <w:sz w:val="20"/>
                <w:szCs w:val="20"/>
              </w:rPr>
              <w:t xml:space="preserve">Tổng thực tế</w:t>
            </w:r>
          </w:p>
        </w:tc>
        <w:tc>
          <w:tcPr>
            <w:tcW w:type="dxa" w:w="1065"/>
            <w:shd w:val="clear" w:color="auto" w:fill="D9E2F3"/>
            <w:vAlign w:val="center"/>
          </w:tcPr>
          <w:p>
            <w:pPr>
              <w:spacing w:before="20" w:after="20" w:line="260" w:lineRule="auto"/>
              <w:ind w:firstLine="0"/>
              <w:jc w:val="center"/>
            </w:pPr>
            <w:r>
              <w:rPr>
                <w:b/>
                <w:sz w:val="20"/>
                <w:szCs w:val="20"/>
              </w:rPr>
              <w:t xml:space="preserve">MAE</w:t>
            </w:r>
          </w:p>
        </w:tc>
        <w:tc>
          <w:tcPr>
            <w:tcW w:type="dxa" w:w="1065"/>
            <w:shd w:val="clear" w:color="auto" w:fill="D9E2F3"/>
            <w:vAlign w:val="center"/>
          </w:tcPr>
          <w:p>
            <w:pPr>
              <w:spacing w:before="20" w:after="20" w:line="260" w:lineRule="auto"/>
              <w:ind w:firstLine="0"/>
              <w:jc w:val="center"/>
            </w:pPr>
            <w:r>
              <w:rPr>
                <w:b/>
                <w:sz w:val="20"/>
                <w:szCs w:val="20"/>
              </w:rPr>
              <w:t xml:space="preserve">Bias</w:t>
            </w:r>
          </w:p>
        </w:tc>
        <w:tc>
          <w:tcPr>
            <w:tcW w:type="dxa" w:w="1065"/>
            <w:shd w:val="clear" w:color="auto" w:fill="D9E2F3"/>
            <w:vAlign w:val="center"/>
          </w:tcPr>
          <w:p>
            <w:pPr>
              <w:spacing w:before="20" w:after="20" w:line="260" w:lineRule="auto"/>
              <w:ind w:firstLine="0"/>
              <w:jc w:val="center"/>
            </w:pPr>
            <w:r>
              <w:rPr>
                <w:b/>
                <w:sz w:val="20"/>
                <w:szCs w:val="20"/>
              </w:rPr>
              <w:t xml:space="preserve">Bao phủ</w:t>
            </w:r>
          </w:p>
        </w:tc>
        <w:tc>
          <w:tcPr>
            <w:tcW w:type="dxa" w:w="1065"/>
            <w:shd w:val="clear" w:color="auto" w:fill="D9E2F3"/>
            <w:vAlign w:val="center"/>
          </w:tcPr>
          <w:p>
            <w:pPr>
              <w:spacing w:before="20" w:after="20" w:line="260" w:lineRule="auto"/>
              <w:ind w:firstLine="0"/>
              <w:jc w:val="center"/>
            </w:pPr>
            <w:r>
              <w:rPr>
                <w:b/>
                <w:sz w:val="20"/>
                <w:szCs w:val="20"/>
              </w:rPr>
              <w:t xml:space="preserve">Dưới P10</w:t>
            </w:r>
          </w:p>
        </w:tc>
        <w:tc>
          <w:tcPr>
            <w:tcW w:type="dxa" w:w="1065"/>
            <w:shd w:val="clear" w:color="auto" w:fill="D9E2F3"/>
            <w:vAlign w:val="center"/>
          </w:tcPr>
          <w:p>
            <w:pPr>
              <w:spacing w:before="20" w:after="20" w:line="260" w:lineRule="auto"/>
              <w:ind w:firstLine="0"/>
              <w:jc w:val="center"/>
            </w:pPr>
            <w:r>
              <w:rPr>
                <w:b/>
                <w:sz w:val="20"/>
                <w:szCs w:val="20"/>
              </w:rPr>
              <w:t xml:space="preserve">Trên P90</w:t>
            </w:r>
          </w:p>
        </w:tc>
        <w:tc>
          <w:tcPr>
            <w:tcW w:type="dxa" w:w="1193"/>
            <w:shd w:val="clear" w:color="auto" w:fill="D9E2F3"/>
            <w:vAlign w:val="center"/>
          </w:tcPr>
          <w:p>
            <w:pPr>
              <w:spacing w:before="20" w:after="20" w:line="260" w:lineRule="auto"/>
              <w:ind w:firstLine="0"/>
              <w:jc w:val="center"/>
            </w:pPr>
            <w:r>
              <w:rPr>
                <w:b/>
                <w:sz w:val="20"/>
                <w:szCs w:val="20"/>
              </w:rPr>
              <w:t xml:space="preserve">Độ rộng TB</w:t>
            </w:r>
          </w:p>
        </w:tc>
      </w:tr>
      <w:tr>
        <w:trPr>
          <w:cantSplit/>
        </w:trPr>
        <w:tc>
          <w:tcPr>
            <w:tcW w:type="dxa" w:w="1249"/>
            <w:vAlign w:val="center"/>
          </w:tcPr>
          <w:p>
            <w:pPr>
              <w:spacing w:before="20" w:after="20" w:line="260" w:lineRule="auto"/>
              <w:ind w:firstLine="0"/>
              <w:jc w:val="left"/>
            </w:pPr>
            <w:r>
              <w:rPr>
                <w:sz w:val="20"/>
                <w:szCs w:val="20"/>
              </w:rPr>
              <w:t xml:space="preserve">Q1 thấp</w:t>
            </w:r>
          </w:p>
        </w:tc>
        <w:tc>
          <w:tcPr>
            <w:tcW w:type="dxa" w:w="1304"/>
            <w:vAlign w:val="center"/>
          </w:tcPr>
          <w:p>
            <w:pPr>
              <w:spacing w:before="20" w:after="20" w:line="260" w:lineRule="auto"/>
              <w:ind w:firstLine="0"/>
              <w:jc w:val="center"/>
            </w:pPr>
            <w:r>
              <w:rPr>
                <w:sz w:val="20"/>
                <w:szCs w:val="20"/>
              </w:rPr>
              <w:t xml:space="preserve">5.818</w:t>
            </w:r>
          </w:p>
        </w:tc>
        <w:tc>
          <w:tcPr>
            <w:tcW w:type="dxa" w:w="1065"/>
            <w:vAlign w:val="center"/>
          </w:tcPr>
          <w:p>
            <w:pPr>
              <w:spacing w:before="20" w:after="20" w:line="260" w:lineRule="auto"/>
              <w:ind w:firstLine="0"/>
              <w:jc w:val="center"/>
            </w:pPr>
            <w:r>
              <w:rPr>
                <w:sz w:val="20"/>
                <w:szCs w:val="20"/>
              </w:rPr>
              <w:t xml:space="preserve">1,715</w:t>
            </w:r>
          </w:p>
        </w:tc>
        <w:tc>
          <w:tcPr>
            <w:tcW w:type="dxa" w:w="1065"/>
            <w:vAlign w:val="center"/>
          </w:tcPr>
          <w:p>
            <w:pPr>
              <w:spacing w:before="20" w:after="20" w:line="260" w:lineRule="auto"/>
              <w:ind w:firstLine="0"/>
              <w:jc w:val="center"/>
            </w:pPr>
            <w:r>
              <w:rPr>
                <w:sz w:val="20"/>
                <w:szCs w:val="20"/>
              </w:rPr>
              <w:t xml:space="preserve">−1,231</w:t>
            </w:r>
          </w:p>
        </w:tc>
        <w:tc>
          <w:tcPr>
            <w:tcW w:type="dxa" w:w="1065"/>
            <w:vAlign w:val="center"/>
          </w:tcPr>
          <w:p>
            <w:pPr>
              <w:spacing w:before="20" w:after="20" w:line="260" w:lineRule="auto"/>
              <w:ind w:firstLine="0"/>
              <w:jc w:val="center"/>
            </w:pPr>
            <w:r>
              <w:rPr>
                <w:sz w:val="20"/>
                <w:szCs w:val="20"/>
              </w:rPr>
              <w:t xml:space="preserve">70,86%</w:t>
            </w:r>
          </w:p>
        </w:tc>
        <w:tc>
          <w:tcPr>
            <w:tcW w:type="dxa" w:w="1065"/>
            <w:vAlign w:val="center"/>
          </w:tcPr>
          <w:p>
            <w:pPr>
              <w:spacing w:before="20" w:after="20" w:line="260" w:lineRule="auto"/>
              <w:ind w:firstLine="0"/>
              <w:jc w:val="center"/>
            </w:pPr>
            <w:r>
              <w:rPr>
                <w:sz w:val="20"/>
                <w:szCs w:val="20"/>
              </w:rPr>
              <w:t xml:space="preserve">29,04%</w:t>
            </w:r>
          </w:p>
        </w:tc>
        <w:tc>
          <w:tcPr>
            <w:tcW w:type="dxa" w:w="1065"/>
            <w:vAlign w:val="center"/>
          </w:tcPr>
          <w:p>
            <w:pPr>
              <w:spacing w:before="20" w:after="20" w:line="260" w:lineRule="auto"/>
              <w:ind w:firstLine="0"/>
              <w:jc w:val="center"/>
            </w:pPr>
            <w:r>
              <w:rPr>
                <w:sz w:val="20"/>
                <w:szCs w:val="20"/>
              </w:rPr>
              <w:t xml:space="preserve">0,10%</w:t>
            </w:r>
          </w:p>
        </w:tc>
        <w:tc>
          <w:tcPr>
            <w:tcW w:type="dxa" w:w="1193"/>
            <w:vAlign w:val="center"/>
          </w:tcPr>
          <w:p>
            <w:pPr>
              <w:spacing w:before="20" w:after="20" w:line="260" w:lineRule="auto"/>
              <w:ind w:firstLine="0"/>
              <w:jc w:val="center"/>
            </w:pPr>
            <w:r>
              <w:rPr>
                <w:sz w:val="20"/>
                <w:szCs w:val="20"/>
              </w:rPr>
              <w:t xml:space="preserve">7,597</w:t>
            </w:r>
          </w:p>
        </w:tc>
      </w:tr>
      <w:tr>
        <w:trPr>
          <w:cantSplit/>
        </w:trPr>
        <w:tc>
          <w:tcPr>
            <w:tcW w:type="dxa" w:w="1249"/>
            <w:vAlign w:val="center"/>
          </w:tcPr>
          <w:p>
            <w:pPr>
              <w:spacing w:before="20" w:after="20" w:line="260" w:lineRule="auto"/>
              <w:ind w:firstLine="0"/>
              <w:jc w:val="left"/>
            </w:pPr>
            <w:r>
              <w:rPr>
                <w:sz w:val="20"/>
                <w:szCs w:val="20"/>
              </w:rPr>
              <w:t xml:space="preserve">Q2</w:t>
            </w:r>
          </w:p>
        </w:tc>
        <w:tc>
          <w:tcPr>
            <w:tcW w:type="dxa" w:w="1304"/>
            <w:vAlign w:val="center"/>
          </w:tcPr>
          <w:p>
            <w:pPr>
              <w:spacing w:before="20" w:after="20" w:line="260" w:lineRule="auto"/>
              <w:ind w:firstLine="0"/>
              <w:jc w:val="center"/>
            </w:pPr>
            <w:r>
              <w:rPr>
                <w:sz w:val="20"/>
                <w:szCs w:val="20"/>
              </w:rPr>
              <w:t xml:space="preserve">91.761</w:t>
            </w:r>
          </w:p>
        </w:tc>
        <w:tc>
          <w:tcPr>
            <w:tcW w:type="dxa" w:w="1065"/>
            <w:vAlign w:val="center"/>
          </w:tcPr>
          <w:p>
            <w:pPr>
              <w:spacing w:before="20" w:after="20" w:line="260" w:lineRule="auto"/>
              <w:ind w:firstLine="0"/>
              <w:jc w:val="center"/>
            </w:pPr>
            <w:r>
              <w:rPr>
                <w:sz w:val="20"/>
                <w:szCs w:val="20"/>
              </w:rPr>
              <w:t xml:space="preserve">7,660</w:t>
            </w:r>
          </w:p>
        </w:tc>
        <w:tc>
          <w:tcPr>
            <w:tcW w:type="dxa" w:w="1065"/>
            <w:vAlign w:val="center"/>
          </w:tcPr>
          <w:p>
            <w:pPr>
              <w:spacing w:before="20" w:after="20" w:line="260" w:lineRule="auto"/>
              <w:ind w:firstLine="0"/>
              <w:jc w:val="center"/>
            </w:pPr>
            <w:r>
              <w:rPr>
                <w:sz w:val="20"/>
                <w:szCs w:val="20"/>
              </w:rPr>
              <w:t xml:space="preserve">−2,002</w:t>
            </w:r>
          </w:p>
        </w:tc>
        <w:tc>
          <w:tcPr>
            <w:tcW w:type="dxa" w:w="1065"/>
            <w:vAlign w:val="center"/>
          </w:tcPr>
          <w:p>
            <w:pPr>
              <w:spacing w:before="20" w:after="20" w:line="260" w:lineRule="auto"/>
              <w:ind w:firstLine="0"/>
              <w:jc w:val="center"/>
            </w:pPr>
            <w:r>
              <w:rPr>
                <w:sz w:val="20"/>
                <w:szCs w:val="20"/>
              </w:rPr>
              <w:t xml:space="preserve">81,90%</w:t>
            </w:r>
          </w:p>
        </w:tc>
        <w:tc>
          <w:tcPr>
            <w:tcW w:type="dxa" w:w="1065"/>
            <w:vAlign w:val="center"/>
          </w:tcPr>
          <w:p>
            <w:pPr>
              <w:spacing w:before="20" w:after="20" w:line="260" w:lineRule="auto"/>
              <w:ind w:firstLine="0"/>
              <w:jc w:val="center"/>
            </w:pPr>
            <w:r>
              <w:rPr>
                <w:sz w:val="20"/>
                <w:szCs w:val="20"/>
              </w:rPr>
              <w:t xml:space="preserve">9,23%</w:t>
            </w:r>
          </w:p>
        </w:tc>
        <w:tc>
          <w:tcPr>
            <w:tcW w:type="dxa" w:w="1065"/>
            <w:vAlign w:val="center"/>
          </w:tcPr>
          <w:p>
            <w:pPr>
              <w:spacing w:before="20" w:after="20" w:line="260" w:lineRule="auto"/>
              <w:ind w:firstLine="0"/>
              <w:jc w:val="center"/>
            </w:pPr>
            <w:r>
              <w:rPr>
                <w:sz w:val="20"/>
                <w:szCs w:val="20"/>
              </w:rPr>
              <w:t xml:space="preserve">8,87%</w:t>
            </w:r>
          </w:p>
        </w:tc>
        <w:tc>
          <w:tcPr>
            <w:tcW w:type="dxa" w:w="1193"/>
            <w:vAlign w:val="center"/>
          </w:tcPr>
          <w:p>
            <w:pPr>
              <w:spacing w:before="20" w:after="20" w:line="260" w:lineRule="auto"/>
              <w:ind w:firstLine="0"/>
              <w:jc w:val="center"/>
            </w:pPr>
            <w:r>
              <w:rPr>
                <w:sz w:val="20"/>
                <w:szCs w:val="20"/>
              </w:rPr>
              <w:t xml:space="preserve">21,637</w:t>
            </w:r>
          </w:p>
        </w:tc>
      </w:tr>
      <w:tr>
        <w:trPr>
          <w:cantSplit/>
        </w:trPr>
        <w:tc>
          <w:tcPr>
            <w:tcW w:type="dxa" w:w="1249"/>
            <w:vAlign w:val="center"/>
          </w:tcPr>
          <w:p>
            <w:pPr>
              <w:spacing w:before="20" w:after="20" w:line="260" w:lineRule="auto"/>
              <w:ind w:firstLine="0"/>
              <w:jc w:val="left"/>
            </w:pPr>
            <w:r>
              <w:rPr>
                <w:sz w:val="20"/>
                <w:szCs w:val="20"/>
              </w:rPr>
              <w:t xml:space="preserve">Q3</w:t>
            </w:r>
          </w:p>
        </w:tc>
        <w:tc>
          <w:tcPr>
            <w:tcW w:type="dxa" w:w="1304"/>
            <w:vAlign w:val="center"/>
          </w:tcPr>
          <w:p>
            <w:pPr>
              <w:spacing w:before="20" w:after="20" w:line="260" w:lineRule="auto"/>
              <w:ind w:firstLine="0"/>
              <w:jc w:val="center"/>
            </w:pPr>
            <w:r>
              <w:rPr>
                <w:sz w:val="20"/>
                <w:szCs w:val="20"/>
              </w:rPr>
              <w:t xml:space="preserve">875.101</w:t>
            </w:r>
          </w:p>
        </w:tc>
        <w:tc>
          <w:tcPr>
            <w:tcW w:type="dxa" w:w="1065"/>
            <w:vAlign w:val="center"/>
          </w:tcPr>
          <w:p>
            <w:pPr>
              <w:spacing w:before="20" w:after="20" w:line="260" w:lineRule="auto"/>
              <w:ind w:firstLine="0"/>
              <w:jc w:val="center"/>
            </w:pPr>
            <w:r>
              <w:rPr>
                <w:sz w:val="20"/>
                <w:szCs w:val="20"/>
              </w:rPr>
              <w:t xml:space="preserve">26,391</w:t>
            </w:r>
          </w:p>
        </w:tc>
        <w:tc>
          <w:tcPr>
            <w:tcW w:type="dxa" w:w="1065"/>
            <w:vAlign w:val="center"/>
          </w:tcPr>
          <w:p>
            <w:pPr>
              <w:spacing w:before="20" w:after="20" w:line="260" w:lineRule="auto"/>
              <w:ind w:firstLine="0"/>
              <w:jc w:val="center"/>
            </w:pPr>
            <w:r>
              <w:rPr>
                <w:sz w:val="20"/>
                <w:szCs w:val="20"/>
              </w:rPr>
              <w:t xml:space="preserve">−7,226</w:t>
            </w:r>
          </w:p>
        </w:tc>
        <w:tc>
          <w:tcPr>
            <w:tcW w:type="dxa" w:w="1065"/>
            <w:vAlign w:val="center"/>
          </w:tcPr>
          <w:p>
            <w:pPr>
              <w:spacing w:before="20" w:after="20" w:line="260" w:lineRule="auto"/>
              <w:ind w:firstLine="0"/>
              <w:jc w:val="center"/>
            </w:pPr>
            <w:r>
              <w:rPr>
                <w:sz w:val="20"/>
                <w:szCs w:val="20"/>
              </w:rPr>
              <w:t xml:space="preserve">76,05%</w:t>
            </w:r>
          </w:p>
        </w:tc>
        <w:tc>
          <w:tcPr>
            <w:tcW w:type="dxa" w:w="1065"/>
            <w:vAlign w:val="center"/>
          </w:tcPr>
          <w:p>
            <w:pPr>
              <w:spacing w:before="20" w:after="20" w:line="260" w:lineRule="auto"/>
              <w:ind w:firstLine="0"/>
              <w:jc w:val="center"/>
            </w:pPr>
            <w:r>
              <w:rPr>
                <w:sz w:val="20"/>
                <w:szCs w:val="20"/>
              </w:rPr>
              <w:t xml:space="preserve">13,31%</w:t>
            </w:r>
          </w:p>
        </w:tc>
        <w:tc>
          <w:tcPr>
            <w:tcW w:type="dxa" w:w="1065"/>
            <w:vAlign w:val="center"/>
          </w:tcPr>
          <w:p>
            <w:pPr>
              <w:spacing w:before="20" w:after="20" w:line="260" w:lineRule="auto"/>
              <w:ind w:firstLine="0"/>
              <w:jc w:val="center"/>
            </w:pPr>
            <w:r>
              <w:rPr>
                <w:sz w:val="20"/>
                <w:szCs w:val="20"/>
              </w:rPr>
              <w:t xml:space="preserve">10,63%</w:t>
            </w:r>
          </w:p>
        </w:tc>
        <w:tc>
          <w:tcPr>
            <w:tcW w:type="dxa" w:w="1193"/>
            <w:vAlign w:val="center"/>
          </w:tcPr>
          <w:p>
            <w:pPr>
              <w:spacing w:before="20" w:after="20" w:line="260" w:lineRule="auto"/>
              <w:ind w:firstLine="0"/>
              <w:jc w:val="center"/>
            </w:pPr>
            <w:r>
              <w:rPr>
                <w:sz w:val="20"/>
                <w:szCs w:val="20"/>
              </w:rPr>
              <w:t xml:space="preserve">77,153</w:t>
            </w:r>
          </w:p>
        </w:tc>
      </w:tr>
      <w:tr>
        <w:trPr>
          <w:cantSplit/>
        </w:trPr>
        <w:tc>
          <w:tcPr>
            <w:tcW w:type="dxa" w:w="1249"/>
            <w:vAlign w:val="center"/>
          </w:tcPr>
          <w:p>
            <w:pPr>
              <w:spacing w:before="20" w:after="20" w:line="260" w:lineRule="auto"/>
              <w:ind w:firstLine="0"/>
              <w:jc w:val="left"/>
            </w:pPr>
            <w:r>
              <w:rPr>
                <w:sz w:val="20"/>
                <w:szCs w:val="20"/>
              </w:rPr>
              <w:t xml:space="preserve">Q4 cao</w:t>
            </w:r>
          </w:p>
        </w:tc>
        <w:tc>
          <w:tcPr>
            <w:tcW w:type="dxa" w:w="1304"/>
            <w:vAlign w:val="center"/>
          </w:tcPr>
          <w:p>
            <w:pPr>
              <w:spacing w:before="20" w:after="20" w:line="260" w:lineRule="auto"/>
              <w:ind w:firstLine="0"/>
              <w:jc w:val="center"/>
            </w:pPr>
            <w:r>
              <w:rPr>
                <w:sz w:val="20"/>
                <w:szCs w:val="20"/>
              </w:rPr>
              <w:t xml:space="preserve">12.346.500</w:t>
            </w:r>
          </w:p>
        </w:tc>
        <w:tc>
          <w:tcPr>
            <w:tcW w:type="dxa" w:w="1065"/>
            <w:vAlign w:val="center"/>
          </w:tcPr>
          <w:p>
            <w:pPr>
              <w:spacing w:before="20" w:after="20" w:line="260" w:lineRule="auto"/>
              <w:ind w:firstLine="0"/>
              <w:jc w:val="center"/>
            </w:pPr>
            <w:r>
              <w:rPr>
                <w:sz w:val="20"/>
                <w:szCs w:val="20"/>
              </w:rPr>
              <w:t xml:space="preserve">231,940</w:t>
            </w:r>
          </w:p>
        </w:tc>
        <w:tc>
          <w:tcPr>
            <w:tcW w:type="dxa" w:w="1065"/>
            <w:vAlign w:val="center"/>
          </w:tcPr>
          <w:p>
            <w:pPr>
              <w:spacing w:before="20" w:after="20" w:line="260" w:lineRule="auto"/>
              <w:ind w:firstLine="0"/>
              <w:jc w:val="center"/>
            </w:pPr>
            <w:r>
              <w:rPr>
                <w:sz w:val="20"/>
                <w:szCs w:val="20"/>
              </w:rPr>
              <w:t xml:space="preserve">−53,219</w:t>
            </w:r>
          </w:p>
        </w:tc>
        <w:tc>
          <w:tcPr>
            <w:tcW w:type="dxa" w:w="1065"/>
            <w:vAlign w:val="center"/>
          </w:tcPr>
          <w:p>
            <w:pPr>
              <w:spacing w:before="20" w:after="20" w:line="260" w:lineRule="auto"/>
              <w:ind w:firstLine="0"/>
              <w:jc w:val="center"/>
            </w:pPr>
            <w:r>
              <w:rPr>
                <w:sz w:val="20"/>
                <w:szCs w:val="20"/>
              </w:rPr>
              <w:t xml:space="preserve">72,77%</w:t>
            </w:r>
          </w:p>
        </w:tc>
        <w:tc>
          <w:tcPr>
            <w:tcW w:type="dxa" w:w="1065"/>
            <w:vAlign w:val="center"/>
          </w:tcPr>
          <w:p>
            <w:pPr>
              <w:spacing w:before="20" w:after="20" w:line="260" w:lineRule="auto"/>
              <w:ind w:firstLine="0"/>
              <w:jc w:val="center"/>
            </w:pPr>
            <w:r>
              <w:rPr>
                <w:sz w:val="20"/>
                <w:szCs w:val="20"/>
              </w:rPr>
              <w:t xml:space="preserve">17,83%</w:t>
            </w:r>
          </w:p>
        </w:tc>
        <w:tc>
          <w:tcPr>
            <w:tcW w:type="dxa" w:w="1065"/>
            <w:vAlign w:val="center"/>
          </w:tcPr>
          <w:p>
            <w:pPr>
              <w:spacing w:before="20" w:after="20" w:line="260" w:lineRule="auto"/>
              <w:ind w:firstLine="0"/>
              <w:jc w:val="center"/>
            </w:pPr>
            <w:r>
              <w:rPr>
                <w:sz w:val="20"/>
                <w:szCs w:val="20"/>
              </w:rPr>
              <w:t xml:space="preserve">9,40%</w:t>
            </w:r>
          </w:p>
        </w:tc>
        <w:tc>
          <w:tcPr>
            <w:tcW w:type="dxa" w:w="1193"/>
            <w:vAlign w:val="center"/>
          </w:tcPr>
          <w:p>
            <w:pPr>
              <w:spacing w:before="20" w:after="20" w:line="260" w:lineRule="auto"/>
              <w:ind w:firstLine="0"/>
              <w:jc w:val="center"/>
            </w:pPr>
            <w:r>
              <w:rPr>
                <w:sz w:val="20"/>
                <w:szCs w:val="20"/>
              </w:rPr>
              <w:t xml:space="preserve">618,842</w:t>
            </w:r>
          </w:p>
        </w:tc>
      </w:tr>
      <w:tr>
        <w:trPr>
          <w:cantSplit/>
        </w:trPr>
        <w:tc>
          <w:tcPr>
            <w:tcW w:type="dxa" w:w="1249"/>
            <w:vAlign w:val="center"/>
          </w:tcPr>
          <w:p>
            <w:pPr>
              <w:spacing w:before="20" w:after="20" w:line="260" w:lineRule="auto"/>
              <w:ind w:firstLine="0"/>
              <w:jc w:val="left"/>
            </w:pPr>
            <w:r>
              <w:rPr>
                <w:sz w:val="20"/>
                <w:szCs w:val="20"/>
              </w:rPr>
              <w:t xml:space="preserve">Toàn bộ</w:t>
            </w:r>
          </w:p>
        </w:tc>
        <w:tc>
          <w:tcPr>
            <w:tcW w:type="dxa" w:w="1304"/>
            <w:vAlign w:val="center"/>
          </w:tcPr>
          <w:p>
            <w:pPr>
              <w:spacing w:before="20" w:after="20" w:line="260" w:lineRule="auto"/>
              <w:ind w:firstLine="0"/>
              <w:jc w:val="center"/>
            </w:pPr>
            <w:r>
              <w:rPr>
                <w:sz w:val="20"/>
                <w:szCs w:val="20"/>
              </w:rPr>
              <w:t xml:space="preserve">13.319.180</w:t>
            </w:r>
          </w:p>
        </w:tc>
        <w:tc>
          <w:tcPr>
            <w:tcW w:type="dxa" w:w="1065"/>
            <w:vAlign w:val="center"/>
          </w:tcPr>
          <w:p>
            <w:pPr>
              <w:spacing w:before="20" w:after="20" w:line="260" w:lineRule="auto"/>
              <w:ind w:firstLine="0"/>
              <w:jc w:val="center"/>
            </w:pPr>
            <w:r>
              <w:rPr>
                <w:sz w:val="20"/>
                <w:szCs w:val="20"/>
              </w:rPr>
              <w:t xml:space="preserve">66,927</w:t>
            </w:r>
          </w:p>
        </w:tc>
        <w:tc>
          <w:tcPr>
            <w:tcW w:type="dxa" w:w="1065"/>
            <w:vAlign w:val="center"/>
          </w:tcPr>
          <w:p>
            <w:pPr>
              <w:spacing w:before="20" w:after="20" w:line="260" w:lineRule="auto"/>
              <w:ind w:firstLine="0"/>
              <w:jc w:val="left"/>
            </w:pPr>
            <w:r>
              <w:rPr>
                <w:sz w:val="20"/>
                <w:szCs w:val="20"/>
              </w:rPr>
              <w:t xml:space="preserve">—</w:t>
            </w:r>
          </w:p>
        </w:tc>
        <w:tc>
          <w:tcPr>
            <w:tcW w:type="dxa" w:w="1065"/>
            <w:vAlign w:val="center"/>
          </w:tcPr>
          <w:p>
            <w:pPr>
              <w:spacing w:before="20" w:after="20" w:line="260" w:lineRule="auto"/>
              <w:ind w:firstLine="0"/>
              <w:jc w:val="center"/>
            </w:pPr>
            <w:r>
              <w:rPr>
                <w:sz w:val="20"/>
                <w:szCs w:val="20"/>
              </w:rPr>
              <w:t xml:space="preserve">75,40%</w:t>
            </w:r>
          </w:p>
        </w:tc>
        <w:tc>
          <w:tcPr>
            <w:tcW w:type="dxa" w:w="1065"/>
            <w:vAlign w:val="center"/>
          </w:tcPr>
          <w:p>
            <w:pPr>
              <w:spacing w:before="20" w:after="20" w:line="260" w:lineRule="auto"/>
              <w:ind w:firstLine="0"/>
              <w:jc w:val="center"/>
            </w:pPr>
            <w:r>
              <w:rPr>
                <w:sz w:val="20"/>
                <w:szCs w:val="20"/>
              </w:rPr>
              <w:t xml:space="preserve">17,35%</w:t>
            </w:r>
          </w:p>
        </w:tc>
        <w:tc>
          <w:tcPr>
            <w:tcW w:type="dxa" w:w="1065"/>
            <w:vAlign w:val="center"/>
          </w:tcPr>
          <w:p>
            <w:pPr>
              <w:spacing w:before="20" w:after="20" w:line="260" w:lineRule="auto"/>
              <w:ind w:firstLine="0"/>
              <w:jc w:val="center"/>
            </w:pPr>
            <w:r>
              <w:rPr>
                <w:sz w:val="20"/>
                <w:szCs w:val="20"/>
              </w:rPr>
              <w:t xml:space="preserve">7,25%</w:t>
            </w:r>
          </w:p>
        </w:tc>
        <w:tc>
          <w:tcPr>
            <w:tcW w:type="dxa" w:w="1193"/>
            <w:vAlign w:val="center"/>
          </w:tcPr>
          <w:p>
            <w:pPr>
              <w:spacing w:before="20" w:after="20" w:line="260" w:lineRule="auto"/>
              <w:ind w:firstLine="0"/>
              <w:jc w:val="center"/>
            </w:pPr>
            <w:r>
              <w:rPr>
                <w:sz w:val="20"/>
                <w:szCs w:val="20"/>
              </w:rPr>
              <w:t xml:space="preserve">181,307</w:t>
            </w:r>
          </w:p>
        </w:tc>
      </w:tr>
    </w:tbl>
    <w:p>
      <w:pPr>
        <w:spacing w:before="40" w:after="160"/>
        <w:ind w:firstLine="0"/>
      </w:pPr>
      <w:r>
        <w:rPr>
          <w:i/>
          <w:sz w:val="22"/>
          <w:szCs w:val="22"/>
        </w:rPr>
        <w:t xml:space="preserve">Nguồn: 11_error_by_demand_level.csv, 12_probabilistic_metrics.csv của lần chạy chính thức; tỷ lệ dưới P10 và trên P90 theo tứ phân vị do tác giả tính từ probabilistic_predictions.parquet. Mỗi tứ phân vị gồm 7.128 quan sát; MAE và bias theo dự báo điểm XGBoost; bias = trung bình (thực tế − dự báo), âm nghĩa là dự báo cao hơn thực tế.</w:t>
      </w:r>
    </w:p>
    <w:p>
      <w:pPr>
        <w:keepLines w:val="0"/>
        <w:spacing w:after="120"/>
        <w:ind w:firstLine="567"/>
      </w:pPr>
      <w:r>
        <w:t xml:space="preserve">Ở tứ phân vị cao nhất, nơi tập trung 92,70% tổng doanh số, độ rộng trung bình là 618,842, gấp khoảng 81 lần mức 7,597 ở tứ phân vị thấp nhất, và độ bao phủ của bốn tứ phân vị nằm trong dải tương đối hẹp từ 70,86% đến 81,90%. Ở cấp nhóm sản phẩm, hệ số Spearman giữa quy mô nhóm và bao phủ là 0,013, tức gần như không có quan hệ đơn điệu giữa quy mô và độ bao phủ; tuy vậy, một số nhóm lớn vẫn có bao phủ thấp, như GROCERY I 67,36% và BEVERAGES 60,53%, trong khi PRODUCE đạt 82,87%. Ở cấp cửa hàng, hệ số tương ứng là −0,236 và không có ý nghĩa thống kê ở mức thông thường (p ≈ 0,0861). Đóng góp của thiết kế Mondrian vì vậy nằm ở hiệu chuẩn có điều kiện theo quy mô, tức bao phủ tương đối đồng đều giữa các phân đoạn quy mô, chứ không ở chỉ số bao phủ tổng. Sự đồng đều này cũng chỉ là theo quy mô: vì nhóm được xác định hoàn toàn bằng dự báo điểm, hai nhóm hàng có cùng quy mô nhưng mức biến động khác nhau vẫn nhận cùng độ rộng, và đây là một nguồn có thể góp phần vào khác biệt bao phủ giữa các nhóm hàng chủ lực, bên cạnh độ chệch của dự báo điểm.</w:t>
      </w:r>
    </w:p>
    <w:p>
      <w:pPr>
        <w:pStyle w:val="Heading3"/>
        <w:keepNext/>
      </w:pPr>
      <w:r>
        <w:t xml:space="preserve">5.3.2. Bao phủ tổng vẫn dưới danh nghĩa và độ rộng hằng số trong từng nhóm</w:t>
      </w:r>
    </w:p>
    <w:p>
      <w:pPr>
        <w:keepLines w:val="0"/>
        <w:spacing w:after="120"/>
        <w:ind w:firstLine="567"/>
      </w:pPr>
      <w:r>
        <w:t xml:space="preserve">Thích ứng theo quy mô không đồng nghĩa với việc đạt danh nghĩa. Độ bao phủ tổng là 75,40%, thấp hơn mức 80% khoảng 4,60 điểm phần trăm, và thiếu hụt diễn ra tương đối đều ở hầu hết phân đoạn chứ không tập trung ở một nhóm quy mô. Sự thiếu hụt không cân xứng: 17,35% quan sát nằm dưới P10 nhưng chỉ 7,25% nằm trên P90, so với danh nghĩa 10% mỗi phía, nhất quán với xu hướng dự báo cao hơn thực tế ở mục 5.1.4. Nhóm nhu cầu thấp nhất chỉ đạt 70,86%, và phần thiếu hụt gần như hoàn toàn nằm ở phía dưới: 29,04% quan sát của Q1 thấp hơn P10, trong khi chỉ khoảng 0,10% vượt P90 (Bảng 5.2); nói cách khác, ở các dòng có doanh số thực tế rất nhỏ hoặc bằng 0 (58,3% số dòng Q1), cả dự báo lẫn cận dưới của khoảng vẫn cao hơn thực tế. Đặc tính rời rạc và nhiều giá trị 0 của doanh số nhỏ gợi ý hướng đánh giá phân phối dự báo cho dữ liệu đếm (Kolassa, 2016). Ở cấp chuỗi, trung vị bao phủ là 81,25%, 950 chuỗi đạt từ 80% trở lên và chỉ 3 chuỗi có bao phủ 0%.</w:t>
      </w:r>
    </w:p>
    <w:p>
      <w:pPr>
        <w:keepLines w:val="0"/>
        <w:spacing w:after="120"/>
        <w:ind w:firstLine="567"/>
      </w:pPr>
      <w:r>
        <w:t xml:space="preserve">Giới hạn thứ hai nằm trong cấu trúc nhóm: phân vị phần dư là hằng số trong từng nhóm, nên nhóm cao nhất, với dự báo điểm theo ngày trải từ 1.226,78 đến 14.739,35 (khoảng 12 lần), dùng cùng độ rộng 1.175,96. Ba trường hợp đại diện quy mô lớn đều nằm trọn trong nhóm này với độ rộng trung bình 1.175,961 như nhau: CH 3 – PRODUCE có WAPE 4,10% nhưng bao phủ 68,75%; CH 45 – GROCERY I có WAPE 6,36% và bao phủ 62,50%; CH 2 – BEVERAGES, được chọn là trường hợp “bất định cao” theo độ rộng trung bình lớn nhất, có bao phủ chỉ 43,75%. Như vậy, tiêu chí “độ rộng lớn nhất” chỉ chọn ra một chuỗi trong nhiều chuỗi hòa nhau chứ không xác định được chuỗi thật sự bất định, và độ chính xác của dự báo điểm với độ hiệu chuẩn của khoảng vẫn là hai thuộc tính khác nhau.</w:t>
      </w:r>
    </w:p>
    <w:p>
      <w:pPr>
        <w:pStyle w:val="Heading3"/>
        <w:keepNext/>
      </w:pPr>
      <w:r>
        <w:t xml:space="preserve">5.3.3. Giả định hoán đổi được, tổng hợp theo kỳ và hướng hoàn thiện</w:t>
      </w:r>
    </w:p>
    <w:p>
      <w:pPr>
        <w:keepLines w:val="0"/>
        <w:spacing w:after="120"/>
        <w:ind w:firstLine="567"/>
      </w:pPr>
      <w:r>
        <w:t xml:space="preserve">Bảo đảm của split-conformal là bảo đảm biên dưới giả định hoán đổi được (Lei và cộng sự, 2018); phiên bản theo nhóm chuyển bảo đảm đó về từng nhóm nhưng vẫn cần giả định hoán đổi được giữa cửa sổ hiệu chỉnh và giai đoạn áp dụng (Vovk, Gammerman và Shafer, 2005); (Angelopoulos và Bates, 2023). Giả định này bị suy yếu vì cửa sổ hiệu chỉnh là 16 ngày từ 15/07/2017 đến 30/07/2017, trùng lần kiểm định 3, phần dư đến từ mô hình học trước 15/07/2017, còn mô hình cho tập kiểm tra cuối học trước 31/07/2017. Thiết kế bảo đảm hai mô hình dùng cùng cấu hình và cùng quy tắc dữ liệu (XGBoost trên toàn bộ dữ liệu trước cửa sổ tương ứng), để phần dư hiệu chỉnh phản ánh đúng loại mô hình được áp dụng, nhưng phần dư vẫn đến từ một giai đoạn hai tuần duy nhất. Về chỉ số tổng hợp, pinball loss là 17,850 tại P10, 33,428 tại P50 và 20,960 tại P90, với độ rộng trung bình 181,307. Pinball loss là quy tắc chấm điểm thích hợp cho phân vị (Gneiting và Raftery, 2007), nhưng đánh giá khoảng dự báo cần xét đồng thời độ sắc nét và hiệu chuẩn theo nguyên tắc “tối đa độ sắc nét với ràng buộc hiệu chuẩn” (Gneiting, Balabdaoui và Raftery, 2007). Vì bao phủ 75,40% chưa thỏa ràng buộc hiệu chuẩn, độ rộng hiện tại chưa thể xem là quá rộng; muốn đạt danh nghĩa, khoảng sẽ phải rộng hơn ở ít nhất một số phân đoạn.</w:t>
      </w:r>
    </w:p>
    <w:p>
      <w:pPr>
        <w:keepLines w:val="0"/>
        <w:spacing w:after="120"/>
        <w:ind w:firstLine="567"/>
      </w:pPr>
      <w:r>
        <w:t xml:space="preserve">Hai lần pinball tại P50 (66,855) bằng đúng MAE của P50 theo định nghĩa, khác MAE của dự báo điểm (66,927) vì P50 bằng dự báo điểm cộng phân vị 0,5 của phần dư trong nhóm; con số này xác nhận tính nhất quán nội bộ, không nói gì thêm về hiệu chuẩn. Vấn đề cuối là tổng hợp theo kỳ: các đại lượng tồn kho cộng P10, P50, P90 của 16 ngày, trong khi tổng các phân vị theo ngày chỉ bằng phân vị của tổng khi các ngày đồng biến hoàn toàn, một điều kiện đủ chứ không phải điều kiện cần; P90 tổng vì vậy không phải mức nhu cầu 16 ngày có xác suất 90% không bị vượt. Các hướng hoàn thiện gồm chia nhóm theo cả quy mô và nhóm sản phẩm, chuẩn hóa phần dư theo mức nhu cầu, dùng nhiều cửa sổ hiệu chỉnh cuốn chiếu, hồi quy phân vị có hiệu chỉnh conformal (Romano, Patterson và Candès, 2019), và quỹ đạo mô phỏng hoặc mô hình xác suất toàn cục như DeepAR (Salinas và cộng sự, 2020).</w:t>
      </w:r>
    </w:p>
    <w:p>
      <w:pPr>
        <w:pStyle w:val="Heading2"/>
        <w:keepNext/>
      </w:pPr>
      <w:r>
        <w:t xml:space="preserve">5.4. Nhãn rủi ro tồn kho như chỉ báo bất định tương đối</w:t>
      </w:r>
    </w:p>
    <w:p>
      <w:pPr>
        <w:pStyle w:val="Heading3"/>
        <w:keepNext/>
      </w:pPr>
      <w:r>
        <w:t xml:space="preserve">5.4.1. Nhãn r vẫn gắn chặt với quy mô dự báo</w:t>
      </w:r>
    </w:p>
    <w:p>
      <w:pPr>
        <w:keepLines w:val="0"/>
        <w:spacing w:after="120"/>
        <w:ind w:firstLine="567"/>
      </w:pPr>
      <w:r>
        <w:t xml:space="preserve">Lớp hỗ trợ quyết định tồn kho gán cho mỗi chuỗi một nhãn dựa trên mức bất định tương đối r trong (5.2), với P10, P50, P90 là tổng 16 ngày: LOW khi r ≤ 0,35, MEDIUM khi 0,35 &lt; r ≤ 0,75 và HIGH khi r &gt; 0,75. Quy tắc này không so sánh tồn kho thực với mức mục tiêu và không đo xác suất thiếu hàng, mà chỉ đo độ rộng khoảng so với quy mô dự báo.</w:t>
      </w:r>
    </w:p>
    <w:p>
      <w:pPr>
        <w:tabs>
          <w:tab w:val="center" w:pos="4535"/>
          <w:tab w:val="right" w:pos="9071"/>
        </w:tabs>
        <w:spacing w:before="60" w:after="60"/>
        <w:ind w:firstLine="0"/>
      </w:pPr>
      <w:r>
        <w:tab/>
      </w:r>
      <m:oMath xmlns:a="http://schemas.openxmlformats.org/drawingml/2006/main" xmlns:pic="http://schemas.openxmlformats.org/drawingml/2006/picture">
        <m:sSub>
          <m:e>
            <m:r>
              <m:t>r</m:t>
            </m:r>
          </m:e>
          <m:sub>
            <m:r>
              <m:t>i</m:t>
            </m:r>
          </m:sub>
        </m:sSub>
        <m:r>
          <m:rPr>
            <m:sty m:val="p"/>
          </m:rPr>
          <m:t>=</m:t>
        </m:r>
        <m:f>
          <m:fPr>
            <m:type m:val="bar"/>
          </m:fPr>
          <m:num>
            <m:r>
              <m:t>P</m:t>
            </m:r>
            <m:sSub>
              <m:e>
                <m:r>
                  <m:t>90</m:t>
                </m:r>
              </m:e>
              <m:sub>
                <m:r>
                  <m:t>i</m:t>
                </m:r>
              </m:sub>
            </m:sSub>
            <m:r>
              <m:rPr>
                <m:sty m:val="p"/>
              </m:rPr>
              <m:t>−</m:t>
            </m:r>
            <m:r>
              <m:t>P</m:t>
            </m:r>
            <m:sSub>
              <m:e>
                <m:r>
                  <m:t>10</m:t>
                </m:r>
              </m:e>
              <m:sub>
                <m:r>
                  <m:t>i</m:t>
                </m:r>
              </m:sub>
            </m:sSub>
          </m:num>
          <m:den>
            <m:r>
              <m:t>P</m:t>
            </m:r>
            <m:sSub>
              <m:e>
                <m:r>
                  <m:t>50</m:t>
                </m:r>
              </m:e>
              <m:sub>
                <m:r>
                  <m:t>i</m:t>
                </m:r>
              </m:sub>
            </m:sSub>
            <m:r>
              <m:rPr>
                <m:sty m:val="p"/>
              </m:rPr>
              <m:t>+</m:t>
            </m:r>
            <m:r>
              <m:t>1</m:t>
            </m:r>
          </m:den>
        </m:f>
      </m:oMath>
      <w:r>
        <w:tab/>
        <w:t>(5.2)</w:t>
      </w:r>
    </w:p>
    <w:p>
      <w:pPr>
        <w:keepLines w:val="0"/>
        <w:spacing w:after="120"/>
        <w:ind w:firstLine="567"/>
      </w:pPr>
      <w:r>
        <w:t xml:space="preserve">Khi khoảng đã co giãn theo quy mô, có thể kỳ vọng r ít phụ thuộc vào quy mô. Kết quả cho thấy mức phụ thuộc vẫn rất mạnh: hệ số Spearman giữa P50 và r là −0,970, một phần vì trong nhóm Mondrian cao nhất, độ rộng không đổi trong khi dự báo trải khoảng 12 lần. Phân bố nhãn gồm 1.064 chuỗi HIGH (59,71%), 634 MEDIUM (35,58%) và chỉ 84 LOW (4,71%). Vùng P50 của ba nhãn có chồng lấn (HIGH từ 0,00 đến 22.172,71; MEDIUM từ 904,17 đến 52.973,69; LOW từ 12.717,01 đến 180.456,30), nhưng thứ tự quy mô vẫn rõ: 13 nhóm như AUTOMOTIVE, BABY CARE, BEAUTY, BOOKS hay HARDWARE có toàn bộ 54 chuỗi nhãn HIGH, còn 84 chuỗi LOW chỉ thuộc sáu nhóm lớn GROCERY I (36), BEVERAGES (24), PRODUCE (10), CLEANING (8), BREAD/BAKERY (3) và DAIRY (3). Bảng 5.3 đọc lại ba nhãn dưới góc nhìn này.</w:t>
      </w:r>
    </w:p>
    <w:p>
      <w:pPr>
        <w:keepNext/>
        <w:spacing w:before="120" w:after="60"/>
        <w:ind w:firstLine="0"/>
        <w:jc w:val="center"/>
      </w:pPr>
      <w:r>
        <w:t xml:space="preserve">Bảng 5.3. Đọc lại ba nhãn rủi ro tồn kho theo vùng quy mô, tỷ trọng, độ bao phủ và hành động đề xuất</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53"/>
        <w:gridCol w:w="864"/>
        <w:gridCol w:w="1083"/>
        <w:gridCol w:w="1083"/>
        <w:gridCol w:w="1058"/>
        <w:gridCol w:w="2040"/>
        <w:gridCol w:w="2290"/>
      </w:tblGrid>
      <w:tr>
        <w:trPr>
          <w:tblHeader/>
          <w:cantSplit/>
        </w:trPr>
        <w:tc>
          <w:tcPr>
            <w:tcW w:type="dxa" w:w="653"/>
            <w:shd w:val="clear" w:color="auto" w:fill="D9E2F3"/>
            <w:vAlign w:val="center"/>
          </w:tcPr>
          <w:p>
            <w:pPr>
              <w:spacing w:before="20" w:after="20" w:line="260" w:lineRule="auto"/>
              <w:ind w:firstLine="0"/>
              <w:jc w:val="center"/>
            </w:pPr>
            <w:r>
              <w:rPr>
                <w:b/>
                <w:sz w:val="20"/>
                <w:szCs w:val="20"/>
              </w:rPr>
              <w:t xml:space="preserve">Nhãn</w:t>
            </w:r>
          </w:p>
        </w:tc>
        <w:tc>
          <w:tcPr>
            <w:tcW w:type="dxa" w:w="864"/>
            <w:shd w:val="clear" w:color="auto" w:fill="D9E2F3"/>
            <w:vAlign w:val="center"/>
          </w:tcPr>
          <w:p>
            <w:pPr>
              <w:spacing w:before="20" w:after="20" w:line="260" w:lineRule="auto"/>
              <w:ind w:firstLine="0"/>
              <w:jc w:val="center"/>
            </w:pPr>
            <w:r>
              <w:rPr>
                <w:b/>
                <w:sz w:val="20"/>
                <w:szCs w:val="20"/>
              </w:rPr>
              <w:t xml:space="preserve">Số chuỗi</w:t>
            </w:r>
          </w:p>
        </w:tc>
        <w:tc>
          <w:tcPr>
            <w:tcW w:type="dxa" w:w="1083"/>
            <w:shd w:val="clear" w:color="auto" w:fill="D9E2F3"/>
            <w:vAlign w:val="center"/>
          </w:tcPr>
          <w:p>
            <w:pPr>
              <w:spacing w:before="20" w:after="20" w:line="260" w:lineRule="auto"/>
              <w:ind w:firstLine="0"/>
              <w:jc w:val="center"/>
            </w:pPr>
            <w:r>
              <w:rPr>
                <w:b/>
                <w:sz w:val="20"/>
                <w:szCs w:val="20"/>
              </w:rPr>
              <w:t xml:space="preserve">Vùng P50 16 ngày</w:t>
            </w:r>
          </w:p>
        </w:tc>
        <w:tc>
          <w:tcPr>
            <w:tcW w:type="dxa" w:w="1083"/>
            <w:shd w:val="clear" w:color="auto" w:fill="D9E2F3"/>
            <w:vAlign w:val="center"/>
          </w:tcPr>
          <w:p>
            <w:pPr>
              <w:spacing w:before="20" w:after="20" w:line="260" w:lineRule="auto"/>
              <w:ind w:firstLine="0"/>
              <w:jc w:val="center"/>
            </w:pPr>
            <w:r>
              <w:rPr>
                <w:b/>
                <w:sz w:val="20"/>
                <w:szCs w:val="20"/>
              </w:rPr>
              <w:t xml:space="preserve">Tỷ trọng P50 / thực tế</w:t>
            </w:r>
          </w:p>
        </w:tc>
        <w:tc>
          <w:tcPr>
            <w:tcW w:type="dxa" w:w="1058"/>
            <w:shd w:val="clear" w:color="auto" w:fill="D9E2F3"/>
            <w:vAlign w:val="center"/>
          </w:tcPr>
          <w:p>
            <w:pPr>
              <w:spacing w:before="20" w:after="20" w:line="260" w:lineRule="auto"/>
              <w:ind w:firstLine="0"/>
              <w:jc w:val="center"/>
            </w:pPr>
            <w:r>
              <w:rPr>
                <w:b/>
                <w:sz w:val="20"/>
                <w:szCs w:val="20"/>
              </w:rPr>
              <w:t xml:space="preserve">Bao phủ TB theo chuỗi</w:t>
            </w:r>
          </w:p>
        </w:tc>
        <w:tc>
          <w:tcPr>
            <w:tcW w:type="dxa" w:w="2040"/>
            <w:shd w:val="clear" w:color="auto" w:fill="D9E2F3"/>
            <w:vAlign w:val="center"/>
          </w:tcPr>
          <w:p>
            <w:pPr>
              <w:spacing w:before="20" w:after="20" w:line="260" w:lineRule="auto"/>
              <w:ind w:firstLine="0"/>
              <w:jc w:val="center"/>
            </w:pPr>
            <w:r>
              <w:rPr>
                <w:b/>
                <w:sz w:val="20"/>
                <w:szCs w:val="20"/>
              </w:rPr>
              <w:t xml:space="preserve">Nhóm tiêu biểu</w:t>
            </w:r>
          </w:p>
        </w:tc>
        <w:tc>
          <w:tcPr>
            <w:tcW w:type="dxa" w:w="2290"/>
            <w:shd w:val="clear" w:color="auto" w:fill="D9E2F3"/>
            <w:vAlign w:val="center"/>
          </w:tcPr>
          <w:p>
            <w:pPr>
              <w:spacing w:before="20" w:after="20" w:line="260" w:lineRule="auto"/>
              <w:ind w:firstLine="0"/>
              <w:jc w:val="center"/>
            </w:pPr>
            <w:r>
              <w:rPr>
                <w:b/>
                <w:sz w:val="20"/>
                <w:szCs w:val="20"/>
              </w:rPr>
              <w:t xml:space="preserve">Cách đọc và hành động đề xuất</w:t>
            </w:r>
          </w:p>
        </w:tc>
      </w:tr>
      <w:tr>
        <w:trPr>
          <w:cantSplit/>
        </w:trPr>
        <w:tc>
          <w:tcPr>
            <w:tcW w:type="dxa" w:w="653"/>
            <w:vAlign w:val="center"/>
          </w:tcPr>
          <w:p>
            <w:pPr>
              <w:spacing w:before="20" w:after="20" w:line="260" w:lineRule="auto"/>
              <w:ind w:firstLine="0"/>
              <w:jc w:val="left"/>
            </w:pPr>
            <w:r>
              <w:rPr>
                <w:sz w:val="20"/>
                <w:szCs w:val="20"/>
              </w:rPr>
              <w:t xml:space="preserve">HIGH</w:t>
            </w:r>
          </w:p>
        </w:tc>
        <w:tc>
          <w:tcPr>
            <w:tcW w:type="dxa" w:w="864"/>
            <w:vAlign w:val="center"/>
          </w:tcPr>
          <w:p>
            <w:pPr>
              <w:spacing w:before="20" w:after="20" w:line="260" w:lineRule="auto"/>
              <w:ind w:firstLine="0"/>
              <w:jc w:val="center"/>
            </w:pPr>
            <w:r>
              <w:rPr>
                <w:sz w:val="20"/>
                <w:szCs w:val="20"/>
              </w:rPr>
              <w:t xml:space="preserve">1.064 (59,71%)</w:t>
            </w:r>
          </w:p>
        </w:tc>
        <w:tc>
          <w:tcPr>
            <w:tcW w:type="dxa" w:w="1083"/>
            <w:vAlign w:val="center"/>
          </w:tcPr>
          <w:p>
            <w:pPr>
              <w:spacing w:before="20" w:after="20" w:line="260" w:lineRule="auto"/>
              <w:ind w:firstLine="0"/>
              <w:jc w:val="left"/>
            </w:pPr>
            <w:r>
              <w:rPr>
                <w:sz w:val="20"/>
                <w:szCs w:val="20"/>
              </w:rPr>
              <w:t xml:space="preserve">0,00 – 22.172,71</w:t>
            </w:r>
          </w:p>
        </w:tc>
        <w:tc>
          <w:tcPr>
            <w:tcW w:type="dxa" w:w="1083"/>
            <w:vAlign w:val="center"/>
          </w:tcPr>
          <w:p>
            <w:pPr>
              <w:spacing w:before="20" w:after="20" w:line="260" w:lineRule="auto"/>
              <w:ind w:firstLine="0"/>
              <w:jc w:val="center"/>
            </w:pPr>
            <w:r>
              <w:rPr>
                <w:sz w:val="20"/>
                <w:szCs w:val="20"/>
              </w:rPr>
              <w:t xml:space="preserve">2,02% / 2,27%</w:t>
            </w:r>
          </w:p>
        </w:tc>
        <w:tc>
          <w:tcPr>
            <w:tcW w:type="dxa" w:w="1058"/>
            <w:vAlign w:val="center"/>
          </w:tcPr>
          <w:p>
            <w:pPr>
              <w:spacing w:before="20" w:after="20" w:line="260" w:lineRule="auto"/>
              <w:ind w:firstLine="0"/>
              <w:jc w:val="center"/>
            </w:pPr>
            <w:r>
              <w:rPr>
                <w:sz w:val="20"/>
                <w:szCs w:val="20"/>
              </w:rPr>
              <w:t xml:space="preserve">76,32%</w:t>
            </w:r>
          </w:p>
        </w:tc>
        <w:tc>
          <w:tcPr>
            <w:tcW w:type="dxa" w:w="2040"/>
            <w:vAlign w:val="center"/>
          </w:tcPr>
          <w:p>
            <w:pPr>
              <w:spacing w:before="20" w:after="20" w:line="260" w:lineRule="auto"/>
              <w:ind w:firstLine="0"/>
              <w:jc w:val="left"/>
            </w:pPr>
            <w:r>
              <w:rPr>
                <w:sz w:val="20"/>
                <w:szCs w:val="20"/>
              </w:rPr>
              <w:t xml:space="preserve">13 nhóm toàn HIGH (AUTOMOTIVE, BABY CARE, BEAUTY, BOOKS, HARDWARE…)</w:t>
            </w:r>
          </w:p>
        </w:tc>
        <w:tc>
          <w:tcPr>
            <w:tcW w:type="dxa" w:w="2290"/>
            <w:vAlign w:val="center"/>
          </w:tcPr>
          <w:p>
            <w:pPr>
              <w:spacing w:before="20" w:after="20" w:line="260" w:lineRule="auto"/>
              <w:ind w:firstLine="0"/>
              <w:jc w:val="left"/>
            </w:pPr>
            <w:r>
              <w:rPr>
                <w:sz w:val="20"/>
                <w:szCs w:val="20"/>
              </w:rPr>
              <w:t xml:space="preserve">Chủ yếu chuỗi nhỏ; quy tắc đơn giản, rà soát theo ngoại lệ, không coi là hàng đợi ưu tiên cao nhất</w:t>
            </w:r>
          </w:p>
        </w:tc>
      </w:tr>
      <w:tr>
        <w:trPr>
          <w:cantSplit/>
        </w:trPr>
        <w:tc>
          <w:tcPr>
            <w:tcW w:type="dxa" w:w="653"/>
            <w:vAlign w:val="center"/>
          </w:tcPr>
          <w:p>
            <w:pPr>
              <w:spacing w:before="20" w:after="20" w:line="260" w:lineRule="auto"/>
              <w:ind w:firstLine="0"/>
              <w:jc w:val="left"/>
            </w:pPr>
            <w:r>
              <w:rPr>
                <w:sz w:val="20"/>
                <w:szCs w:val="20"/>
              </w:rPr>
              <w:t xml:space="preserve">MEDIUM</w:t>
            </w:r>
          </w:p>
        </w:tc>
        <w:tc>
          <w:tcPr>
            <w:tcW w:type="dxa" w:w="864"/>
            <w:vAlign w:val="center"/>
          </w:tcPr>
          <w:p>
            <w:pPr>
              <w:spacing w:before="20" w:after="20" w:line="260" w:lineRule="auto"/>
              <w:ind w:firstLine="0"/>
              <w:jc w:val="center"/>
            </w:pPr>
            <w:r>
              <w:rPr>
                <w:sz w:val="20"/>
                <w:szCs w:val="20"/>
              </w:rPr>
              <w:t xml:space="preserve">634 (35,58%)</w:t>
            </w:r>
          </w:p>
        </w:tc>
        <w:tc>
          <w:tcPr>
            <w:tcW w:type="dxa" w:w="1083"/>
            <w:vAlign w:val="center"/>
          </w:tcPr>
          <w:p>
            <w:pPr>
              <w:spacing w:before="20" w:after="20" w:line="260" w:lineRule="auto"/>
              <w:ind w:firstLine="0"/>
              <w:jc w:val="left"/>
            </w:pPr>
            <w:r>
              <w:rPr>
                <w:sz w:val="20"/>
                <w:szCs w:val="20"/>
              </w:rPr>
              <w:t xml:space="preserve">904,17 – 52.973,69</w:t>
            </w:r>
          </w:p>
        </w:tc>
        <w:tc>
          <w:tcPr>
            <w:tcW w:type="dxa" w:w="1083"/>
            <w:vAlign w:val="center"/>
          </w:tcPr>
          <w:p>
            <w:pPr>
              <w:spacing w:before="20" w:after="20" w:line="260" w:lineRule="auto"/>
              <w:ind w:firstLine="0"/>
              <w:jc w:val="center"/>
            </w:pPr>
            <w:r>
              <w:rPr>
                <w:sz w:val="20"/>
                <w:szCs w:val="20"/>
              </w:rPr>
              <w:t xml:space="preserve">50,26% / 50,20%</w:t>
            </w:r>
          </w:p>
        </w:tc>
        <w:tc>
          <w:tcPr>
            <w:tcW w:type="dxa" w:w="1058"/>
            <w:vAlign w:val="center"/>
          </w:tcPr>
          <w:p>
            <w:pPr>
              <w:spacing w:before="20" w:after="20" w:line="260" w:lineRule="auto"/>
              <w:ind w:firstLine="0"/>
              <w:jc w:val="center"/>
            </w:pPr>
            <w:r>
              <w:rPr>
                <w:sz w:val="20"/>
                <w:szCs w:val="20"/>
              </w:rPr>
              <w:t xml:space="preserve">76,12%</w:t>
            </w:r>
          </w:p>
        </w:tc>
        <w:tc>
          <w:tcPr>
            <w:tcW w:type="dxa" w:w="2040"/>
            <w:vAlign w:val="center"/>
          </w:tcPr>
          <w:p>
            <w:pPr>
              <w:spacing w:before="20" w:after="20" w:line="260" w:lineRule="auto"/>
              <w:ind w:firstLine="0"/>
              <w:jc w:val="left"/>
            </w:pPr>
            <w:r>
              <w:rPr>
                <w:sz w:val="20"/>
                <w:szCs w:val="20"/>
              </w:rPr>
              <w:t xml:space="preserve">DELI 53, HOME CARE 53, PERSONAL CARE 52, BREAD/BAKERY 51, DAIRY 51, POULTRY 50</w:t>
            </w:r>
          </w:p>
        </w:tc>
        <w:tc>
          <w:tcPr>
            <w:tcW w:type="dxa" w:w="2290"/>
            <w:vAlign w:val="center"/>
          </w:tcPr>
          <w:p>
            <w:pPr>
              <w:spacing w:before="20" w:after="20" w:line="260" w:lineRule="auto"/>
              <w:ind w:firstLine="0"/>
              <w:jc w:val="left"/>
            </w:pPr>
            <w:r>
              <w:rPr>
                <w:sz w:val="20"/>
                <w:szCs w:val="20"/>
              </w:rPr>
              <w:t xml:space="preserve">Nhóm trung gian rộng; rà soát chọn lọc theo quy mô, kế hoạch khuyến mãi và sai số gần đây</w:t>
            </w:r>
          </w:p>
        </w:tc>
      </w:tr>
      <w:tr>
        <w:trPr>
          <w:cantSplit/>
        </w:trPr>
        <w:tc>
          <w:tcPr>
            <w:tcW w:type="dxa" w:w="653"/>
            <w:vAlign w:val="center"/>
          </w:tcPr>
          <w:p>
            <w:pPr>
              <w:spacing w:before="20" w:after="20" w:line="260" w:lineRule="auto"/>
              <w:ind w:firstLine="0"/>
              <w:jc w:val="left"/>
            </w:pPr>
            <w:r>
              <w:rPr>
                <w:sz w:val="20"/>
                <w:szCs w:val="20"/>
              </w:rPr>
              <w:t xml:space="preserve">LOW</w:t>
            </w:r>
          </w:p>
        </w:tc>
        <w:tc>
          <w:tcPr>
            <w:tcW w:type="dxa" w:w="864"/>
            <w:vAlign w:val="center"/>
          </w:tcPr>
          <w:p>
            <w:pPr>
              <w:spacing w:before="20" w:after="20" w:line="260" w:lineRule="auto"/>
              <w:ind w:firstLine="0"/>
              <w:jc w:val="center"/>
            </w:pPr>
            <w:r>
              <w:rPr>
                <w:sz w:val="20"/>
                <w:szCs w:val="20"/>
              </w:rPr>
              <w:t xml:space="preserve">84 (4,71%)</w:t>
            </w:r>
          </w:p>
        </w:tc>
        <w:tc>
          <w:tcPr>
            <w:tcW w:type="dxa" w:w="1083"/>
            <w:vAlign w:val="center"/>
          </w:tcPr>
          <w:p>
            <w:pPr>
              <w:spacing w:before="20" w:after="20" w:line="260" w:lineRule="auto"/>
              <w:ind w:firstLine="0"/>
              <w:jc w:val="left"/>
            </w:pPr>
            <w:r>
              <w:rPr>
                <w:sz w:val="20"/>
                <w:szCs w:val="20"/>
              </w:rPr>
              <w:t xml:space="preserve">12.717,01 – 180.456,30</w:t>
            </w:r>
          </w:p>
        </w:tc>
        <w:tc>
          <w:tcPr>
            <w:tcW w:type="dxa" w:w="1083"/>
            <w:vAlign w:val="center"/>
          </w:tcPr>
          <w:p>
            <w:pPr>
              <w:spacing w:before="20" w:after="20" w:line="260" w:lineRule="auto"/>
              <w:ind w:firstLine="0"/>
              <w:jc w:val="center"/>
            </w:pPr>
            <w:r>
              <w:rPr>
                <w:sz w:val="20"/>
                <w:szCs w:val="20"/>
              </w:rPr>
              <w:t xml:space="preserve">47,72% / 47,53%</w:t>
            </w:r>
          </w:p>
        </w:tc>
        <w:tc>
          <w:tcPr>
            <w:tcW w:type="dxa" w:w="1058"/>
            <w:vAlign w:val="center"/>
          </w:tcPr>
          <w:p>
            <w:pPr>
              <w:spacing w:before="20" w:after="20" w:line="260" w:lineRule="auto"/>
              <w:ind w:firstLine="0"/>
              <w:jc w:val="center"/>
            </w:pPr>
            <w:r>
              <w:rPr>
                <w:sz w:val="20"/>
                <w:szCs w:val="20"/>
              </w:rPr>
              <w:t xml:space="preserve">58,18%</w:t>
            </w:r>
          </w:p>
        </w:tc>
        <w:tc>
          <w:tcPr>
            <w:tcW w:type="dxa" w:w="2040"/>
            <w:vAlign w:val="center"/>
          </w:tcPr>
          <w:p>
            <w:pPr>
              <w:spacing w:before="20" w:after="20" w:line="260" w:lineRule="auto"/>
              <w:ind w:firstLine="0"/>
              <w:jc w:val="left"/>
            </w:pPr>
            <w:r>
              <w:rPr>
                <w:sz w:val="20"/>
                <w:szCs w:val="20"/>
              </w:rPr>
              <w:t xml:space="preserve">GROCERY I 36, BEVERAGES 24, PRODUCE 10, CLEANING 8</w:t>
            </w:r>
          </w:p>
        </w:tc>
        <w:tc>
          <w:tcPr>
            <w:tcW w:type="dxa" w:w="2290"/>
            <w:vAlign w:val="center"/>
          </w:tcPr>
          <w:p>
            <w:pPr>
              <w:spacing w:before="20" w:after="20" w:line="260" w:lineRule="auto"/>
              <w:ind w:firstLine="0"/>
              <w:jc w:val="left"/>
            </w:pPr>
            <w:r>
              <w:rPr>
                <w:sz w:val="20"/>
                <w:szCs w:val="20"/>
              </w:rPr>
              <w:t xml:space="preserve">Không đồng nghĩa với an toàn; ưu tiên rà soát khoảng dự báo trước khi dùng P90</w:t>
            </w:r>
          </w:p>
        </w:tc>
      </w:tr>
    </w:tbl>
    <w:p>
      <w:pPr>
        <w:spacing w:before="40" w:after="160"/>
        <w:ind w:firstLine="0"/>
      </w:pPr>
      <w:r>
        <w:rPr>
          <w:i/>
          <w:sz w:val="22"/>
          <w:szCs w:val="22"/>
        </w:rPr>
        <w:t xml:space="preserve">Nguồn: inventory_recommendations.csv, 18_inventory_risk_counts.csv của lần chạy chính thức; tổng hợp của tác giả. Vùng P50 của các nhãn chồng lấn vì tử số của r thay đổi theo nhóm Mondrian và việc P10 bị chặn tại 0.</w:t>
      </w:r>
    </w:p>
    <w:p>
      <w:pPr>
        <w:keepLines w:val="0"/>
        <w:spacing w:after="120"/>
        <w:ind w:firstLine="567"/>
      </w:pPr>
      <w:r>
        <w:t xml:space="preserve">Một nghịch lý cần lưu ý: nhãn LOW, vốn gợi ý “ít rủi ro”, rơi vào các chuỗi có độ bao phủ trung bình thấp nhất, 58,18%, so với 76,32% của HIGH và 76,12% của MEDIUM. 84 chuỗi LOW chiếm 47,72% tổng P50, còn 1.064 chuỗi HIGH chỉ chiếm 2,02%. Nếu đọc HIGH là “rủi ro tồn kho cao” và dồn nguồn lực rà soát vào đó, nỗ lực sẽ phân tán trên hơn một nghìn chuỗi có tác động kinh tế nhỏ, trong khi gần một nửa khối lượng hàng hóa được xếp là LOW với khoảng kém tin cậy nhất. Một tỷ lệ độ rộng trên quy mô với ngưỡng cố định 0,35 và 0,75 vì vậy là chỉ báo bất định tương đối, không phải chỉ báo rủi ro tồn kho, và việc khoảng dự báo thích ứng theo quy mô không tự động khắc phục hạn chế này.</w:t>
      </w:r>
    </w:p>
    <w:p>
      <w:pPr>
        <w:keepLines w:val="0"/>
        <w:spacing w:after="120"/>
        <w:ind w:firstLine="567"/>
      </w:pPr>
      <w:r>
        <w:t xml:space="preserve">Để có ích cho quản trị, nhãn cần được thay bằng tiêu chí có trọng số kinh doanh, kết hợp giá trị kinh tế của chuỗi (doanh thu hoặc biên lợi nhuận chịu rủi ro theo (5.1)), mức bất định tuyệt đối đã hiệu chuẩn tính bằng tiền, độ bao phủ có điều kiện gần đây của phân đoạn, độ chệch có dấu của các kỳ gần nhất và tồn kho thực so với thời gian cung ứng. Ngưỡng phân loại khi đó nên được xác định từ mục tiêu mức dịch vụ và ngân sách rà soát của bộ phận kế hoạch thay vì cố định cho mọi nhóm hàng. Vì luận văn không có dữ liệu giá, biên lợi nhuận và tồn kho, đề xuất này được nêu như hướng hoàn thiện; lớp quyết định hiện mới xử lý một phần vấn đề bằng trọng số quy mô trong điểm ưu tiên (mục 5.6).</w:t>
      </w:r>
    </w:p>
    <w:p>
      <w:pPr>
        <w:pStyle w:val="Heading3"/>
        <w:keepNext/>
      </w:pPr>
      <w:r>
        <w:t xml:space="preserve">5.4.2. Các đại lượng tồn kho là mô phỏng theo giả định</w:t>
      </w:r>
    </w:p>
    <w:p>
      <w:pPr>
        <w:keepLines w:val="0"/>
        <w:spacing w:after="120"/>
        <w:ind w:firstLine="567"/>
      </w:pPr>
      <w:r>
        <w:t xml:space="preserve">Các đại lượng trong inventory_recommendations.csv vẫn được tạo từ phân vị dự báo và các giả định của Stage 07. Với Cu = 3 và Co = 1, q* = 0,75, nhưng mã nguồn dùng P90 làm điểm đặt hàng lại (ROP), tức làm tròn lên tới phân vị có sẵn gần nhất. Tồn kho an toàn P90 − P50 thay đổi theo chuỗi từ 64,00 đến 12.135,64, trung vị 347,06, vì phân vị phần dư phía trên phụ thuộc nhóm Mondrian của từng dòng. Vị thế tồn kho giả định bằng 0,8 × P50, nên lượng bổ sung bằng tồn kho an toàn cộng 0,2 × P50: tổng 5.950.610 gồm 3.198.867 tồn kho an toàn và 2.751.743 phần do giả định vị thế, chiếm 46,24%. Với CH 45 – GROCERY I, chuỗi có lượng bổ sung lớn nhất (48.226,90), phần 0,2 × P50 khoảng 36.091 đơn vị, tức khoảng 74,84%; con số này chủ yếu phản ánh một giả định về tồn kho hiện có.</w:t>
      </w:r>
    </w:p>
    <w:p>
      <w:pPr>
        <w:keepLines w:val="0"/>
        <w:spacing w:after="120"/>
        <w:ind w:firstLine="567"/>
      </w:pPr>
      <w:r>
        <w:t xml:space="preserve">Vì vậy, không thể kết luận mô hình giúp giảm tồn kho hay thiếu hàng bao nhiêu phần trăm. Chính sách tồn kho đúng nghĩa cần phân phối nhu cầu trong thời gian cung ứng, với S từ phân vị tới hạn của mô hình Newsvendor (Arrow, Harris và Marschak, 1951); (Qin và cộng sự, 2011) và Q = S − IP theo ràng buộc đặt hàng (Silver, Pyke và Thomas, 2017):</w:t>
      </w:r>
    </w:p>
    <w:p>
      <w:pPr>
        <w:tabs>
          <w:tab w:val="center" w:pos="4535"/>
          <w:tab w:val="right" w:pos="9071"/>
        </w:tabs>
        <w:spacing w:before="60" w:after="60"/>
        <w:ind w:firstLine="0"/>
      </w:pPr>
      <w:r>
        <w:tab/>
      </w:r>
      <m:oMath xmlns:a="http://schemas.openxmlformats.org/drawingml/2006/main" xmlns:pic="http://schemas.openxmlformats.org/drawingml/2006/picture">
        <m:sSup>
          <m:e>
            <m:r>
              <m:t>q</m:t>
            </m:r>
          </m:e>
          <m:sup>
            <m:r>
              <m:rPr>
                <m:sty m:val="p"/>
              </m:rPr>
              <m:t>*</m:t>
            </m:r>
          </m:sup>
        </m:sSup>
        <m:r>
          <m:rPr>
            <m:sty m:val="p"/>
          </m:rPr>
          <m:t>=</m:t>
        </m:r>
        <m:f>
          <m:fPr>
            <m:type m:val="bar"/>
          </m:fPr>
          <m:num>
            <m:sSub>
              <m:e>
                <m:r>
                  <m:t>C</m:t>
                </m:r>
              </m:e>
              <m:sub>
                <m:r>
                  <m:t>u</m:t>
                </m:r>
              </m:sub>
            </m:sSub>
          </m:num>
          <m:den>
            <m:sSub>
              <m:e>
                <m:r>
                  <m:t>C</m:t>
                </m:r>
              </m:e>
              <m:sub>
                <m:r>
                  <m:t>u</m:t>
                </m:r>
              </m:sub>
            </m:sSub>
            <m:r>
              <m:rPr>
                <m:sty m:val="p"/>
              </m:rPr>
              <m:t>+</m:t>
            </m:r>
            <m:sSub>
              <m:e>
                <m:r>
                  <m:t>C</m:t>
                </m:r>
              </m:e>
              <m:sub>
                <m:r>
                  <m:t>o</m:t>
                </m:r>
              </m:sub>
            </m:sSub>
          </m:den>
        </m:f>
        <m:r>
          <m:rPr>
            <m:sty m:val="p"/>
          </m:rPr>
          <m:t>,</m:t>
        </m:r>
        <m:r>
          <m:t>  </m:t>
        </m:r>
        <m:r>
          <m:t>S</m:t>
        </m:r>
        <m:r>
          <m:rPr>
            <m:sty m:val="p"/>
          </m:rPr>
          <m:t>=</m:t>
        </m:r>
        <m:sSubSup>
          <m:e>
            <m:r>
              <m:t>F</m:t>
            </m:r>
          </m:e>
          <m:sub>
            <m:sSub>
              <m:e>
                <m:r>
                  <m:t>D</m:t>
                </m:r>
              </m:e>
              <m:sub>
                <m:r>
                  <m:t>L</m:t>
                </m:r>
              </m:sub>
            </m:sSub>
          </m:sub>
          <m:sup>
            <m:r>
              <m:rPr>
                <m:sty m:val="p"/>
              </m:rPr>
              <m:t>−</m:t>
            </m:r>
            <m:r>
              <m:t>1</m:t>
            </m:r>
          </m:sup>
        </m:sSubSup>
        <m:d>
          <m:dPr>
            <m:begChr m:val="("/>
            <m:sepChr m:val=""/>
            <m:endChr m:val=")"/>
            <m:grow/>
          </m:dPr>
          <m:e>
            <m:sSup>
              <m:e>
                <m:r>
                  <m:t>q</m:t>
                </m:r>
              </m:e>
              <m:sup>
                <m:r>
                  <m:rPr>
                    <m:sty m:val="p"/>
                  </m:rPr>
                  <m:t>*</m:t>
                </m:r>
              </m:sup>
            </m:sSup>
          </m:e>
        </m:d>
        <m:r>
          <m:rPr>
            <m:sty m:val="p"/>
          </m:rPr>
          <m:t>,</m:t>
        </m:r>
        <m:r>
          <m:t>  </m:t>
        </m:r>
        <m:r>
          <m:t>Q</m:t>
        </m:r>
        <m:r>
          <m:rPr>
            <m:sty m:val="p"/>
          </m:rPr>
          <m:t>=</m:t>
        </m:r>
        <m:r>
          <m:rPr>
            <m:sty m:val="p"/>
          </m:rPr>
          <m:t>max</m:t>
        </m:r>
        <m:d>
          <m:dPr>
            <m:begChr m:val="("/>
            <m:sepChr m:val=""/>
            <m:endChr m:val=")"/>
            <m:grow/>
          </m:dPr>
          <m:e>
            <m:r>
              <m:t>0</m:t>
            </m:r>
            <m:r>
              <m:rPr>
                <m:sty m:val="p"/>
              </m:rPr>
              <m:t>,</m:t>
            </m:r>
            <m:r>
              <m:t> </m:t>
            </m:r>
            <m:r>
              <m:t>S</m:t>
            </m:r>
            <m:r>
              <m:rPr>
                <m:sty m:val="p"/>
              </m:rPr>
              <m:t>−</m:t>
            </m:r>
            <m:r>
              <m:t>I</m:t>
            </m:r>
            <m:r>
              <m:t>P</m:t>
            </m:r>
          </m:e>
        </m:d>
      </m:oMath>
      <w:r>
        <w:tab/>
        <w:t>(5.3)</w:t>
      </w:r>
    </w:p>
    <w:p>
      <w:pPr>
        <w:keepLines w:val="0"/>
        <w:spacing w:after="120"/>
        <w:ind w:firstLine="567"/>
      </w:pPr>
      <w:r>
        <w:t xml:space="preserve">Trong (5.3), F(D_L) là hàm phân phối của nhu cầu trong thời gian cung ứng L. Lần chạy chính thức khác công thức này ở ba điểm: F(D_L) được thay bằng tổng phân vị theo ngày của kỳ 16 ngày; phân vị 0,75 được thay bằng P90; IP được thay bằng 0,8 × P50. Phiếu khuyến nghị của Stage 08 có thêm phương án B theo q* xấp xỉ bằng nội suy tuyến tính giữa P50 và P90, giúp người phê duyệt thấy mức mục tiêu gần tỷ lệ tới hạn hơn, nhưng đây là xấp xỉ giữa hai phân vị chứ không phải phân vị 0,75 được ước lượng, và mức mục tiêu tham chiếu vẫn là P90. Khi có chi phí thực, Cu và Co nên được ước lượng theo nhóm hàng thay vì dùng cặp 3 và 1 cho mọi chuỗi.</w:t>
      </w:r>
    </w:p>
    <w:p>
      <w:pPr>
        <w:pStyle w:val="Heading2"/>
        <w:keepNext/>
      </w:pPr>
      <w:r>
        <w:t xml:space="preserve">5.5. Kịch bản khuyến mãi: dự báo có điều kiện và vấn đề ngoại suy</w:t>
      </w:r>
    </w:p>
    <w:p>
      <w:pPr>
        <w:pStyle w:val="Heading3"/>
        <w:keepNext/>
      </w:pPr>
      <w:r>
        <w:t xml:space="preserve">5.5.1. Phản ứng tổng hợp khiêm tốn và nguồn gốc của các chênh lệch âm</w:t>
      </w:r>
    </w:p>
    <w:p>
      <w:pPr>
        <w:keepLines w:val="0"/>
        <w:spacing w:after="120"/>
        <w:ind w:firstLine="567"/>
      </w:pPr>
      <w:r>
        <w:t xml:space="preserve">Promotion Scenario là công cụ phân tích giả định có điều kiện: onpromotion được gán bằng 0 (No promotion), giữ nguyên (Current), 1 (Low), 5 (Medium) hoặc 10 (High) cho mọi ngày và mọi chuỗi, các đặc trưng khác giữ nguyên, XGBoost trả về P50, còn P10 và P90 của kịch bản dùng độ rộng dưới và trên theo từng dòng của Stage 05, để bất định của kịch bản co giãn theo quy mô như khoảng dự báo gốc thay vì dùng một hằng số. Ở cấp tổng hợp, P50 trung bình theo chuỗi là 7.729,00 ở Current, giảm 5,04% ở No promotion và 1,45% ở Low, tăng 3,20% ở Medium và 9,06% ở High. Phản ứng tổng hợp khiêm tốn này phù hợp với chẩn đoán mức độ quan trọng: onpromotion chỉ chiếm 0,34% tổng gain của XGBoost, trong khi lag_21 và roll_mean_7 chiếm phần lớn; tuy nhiên mức độ quan trọng là chẩn đoán dự báo, không phải thước đo hiệu ứng. Các con số trung bình trên 1.782 chuỗi có quy mô và lịch sử khuyến mãi rất khác nhau cũng che giấu những chênh lệch trái dấu ở cấp chuỗi được phân tích dưới đây. Độ chính xác tốt trên dữ liệu quan sát không bảo đảm độ tin cậy của dự báo khi một biến bị can thiệp, và mọi chênh lệch kịch bản là tương quan có điều kiện chứ không phải hiệu ứng nhân quả (Shmueli, 2010).</w:t>
      </w:r>
    </w:p>
    <w:p>
      <w:pPr>
        <w:keepLines w:val="0"/>
        <w:spacing w:after="120"/>
        <w:ind w:firstLine="567"/>
      </w:pPr>
      <w:r>
        <w:t xml:space="preserve">Ở cấp chuỗi, High cao hơn Current ở 1.489 chuỗi và thấp hơn ở 293 chuỗi; Low thấp hơn Current ở 830 chuỗi; No promotion trùng Current ở 629 chuỗi vốn không có khuyến mãi trong kỳ. Tính toán bổ sung của tác giả từ promotion_scenarios.csv và probabilistic_predictions.parquet cho thấy phần lớn các dấu “ngược” bắt nguồn từ định nghĩa kịch bản theo mức tuyệt đối: cả 830 chuỗi có Low thấp hơn Current đều có ít nhất một ngày onpromotion thực tế lớn hơn 1, nên “Low” thực chất là giảm khuyến mãi; cả 293 chuỗi có High thấp hơn Current đều có ít nhất một ngày onpromotion lớn hơn 10, và 284 chuỗi có giá trị trung bình trên 10; 293 chuỗi này tập trung ở GROCERY I (54), CLEANING (52), BEVERAGES (52), PRODUCE (47) và DAIRY (43). CH 45 – GROCERY I, chuỗi có |High − Current| lớn nhất với P50 giảm 9.113,03, thuộc đúng trường hợp này. Dấu âm vì vậy không nên đọc là “khuyến mãi làm giảm doanh số”; lưới 0, 1, 5, 10 đồng nhất là một đơn giản hóa đáng kể, và kịch bản nên được định nghĩa tương đối theo phân phối lịch sử onpromotion của từng chuỗi.</w:t>
      </w:r>
    </w:p>
    <w:p>
      <w:pPr>
        <w:pStyle w:val="Heading3"/>
        <w:keepNext/>
      </w:pPr>
      <w:r>
        <w:t xml:space="preserve">5.5.2. Ngoại suy vẫn là rủi ro chính và cách lớp quyết định xử lý</w:t>
      </w:r>
    </w:p>
    <w:p>
      <w:pPr>
        <w:keepLines w:val="0"/>
        <w:spacing w:after="120"/>
        <w:ind w:firstLine="567"/>
      </w:pPr>
      <w:r>
        <w:t xml:space="preserve">Ngoại suy là rủi ro chính của kịch bản, và đây là vấn đề của câu hỏi đặt ra cho mô hình chứ không phải của phép tính. Có 783 chuỗi mà |P50 High − Current|/Current vượt 100%, tập trung ở các nhóm nhỏ như AUTOMOTIVE, BABY CARE, BOOKS, HOME APPLIANCES, HARDWARE (54 chuỗi mỗi nhóm), MAGAZINES (53), BEAUTY và LINGERIE (51). Tám trong mười chuỗi nhạy nhất thuộc BABY CARE; chẳng hạn CH 52 – BABY CARE có P50 Current 28,15 nhưng P50 High 8.608,12. BABY CARE có tổng thực tế 16 ngày chỉ 160 đơn vị trên 54 chuỗi, P50 Current trung vị 19,48, nhưng trung vị lên tới 780,35 ở Low và 3.740,76 ở High. Tính từ train.csv, chỉ khoảng 0,058% số dòng BABY CARE (53 trên 90.936) có onpromotion lớn hơn 0 với giá trị lớn nhất là 1, còn BOOKS chưa từng có khuyến mãi; các mức 5 và 10 nằm hoàn toàn ngoài miền dữ liệu của nhóm. Một cách giải thích hợp lý là mô hình toàn cục áp dụng cho nhóm nhỏ các quy luật học được từ những nhóm thường có onpromotion cao, nhưng cơ chế này chưa được kiểm chứng.</w:t>
      </w:r>
    </w:p>
    <w:p>
      <w:pPr>
        <w:keepLines w:val="0"/>
        <w:spacing w:after="120"/>
        <w:ind w:firstLine="567"/>
      </w:pPr>
      <w:r>
        <w:t xml:space="preserve">Lớp quyết định đưa rủi ro ngoại suy trực tiếp vào logic khuyến nghị. Stage 08 gắn mã PROMO_EXTRAPOLATION khi có kịch bản làm P50 thay đổi hơn 100% (809 phiếu có cảnh báo ngoại suy; nhiều hơn 783 chuỗi nêu trên 26 chuỗi vì các chuỗi có P50 Current = 0 được coi là ngoại suy khi có bất kỳ thay đổi dương nào), và chỉ đưa ra khuyến nghị CÂN NHẮC THỬ NGHIỆM khi có kịch bản trong miền |Δ| ≤ 100% làm P50 tăng hơn 2% (683 phiếu); 1.099 phiếu còn lại là KHÔNG ĐỀ XUẤT TĂNG. Ngưỡng 100% là quy tắc thận trọng đơn giản, không phải kiểm tra miền dữ liệu theo nghĩa chặt, nên hướng hoàn thiện là so sánh trực tiếp giá trị onpromotion của kịch bản với phân phối lịch sử của chuỗi hoặc nhóm. Tầm quan trọng của thông tin khuyến mãi trong và giữa các nhóm hàng đã được Ma, Fildes và Huang (2016) chỉ ra, nhưng để đánh giá một chương trình khuyến mãi cần thêm mức chiết khấu, giá, biên lợi nhuận, hiệu ứng ăn mòn doanh số (cannibalization) và thiết kế nhận diện nhân quả theo khung kết quả tiềm năng (Imbens và Rubin, 2015).</w:t>
      </w:r>
    </w:p>
    <w:p>
      <w:pPr>
        <w:pStyle w:val="Heading2"/>
        <w:keepNext/>
      </w:pPr>
      <w:r>
        <w:t xml:space="preserve">5.6. Lớp Generative AI, dashboard và cơ chế HITL</w:t>
      </w:r>
    </w:p>
    <w:p>
      <w:pPr>
        <w:pStyle w:val="Heading3"/>
        <w:keepNext/>
      </w:pPr>
      <w:r>
        <w:t xml:space="preserve">5.6.1. Kiến trúc bám bằng chứng của lớp hỗ trợ quyết định</w:t>
      </w:r>
    </w:p>
    <w:p>
      <w:pPr>
        <w:keepLines w:val="0"/>
        <w:spacing w:after="120"/>
        <w:ind w:firstLine="567"/>
      </w:pPr>
      <w:r>
        <w:t xml:space="preserve">Trong kiến trúc của luận văn, Generative AI không phải bộ máy dự báo và không có quyền tạo số liệu; vai trò dự kiến là nhận gói bằng chứng định lượng, truy xuất chính sách bằng sinh tăng cường truy xuất (RAG) và diễn giải cho người lập kế hoạch (Lewis và cộng sự, 2020); (Gao và cộng sự, 2023). Luận văn hiện thực hóa vai trò này bằng ba lớp tách bạch. Lớp thứ nhất là bộ quy tắc tạo phiếu khuyến nghị cho toàn bộ 1.782 chuỗi, gồm tóm tắt điều hành, ba phương án số lượng (A theo P50, B theo q* xấp xỉ, C theo P90), hành động, khuyến nghị khuyến mãi, mức tin cậy, giả định, danh mục kiểm tra và chính sách trích dẫn. Lớp thứ hai là RAG kết hợp BM25 và thẻ phân loại trên hai tệp chính sách mẫu giả định với 12 quy định, trong đó quy định mà quy tắc đã áp dụng được trích dẫn bắt buộc và truy vấn sinh theo mã lý do của phiếu. Lớp thứ ba là mô hình ngôn ngữ lớn tùy chọn, chỉ được viết lại tóm tắt, cơ sở và ghi chú khuyến mãi cho tối đa 30 phiếu ưu tiên.</w:t>
      </w:r>
    </w:p>
    <w:p>
      <w:pPr>
        <w:keepLines w:val="0"/>
        <w:spacing w:after="120"/>
        <w:ind w:firstLine="567"/>
      </w:pPr>
      <w:r>
        <w:t xml:space="preserve">Điểm then chốt là cơ chế kiểm tra bám bằng chứng: mọi số lớn hơn 31 trong văn bản của mô hình ngôn ngữ phải khớp một số trong gói bằng chứng, với sai lệch không quá 0,5% hoặc 0,5 đơn vị; nếu không, bản của mô hình bị loại (RULE_BASED_AFTER_GUARDRAIL), còn lỗi gọi dịch vụ dẫn tới RULE_BASED_AFTER_ERROR. Cơ chế này nhắm vào dạng ảo giác nguy hiểm nhất trong bối cảnh tồn kho là số liệu bịa (Ji và cộng sự, 2023), nhưng phạm vi của nó hẹp: không kiểm tra nhận định định tính, hàm ý nhân quả hay việc diễn giải sai một con số đúng, và không kiểm tra các số không vượt quá 31. Phiếu #1 (CH 10 – BEVERAGES) minh họa giá trị của việc trình bày bằng chứng đầy đủ: P50 16 ngày 22.173 và khoảng P10–P90 từ 16.083 đến 33.099, ba phương án bổ sung 4.435, 11.264 và 15.361, mọi kịch bản khuyến mãi đều thấp hơn Current nên KHÔNG ĐỀ XUẤT TĂNG, và các giả định như vị thế tồn kho 17.738 được ghi rõ. Chính sách trong knowledge_base là chính sách mẫu do tác giả soạn để minh họa, không phải chính sách của Favorita.</w:t>
      </w:r>
    </w:p>
    <w:p>
      <w:pPr>
        <w:pStyle w:val="Heading3"/>
        <w:keepNext/>
      </w:pPr>
      <w:r>
        <w:t xml:space="preserve">5.6.2. Trạng thái thực thi và điểm ưu tiên của hàng đợi quyết định</w:t>
      </w:r>
    </w:p>
    <w:p>
      <w:pPr>
        <w:keepLines w:val="0"/>
        <w:spacing w:after="120"/>
        <w:ind w:firstLine="567"/>
      </w:pPr>
      <w:r>
        <w:t xml:space="preserve">Trạng thái thực thi phải được nêu chính xác: genai_run_status.csv ghi api_key_present = False, cả 1.782 phiếu ở chế độ RULE_BASED, và số bản bị loại là 0 vì không có bản nào được tạo. Luồng gọi mô hình ngôn ngữ và kiểm tra bám bằng chứng mới được kiểm thử bằng mô phỏng, không gọi API thật: bản hợp lệ được chấp nhận ở chế độ GENAI, bản chứa số không có trong bằng chứng bị loại, JSON lỗi làm hệ thống quay về quy tắc. Kiểm thử này xác nhận logic điều khiển đúng thiết kế, nhưng không cung cấp bằng chứng nào về tỷ lệ ảo giác, chất lượng diễn giải hay mức độ hữu ích với người lập kế hoạch của một mô hình cụ thể, kể cả mô hình mặc định gpt-5-mini. Đóng góp của lớp GenAI vì vậy dừng ở kiến trúc bám bằng chứng, phiếu chuẩn hóa và luồng kiểm soát; đánh giá với mô hình thật, bộ câu hỏi chuẩn và tiêu chí chấm định trước là bước bắt buộc trước khi khẳng định giá trị gia tăng của mô hình ngôn ngữ.</w:t>
      </w:r>
    </w:p>
    <w:p>
      <w:pPr>
        <w:keepLines w:val="0"/>
        <w:spacing w:after="120"/>
        <w:ind w:firstLine="567"/>
      </w:pPr>
      <w:r>
        <w:t xml:space="preserve">Hàng đợi quyết định tạo phiếu cho mọi chuỗi, sinh truy vấn RAG theo từng phiếu và xếp hàng bằng điểm ưu tiên số học tính từ mã lý do, vì nếu sắp xếp trực tiếp theo nhãn dạng chuỗi ký tự, thứ tự thu được là thứ tự chữ cái chứ không phải mức độ ưu tiên. Điểm ưu tiên được định nghĩa minh bạch: LARGE_SERIES cộng 3 khi P50 trung bình theo ngày đạt từ phân vị 75% trở lên, RISK_HIGH cộng 2, RISK_MEDIUM cộng 1, PROMO_EXTRAPOLATION cộng 1. Kết quả là 360 phiếu có từ 4 điểm trở lên đều là chuỗi lớn, mười phiếu đầu đều thuộc BEVERAGES hoặc GROCERY I, và phiếu #1 là chuỗi duy nhất vừa lớn vừa có nhãn HIGH, với mức tin cậy THẤP. Trọng số quy mô lớn hơn trọng số nhãn nên các chuỗi chủ lực có khoảng kém tin cậy được đưa lên đầu. Tuy vậy, LARGE_SERIES đo quy mô theo đơn vị bán chứ không theo giá trị; trong 890 phiếu cùng 3 điểm, gồm 84 chuỗi lớn nhãn LOW và 806 chuỗi HIGH có cảnh báo ngoại suy, thứ tự chỉ do P50 quyết định; và mức tin cậy (1.506 TRUNG BÌNH, 275 CAO, 1 THẤP) chưa được hiệu chỉnh với tần suất sai lệch thực tế. Khi có giá và biên lợi nhuận, điểm ưu tiên nên dựa trên phơi nhiễm kinh tế theo (5.1).</w:t>
      </w:r>
    </w:p>
    <w:p>
      <w:pPr>
        <w:pStyle w:val="Heading3"/>
        <w:keepNext/>
      </w:pPr>
      <w:r>
        <w:t xml:space="preserve">5.6.3. Dashboard, nhật ký HITL và phân quyền</w:t>
      </w:r>
    </w:p>
    <w:p>
      <w:pPr>
        <w:keepLines w:val="0"/>
        <w:spacing w:after="120"/>
        <w:ind w:firstLine="567"/>
      </w:pPr>
      <w:r>
        <w:t xml:space="preserve">Dashboard gồm 11 trang; trang 07 chứa hàng đợi ưu tiên với bộ lọc, thẻ phiếu khuyến nghị, ba phương án số lượng và các tab bằng chứng, kịch bản, chính sách, giả định cùng phiếu Markdown tải về. Cơ chế con người trong vòng lặp (Human-in-the-Loop – HITL) được thiết kế thành biểu mẫu kiểm soát: người dùng bắt buộc nhập người phê duyệt và lý do, chọn một trong bốn quyết định APPROVED, ADJUSTED, REJECTED hoặc REVIEW_REQUESTED và nhập số lượng cuối cùng; mỗi quyết định ghi một dòng 14 cột vào hitl_audit_log.csv, trong đó có recommended_qty, final_qty, reviewer, note và assistant_mode. Mọi phiếu ở trạng thái PENDING_HUMAN_REVIEW, nên không khuyến nghị nào tự động thành hành động, phù hợp với các hướng dẫn tương tác người – AI (Amershi và cộng sự, 2019) và tổng quan về HITL (Wu và cộng sự, 2022). Việc ghi cả số lượng đề xuất, số lượng cuối cùng và chế độ trợ lý cho phép sau này đo mức điều chỉnh của con người và so sánh phiếu theo quy tắc với phiếu có diễn giải của mô hình ngôn ngữ.</w:t>
      </w:r>
    </w:p>
    <w:p>
      <w:pPr>
        <w:keepLines w:val="0"/>
        <w:spacing w:after="120"/>
        <w:ind w:firstLine="567"/>
      </w:pPr>
      <w:r>
        <w:t xml:space="preserve">Cần phân biệt phần đã triển khai và phần đề xuất. Trong lần chạy chính thức chưa có quyết định phê duyệt thật nào; tệp hitl_audit_log.csv chỉ được tạo khi người dùng ghi quyết định đầu tiên trên dashboard, nên luận văn không có dữ liệu về tỷ lệ phê duyệt, mức điều chỉnh hay thời gian xử lý và chưa thể đánh giá hiệu quả của HITL. Việc 11 trang dashboard chạy không lỗi được xác nhận bằng Streamlit AppTest, nhưng đó là kiểm thử kỹ thuật, không phải đánh giá người dùng. Các trường 14 cột là đã triển khai; phân quyền theo vai trò, phê duyệt nhiều cấp theo giá trị đơn hàng và lưu phiên bản mô hình, dữ liệu, lời nhắc (prompt) cùng ảnh chụp gói bằng chứng là đề xuất. Hệ thống vận hành cũng nên áp dụng nguyên tắc đặc quyền tối thiểu: lớp GenAI được đọc dự báo và chính sách nhưng không tự gửi đơn đặt hàng hay đổi lịch khuyến mãi. Với thương mại điện tử, nơi giá và khuyến mãi có thể thay đổi gần như tức thời, ranh giới quyền hạn này cần được thiết lập ở tầng hệ thống chứ không chỉ ở giao diện.</w:t>
      </w:r>
    </w:p>
    <w:p>
      <w:pPr>
        <w:pStyle w:val="Heading3"/>
        <w:keepNext/>
      </w:pPr>
      <w:r>
        <w:t xml:space="preserve">5.6.4. Trang xuất báo cáo và mẫu ra quyết định dự báo</w:t>
      </w:r>
    </w:p>
    <w:p>
      <w:pPr>
        <w:keepLines w:val="0"/>
        <w:spacing w:after="120"/>
        <w:ind w:firstLine="567"/>
      </w:pPr>
      <w:r>
        <w:t xml:space="preserve">Trang 10 của dashboard (Xuất báo cáo và Mẫu quyết định) đưa kết quả của quy trình ra khỏi giao diện phân tích để vào các công cụ quen thuộc của người lập kế hoạch. Người dùng chọn phạm vi theo cửa hàng, nhóm hàng và nhãn rủi ro rồi tải ba loại sản phẩm: workbook Excel nhiều sheet (Bìa, KPI kèm ba biểu đồ, kết quả kiểm định chéo, tập kiểm tra cuối, dự báo theo ngày, tồn kho, khuyến mãi, hàng đợi quyết định và sai số theo chuỗi); báo cáo tóm tắt một trang dạng HTML và PDF A4; và Mẫu ra quyết định dự báo. Mọi giá trị đều đọc từ outputs/, không tạo số liệu mới, và kỳ dự báo trong các tệp xuất là 31/07–15/08/2017. Ý nghĩa quản trị của trang này là thu hẹp khoảng cách giữa mô hình và công việc hằng ngày: mỗi bộ phận có thể nhận một báo cáo đúng phạm vi phụ trách mà không cần truy cập tệp kết quả, còn báo cáo một trang phù hợp cho cấp quản lý cần nắm KPI nhanh. Kiểm thử cho thấy workbook toàn hệ thống gồm 9 sheet với WAPE 14,327% và bao phủ 75,40%, khớp kết quả của Stage 04 và Stage 05, nên các con số người dùng nhận được nhất quán với kết quả được báo cáo trong luận văn.</w:t>
      </w:r>
    </w:p>
    <w:p>
      <w:pPr>
        <w:keepLines w:val="0"/>
        <w:spacing w:after="120"/>
        <w:ind w:firstLine="567"/>
      </w:pPr>
      <w:r>
        <w:t xml:space="preserve">Mẫu ra quyết định dự báo là phiên bản bảng tính của vòng HITL: mỗi dòng là một chuỗi với P10, P50, P90, nhãn, mức tin cậy, ba mức mục tiêu A (P50), B (q* nội suy) và C (P90), phương án và số lượng đề xuất được khóa; người lập kế hoạch nhập tồn kho thực tế, hàng đang về, quyết định (Duyệt, Điều chỉnh, Từ chối hoặc Yêu cầu xem lại), phương án, số lượng cuối, lý do, người duyệt và ngày duyệt. Số lượng cần theo tồn thực được tính bằng max(mục tiêu − tồn thực − hàng đang về, 0), nghĩa là giả định vị thế 0,8 × P50 của Stage 07 được thay bằng dữ liệu thật ngay tại bước ra quyết định; cột Kiểm soát cảnh báo khi thiếu lý do hoặc người duyệt, khi số lượng vượt mục tiêu P90, khi lệch hơn 30% hoặc khi chuỗi có cảnh báo ngoại suy khuyến mãi. Kiểm thử với 1.782 chuỗi và ba quyết định nhập thử cho 7.140 công thức không lỗi. Như vậy, mẫu này cho phép bù đắp một phần hạn chế thiếu tồn kho thực ở cấp quy trình, đồng thời buộc mọi điều chỉnh có lý do và người chịu trách nhiệm; tuy vậy, luận văn chưa có dữ liệu sử dụng thật để đánh giá mức độ hữu ích của nó.</w:t>
      </w:r>
    </w:p>
    <w:p>
      <w:pPr>
        <w:pStyle w:val="Heading2"/>
        <w:keepNext/>
      </w:pPr>
      <w:r>
        <w:t xml:space="preserve">5.7. Hàm ý quản trị cho bán lẻ và thương mại điện tử</w:t>
      </w:r>
    </w:p>
    <w:p>
      <w:pPr>
        <w:pStyle w:val="Heading3"/>
        <w:keepNext/>
      </w:pPr>
      <w:r>
        <w:t xml:space="preserve">5.7.1. Phân bổ nỗ lực lập kế hoạch theo khối lượng và độ chệch</w:t>
      </w:r>
    </w:p>
    <w:p>
      <w:pPr>
        <w:keepLines w:val="0"/>
        <w:spacing w:after="120"/>
        <w:ind w:firstLine="567"/>
      </w:pPr>
      <w:r>
        <w:t xml:space="preserve">Nhu cầu của Favorita tập trung mạnh: tứ phân vị cao nhất chiếm 92,70% tổng doanh số thực tế của tập kiểm tra cuối, và năm nhóm lớn nhất (GROCERY I, BEVERAGES, PRODUCE, CLEANING, DAIRY) chiếm khoảng 80,71%. Sai số tương đối ở phần lớn các chuỗi này thấp (WAPE của Q4 là 13,39%, GROCERY I 10,56%, PRODUCE 8,76%), dù CLEANING (21,99%) và BEVERAGES (15,89%) cao hơn mức 14,327% của toàn tập. Đáng chú ý là độ chệch có dấu lớn (BEVERAGES −128,35, PRODUCE −93,42, DAIRY −87,38, GROCERY I −71,92 theo trung bình mỗi dòng) và độ bao phủ của BEVERAGES (60,53%), CLEANING (60,88%) và GROCERY I (67,36%) còn dưới mức tổng. Với nhà bán lẻ thực phẩm, dự báo thừa có hệ thống ở nhóm dễ hỏng như PRODUCE hay DAIRY là nguồn rủi ro hư hỏng và tồn dư dù WAPE trông tốt. Bảng giám sát vì vậy nên đặt cạnh nhau WAPE, độ chệch có dấu và độ bao phủ có điều kiện cho các nhóm chủ lực, và cân nhắc hiệu chỉnh độ chệch theo phân đoạn như bước hậu xử lý có kiểm soát (Fildes, Ma và Kolassa, 2022).</w:t>
      </w:r>
    </w:p>
    <w:p>
      <w:pPr>
        <w:keepLines w:val="0"/>
        <w:spacing w:after="120"/>
        <w:ind w:firstLine="567"/>
      </w:pPr>
      <w:r>
        <w:t xml:space="preserve">Ở chiều ngược lại, các chuỗi và cửa hàng nhỏ có sai số tương đối cao hơn nhiều: WAPE theo cửa hàng từ 8,81% (CH 52) đến 29,18% (CH 30), với Spearman giữa quy mô cửa hàng và WAPE là −0,614; theo nhóm sản phẩm, hệ số này là −0,902. Theo chuỗi, trung vị WAPE là 32,07%, 205 chuỗi có WAPE trên 100% và 129 chuỗi không bán được đơn vị nào trong 16 ngày. Với các chuỗi này, cải thiện WAPE ít có giá trị kinh tế; cách quản trị phù hợp hơn là quy tắc bổ sung đơn giản kiểu mức tối thiểu – tối đa, kết hợp phương pháp chuyên cho cầu gián đoạn (Croston, 1972) và phân loại mẫu hình cầu (Syntetos, Boylan và Croston, 2005) khi mở rộng nghiên cứu. Với doanh nghiệp thương mại điện tử có danh mục đuôi dài, phân tầng giữa nhóm chủ lực được lập kế hoạch kỹ và nhóm đuôi dài quản lý theo quy tắc là cách chuyển kết quả sang bối cảnh mới, với điều kiện được kiểm chứng lại trên dữ liệu của chính doanh nghiệp.</w:t>
      </w:r>
    </w:p>
    <w:p>
      <w:pPr>
        <w:pStyle w:val="Heading3"/>
        <w:keepNext/>
      </w:pPr>
      <w:r>
        <w:t xml:space="preserve">5.7.2. Sử dụng dự báo xác suất, kịch bản và tồn kho có điều kiện</w:t>
      </w:r>
    </w:p>
    <w:p>
      <w:pPr>
        <w:keepLines w:val="0"/>
        <w:spacing w:after="120"/>
        <w:ind w:firstLine="567"/>
      </w:pPr>
      <w:r>
        <w:t xml:space="preserve">Doanh nghiệp chỉ nên dùng P10/P90 cho quyết định tồn kho sau khi kiểm tra bao phủ có điều kiện theo phân đoạn. Với khoảng theo nhóm quy mô, tồn kho an toàn thay đổi theo chuỗi, nhưng các chuỗi chủ lực nhãn LOW có độ bao phủ trung bình 58,18%, nên P90 của chúng vẫn có thể quá mỏng. Lộ trình hợp lý gồm ba bước: hiệu chỉnh lại khoảng theo quy mô và nhóm hàng kèm theo dõi bao phủ cuốn chiếu; bổ sung vị thế tồn kho, đơn hàng đang mở và thời gian cung ứng thực; sau đó mới ước lượng chi phí thiếu hàng và tồn dư để xác định q* theo nhóm. Trước khi hoàn tất các bước này, phiếu khuyến nghị và Mẫu ra quyết định dự báo nên được dùng như công cụ rà soát có cấu trúc, không phải lệnh đặt hàng; cột tồn kho thực tế và hàng đang về của mẫu là nơi phù hợp để bộ phận kế hoạch thay giả định 0,8 × P50 bằng số liệu thật ngay từ khi thí điểm.</w:t>
      </w:r>
    </w:p>
    <w:p>
      <w:pPr>
        <w:keepLines w:val="0"/>
        <w:spacing w:after="120"/>
        <w:ind w:firstLine="567"/>
      </w:pPr>
      <w:r>
        <w:t xml:space="preserve">Đối với khuyến mãi, kết quả gợi ý một quy trình hai tầng. Tầng thứ nhất dùng kịch bản điều kiện, được định nghĩa tương đối theo mức khuyến mãi lịch sử của từng chuỗi và có cờ ngoại suy bắt buộc, để sàng lọc các tổ hợp có độ nhạy hợp lý. Tầng thứ hai dành cho bộ phận kinh doanh hàng hóa và tiếp thị: kiểm tra giá, mức chiết khấu, biên lợi nhuận, tồn kho và hiệu ứng ăn mòn trước khi quyết định. Với thương mại điện tử, nơi thử nghiệm có đối chứng trên kênh trực tuyến tương đối dễ thiết kế, danh sách phiếu CÂN NHẮC THỬ NGHIỆM phù hợp để chọn nhóm hàng đưa vào thử nghiệm và thu được ước lượng nhân quả. Một điều kiện tiên quyết là giả định onpromotion biết trước: mô hình dùng onpromotion thực tế của kỳ dự báo, nên doanh nghiệp cần lưu và phiên bản hóa kế hoạch khuyến mãi tại thời điểm dự báo.</w:t>
      </w:r>
    </w:p>
    <w:p>
      <w:pPr>
        <w:pStyle w:val="Heading3"/>
        <w:keepNext/>
      </w:pPr>
      <w:r>
        <w:t xml:space="preserve">5.7.3. Kiểm thử quy trình như năng lực quản trị mô hình và đóng góp của luận văn</w:t>
      </w:r>
    </w:p>
    <w:p>
      <w:pPr>
        <w:keepLines w:val="0"/>
        <w:spacing w:after="120"/>
        <w:ind w:firstLine="567"/>
      </w:pPr>
      <w:r>
        <w:t xml:space="preserve">Hàm ý thứ ba liên quan đến cách nghiệm thu một hệ thống dự báo. Nhiều sai sót trong quy trình dự báo – quyết định không làm quy trình dừng mà vẫn cho đầu ra hợp lệ về hình thức, chẳng hạn một đặc trưng vô tình chứa thông tin của kỳ dự báo hay một khoảng dự báo đạt bao phủ tổng nhưng lệch ở từng phân đoạn. Việc nghiệm thu vì vậy không thể chỉ dựa vào chỉ số độ chính xác tổng hợp mà cần kiểm thử dựa trên dữ liệu đầu ra và các ràng buộc phương pháp. Lần chạy chính thức minh họa một bộ kiểm thử tối thiểu như vậy (mục 3.14): smoke test toàn quy trình ở Stage 10 (PASS), kiểm thử đơn vị tests/test_core.py (4/4 đạt), kiểm tra nội bộ của Stage 11 và 12, AppTest mở 11/11 trang dashboard, kiểm thử luồng mô hình ngôn ngữ bằng phản hồi giả lập và kiểm thử Mẫu ra quyết định với 7.140 công thức không lỗi. Kiểm thử tự động và thí nghiệm độ nhạy nên là bước bắt buộc trong quy trình phát hành mô hình, và mỗi tuyên bố cải thiện nên được gắn với nguyên nhân qua thí nghiệm thay đổi đúng một yếu tố.</w:t>
      </w:r>
    </w:p>
    <w:p>
      <w:pPr>
        <w:keepLines w:val="0"/>
        <w:spacing w:after="120"/>
        <w:ind w:firstLine="567"/>
      </w:pPr>
      <w:r>
        <w:t xml:space="preserve">Về học thuật, luận văn kết nối độ chính xác dự báo, lượng hóa bất định và hỗ trợ quyết định trên cùng một bộ dữ liệu bán lẻ nhiều chuỗi, tương thích với quan điểm rằng giá trị của dự báo được đánh giá qua quyết định mà nó hỗ trợ (Fildes, Ma và Kolassa, 2022); (Petropoulos và cộng sự, 2022). Đóng góp đáng chú ý hơn là bằng chứng về khoảng cách giữa chỉ số tổng hợp và chất lượng ở cấp phân đoạn: bao phủ tổng 75,40% đi kèm bao phủ tương đối đồng đều giữa các tứ phân vị quy mô nhưng khác nhau đáng kể giữa các nhóm hàng chủ lực; WAPE 14,327% đi kèm độ chệch có hệ thống tập trung vào cuối tuần; và nhãn bất định tương đối vẫn gắn với quy mô ngay cả khi khoảng đã thích ứng theo quy mô. Về thực tiễn, đóng góp là một quy trình khép kín, tái lập được từ train.csv bằng một tệp khởi chạy, từ dữ liệu, đặc trưng theo ngày lịch, năm mô hình, lớp xác suất, kịch bản có cờ ngoại suy, mô phỏng tồn kho, phiếu khuyến nghị bám bằng chứng đến dashboard có biểu mẫu HITL và các tệp xuất cho người lập kế hoạch, trong đó con số nào là dự báo, con số nào là giả định đều truy ngược được.</w:t>
      </w:r>
    </w:p>
    <w:p>
      <w:pPr>
        <w:pStyle w:val="Heading2"/>
        <w:keepNext/>
      </w:pPr>
      <w:r>
        <w:t xml:space="preserve">5.8. Hạn chế của nghiên cứu</w:t>
      </w:r>
    </w:p>
    <w:p>
      <w:pPr>
        <w:pStyle w:val="Heading3"/>
        <w:keepNext/>
      </w:pPr>
      <w:r>
        <w:t xml:space="preserve">5.8.1. Tổng hợp các hạn chế</w:t>
      </w:r>
    </w:p>
    <w:p>
      <w:pPr>
        <w:keepLines w:val="0"/>
        <w:spacing w:after="120"/>
        <w:ind w:firstLine="567"/>
      </w:pPr>
      <w:r>
        <w:t xml:space="preserve">Các hạn chế của lần chạy chính thức được hệ thống hóa trong Bảng 5.4 theo bốn cột: nội dung, bằng chứng trong tệp kết quả hoặc mã nguồn, ảnh hưởng tới kết luận và hướng khắc phục. Các hạn chế thuộc bốn cụm: thiết kế đánh giá và cấu hình mô hình; lớp xác suất và lớp quyết định; dữ liệu và đặc trưng; lớp GenAI, HITL và khả năng tái lập, khái quát hóa. Mỗi hạn chế đều được gắn với một tệp kết quả hoặc một tham số cụ thể để người đọc có thể kiểm tra lại, và hướng khắc phục được phát biểu ở mức có thể thực hiện với dữ liệu hiện có hoặc với dữ liệu vận hành bổ sung.</w:t>
      </w:r>
    </w:p>
    <w:p>
      <w:pPr>
        <w:keepNext/>
        <w:spacing w:before="120" w:after="60"/>
        <w:ind w:firstLine="0"/>
        <w:jc w:val="center"/>
      </w:pPr>
      <w:r>
        <w:t xml:space="preserve">Bảng 5.4. Các hạn chế của nghiên cứu: bằng chứng, ảnh hưởng tới kết luận và hướng khắc phục</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790"/>
        <w:gridCol w:w="2497"/>
        <w:gridCol w:w="2597"/>
        <w:gridCol w:w="2187"/>
      </w:tblGrid>
      <w:tr>
        <w:trPr>
          <w:tblHeader/>
          <w:cantSplit/>
        </w:trPr>
        <w:tc>
          <w:tcPr>
            <w:tcW w:type="dxa" w:w="1790"/>
            <w:shd w:val="clear" w:color="auto" w:fill="D9E2F3"/>
            <w:vAlign w:val="center"/>
          </w:tcPr>
          <w:p>
            <w:pPr>
              <w:spacing w:before="20" w:after="20" w:line="260" w:lineRule="auto"/>
              <w:ind w:firstLine="0"/>
              <w:jc w:val="center"/>
            </w:pPr>
            <w:r>
              <w:rPr>
                <w:b/>
                <w:sz w:val="20"/>
                <w:szCs w:val="20"/>
              </w:rPr>
              <w:t xml:space="preserve">Hạn chế</w:t>
            </w:r>
          </w:p>
        </w:tc>
        <w:tc>
          <w:tcPr>
            <w:tcW w:type="dxa" w:w="2497"/>
            <w:shd w:val="clear" w:color="auto" w:fill="D9E2F3"/>
            <w:vAlign w:val="center"/>
          </w:tcPr>
          <w:p>
            <w:pPr>
              <w:spacing w:before="20" w:after="20" w:line="260" w:lineRule="auto"/>
              <w:ind w:firstLine="0"/>
              <w:jc w:val="center"/>
            </w:pPr>
            <w:r>
              <w:rPr>
                <w:b/>
                <w:sz w:val="20"/>
                <w:szCs w:val="20"/>
              </w:rPr>
              <w:t xml:space="preserve">Bằng chứng</w:t>
            </w:r>
          </w:p>
        </w:tc>
        <w:tc>
          <w:tcPr>
            <w:tcW w:type="dxa" w:w="2597"/>
            <w:shd w:val="clear" w:color="auto" w:fill="D9E2F3"/>
            <w:vAlign w:val="center"/>
          </w:tcPr>
          <w:p>
            <w:pPr>
              <w:spacing w:before="20" w:after="20" w:line="260" w:lineRule="auto"/>
              <w:ind w:firstLine="0"/>
              <w:jc w:val="center"/>
            </w:pPr>
            <w:r>
              <w:rPr>
                <w:b/>
                <w:sz w:val="20"/>
                <w:szCs w:val="20"/>
              </w:rPr>
              <w:t xml:space="preserve">Ảnh hưởng tới kết luận</w:t>
            </w:r>
          </w:p>
        </w:tc>
        <w:tc>
          <w:tcPr>
            <w:tcW w:type="dxa" w:w="2187"/>
            <w:shd w:val="clear" w:color="auto" w:fill="D9E2F3"/>
            <w:vAlign w:val="center"/>
          </w:tcPr>
          <w:p>
            <w:pPr>
              <w:spacing w:before="20" w:after="20" w:line="260" w:lineRule="auto"/>
              <w:ind w:firstLine="0"/>
              <w:jc w:val="center"/>
            </w:pPr>
            <w:r>
              <w:rPr>
                <w:b/>
                <w:sz w:val="20"/>
                <w:szCs w:val="20"/>
              </w:rPr>
              <w:t xml:space="preserve">Hướng khắc phục</w:t>
            </w:r>
          </w:p>
        </w:tc>
      </w:tr>
      <w:tr>
        <w:trPr>
          <w:cantSplit/>
        </w:trPr>
        <w:tc>
          <w:tcPr>
            <w:tcW w:type="dxa" w:w="1790"/>
            <w:vAlign w:val="center"/>
          </w:tcPr>
          <w:p>
            <w:pPr>
              <w:spacing w:before="20" w:after="20" w:line="260" w:lineRule="auto"/>
              <w:ind w:firstLine="0"/>
              <w:jc w:val="left"/>
            </w:pPr>
            <w:r>
              <w:rPr>
                <w:sz w:val="20"/>
                <w:szCs w:val="20"/>
              </w:rPr>
              <w:t xml:space="preserve">Chỉ 3 lần kiểm định</w:t>
            </w:r>
          </w:p>
        </w:tc>
        <w:tc>
          <w:tcPr>
            <w:tcW w:type="dxa" w:w="2497"/>
            <w:vAlign w:val="center"/>
          </w:tcPr>
          <w:p>
            <w:pPr>
              <w:spacing w:before="20" w:after="20" w:line="260" w:lineRule="auto"/>
              <w:ind w:firstLine="0"/>
              <w:jc w:val="left"/>
            </w:pPr>
            <w:r>
              <w:rPr>
                <w:sz w:val="20"/>
                <w:szCs w:val="20"/>
              </w:rPr>
              <w:t xml:space="preserve">3 cửa sổ 16 ngày liền kề, 13/06/2017–30/07/2017</w:t>
            </w:r>
          </w:p>
        </w:tc>
        <w:tc>
          <w:tcPr>
            <w:tcW w:type="dxa" w:w="2597"/>
            <w:vAlign w:val="center"/>
          </w:tcPr>
          <w:p>
            <w:pPr>
              <w:spacing w:before="20" w:after="20" w:line="260" w:lineRule="auto"/>
              <w:ind w:firstLine="0"/>
              <w:jc w:val="left"/>
            </w:pPr>
            <w:r>
              <w:rPr>
                <w:sz w:val="20"/>
                <w:szCs w:val="20"/>
              </w:rPr>
              <w:t xml:space="preserve">Không kiểm định được ý nghĩa thống kê; chênh lệch 0,478 điểm % giữa XGBoost và LightGBM nhỏ hơn sd 0,646 điểm % của XGBoost</w:t>
            </w:r>
          </w:p>
        </w:tc>
        <w:tc>
          <w:tcPr>
            <w:tcW w:type="dxa" w:w="2187"/>
            <w:vAlign w:val="center"/>
          </w:tcPr>
          <w:p>
            <w:pPr>
              <w:spacing w:before="20" w:after="20" w:line="260" w:lineRule="auto"/>
              <w:ind w:firstLine="0"/>
              <w:jc w:val="left"/>
            </w:pPr>
            <w:r>
              <w:rPr>
                <w:sz w:val="20"/>
                <w:szCs w:val="20"/>
              </w:rPr>
              <w:t xml:space="preserve">Tăng số lần kiểm định, trải trên nhiều mùa trong năm</w:t>
            </w:r>
          </w:p>
        </w:tc>
      </w:tr>
      <w:tr>
        <w:trPr>
          <w:cantSplit/>
        </w:trPr>
        <w:tc>
          <w:tcPr>
            <w:tcW w:type="dxa" w:w="1790"/>
            <w:vAlign w:val="center"/>
          </w:tcPr>
          <w:p>
            <w:pPr>
              <w:spacing w:before="20" w:after="20" w:line="260" w:lineRule="auto"/>
              <w:ind w:firstLine="0"/>
              <w:jc w:val="left"/>
            </w:pPr>
            <w:r>
              <w:rPr>
                <w:sz w:val="20"/>
                <w:szCs w:val="20"/>
              </w:rPr>
              <w:t xml:space="preserve">Không tinh chỉnh siêu tham số</w:t>
            </w:r>
          </w:p>
        </w:tc>
        <w:tc>
          <w:tcPr>
            <w:tcW w:type="dxa" w:w="2497"/>
            <w:vAlign w:val="center"/>
          </w:tcPr>
          <w:p>
            <w:pPr>
              <w:spacing w:before="20" w:after="20" w:line="260" w:lineRule="auto"/>
              <w:ind w:firstLine="0"/>
              <w:jc w:val="left"/>
            </w:pPr>
            <w:r>
              <w:rPr>
                <w:sz w:val="20"/>
                <w:szCs w:val="20"/>
              </w:rPr>
              <w:t xml:space="preserve">Cấu hình cố định cho cả 4 mô hình học máy (Seasonal Naive không có siêu tham số)</w:t>
            </w:r>
          </w:p>
        </w:tc>
        <w:tc>
          <w:tcPr>
            <w:tcW w:type="dxa" w:w="2597"/>
            <w:vAlign w:val="center"/>
          </w:tcPr>
          <w:p>
            <w:pPr>
              <w:spacing w:before="20" w:after="20" w:line="260" w:lineRule="auto"/>
              <w:ind w:firstLine="0"/>
              <w:jc w:val="left"/>
            </w:pPr>
            <w:r>
              <w:rPr>
                <w:sz w:val="20"/>
                <w:szCs w:val="20"/>
              </w:rPr>
              <w:t xml:space="preserve">Thứ hạng giữa các mô hình cây có thể thay đổi khi tinh chỉnh</w:t>
            </w:r>
          </w:p>
        </w:tc>
        <w:tc>
          <w:tcPr>
            <w:tcW w:type="dxa" w:w="2187"/>
            <w:vAlign w:val="center"/>
          </w:tcPr>
          <w:p>
            <w:pPr>
              <w:spacing w:before="20" w:after="20" w:line="260" w:lineRule="auto"/>
              <w:ind w:firstLine="0"/>
              <w:jc w:val="left"/>
            </w:pPr>
            <w:r>
              <w:rPr>
                <w:sz w:val="20"/>
                <w:szCs w:val="20"/>
              </w:rPr>
              <w:t xml:space="preserve">Tinh chỉnh lồng trong kiểm định chéo cuốn chiếu</w:t>
            </w:r>
          </w:p>
        </w:tc>
      </w:tr>
      <w:tr>
        <w:trPr>
          <w:cantSplit/>
        </w:trPr>
        <w:tc>
          <w:tcPr>
            <w:tcW w:type="dxa" w:w="1790"/>
            <w:vAlign w:val="center"/>
          </w:tcPr>
          <w:p>
            <w:pPr>
              <w:spacing w:before="20" w:after="20" w:line="260" w:lineRule="auto"/>
              <w:ind w:firstLine="0"/>
              <w:jc w:val="left"/>
            </w:pPr>
            <w:r>
              <w:rPr>
                <w:sz w:val="20"/>
                <w:szCs w:val="20"/>
              </w:rPr>
              <w:t xml:space="preserve">Random Forest giới hạn 600.000 dòng</w:t>
            </w:r>
          </w:p>
        </w:tc>
        <w:tc>
          <w:tcPr>
            <w:tcW w:type="dxa" w:w="2497"/>
            <w:vAlign w:val="center"/>
          </w:tcPr>
          <w:p>
            <w:pPr>
              <w:spacing w:before="20" w:after="20" w:line="260" w:lineRule="auto"/>
              <w:ind w:firstLine="0"/>
              <w:jc w:val="left"/>
            </w:pPr>
            <w:r>
              <w:rPr>
                <w:sz w:val="20"/>
                <w:szCs w:val="20"/>
              </w:rPr>
              <w:t xml:space="preserve">train_rows = 600.000 ở mọi lần; các mô hình khác dùng toàn bộ dữ liệu</w:t>
            </w:r>
          </w:p>
        </w:tc>
        <w:tc>
          <w:tcPr>
            <w:tcW w:type="dxa" w:w="2597"/>
            <w:vAlign w:val="center"/>
          </w:tcPr>
          <w:p>
            <w:pPr>
              <w:spacing w:before="20" w:after="20" w:line="260" w:lineRule="auto"/>
              <w:ind w:firstLine="0"/>
              <w:jc w:val="left"/>
            </w:pPr>
            <w:r>
              <w:rPr>
                <w:sz w:val="20"/>
                <w:szCs w:val="20"/>
              </w:rPr>
              <w:t xml:space="preserve">Random Forest không được so sánh trên cùng cỡ mẫu; với XGBoost, thí nghiệm độ nhạy cho thấy mẫu 600.000 dòng làm WAPE CV tăng 0,169 điểm %</w:t>
            </w:r>
          </w:p>
        </w:tc>
        <w:tc>
          <w:tcPr>
            <w:tcW w:type="dxa" w:w="2187"/>
            <w:vAlign w:val="center"/>
          </w:tcPr>
          <w:p>
            <w:pPr>
              <w:spacing w:before="20" w:after="20" w:line="260" w:lineRule="auto"/>
              <w:ind w:firstLine="0"/>
              <w:jc w:val="left"/>
            </w:pPr>
            <w:r>
              <w:rPr>
                <w:sz w:val="20"/>
                <w:szCs w:val="20"/>
              </w:rPr>
              <w:t xml:space="preserve">Cân bằng ngân sách tính toán; phân tích độ nhạy theo cỡ mẫu</w:t>
            </w:r>
          </w:p>
        </w:tc>
      </w:tr>
      <w:tr>
        <w:trPr>
          <w:cantSplit/>
        </w:trPr>
        <w:tc>
          <w:tcPr>
            <w:tcW w:type="dxa" w:w="1790"/>
            <w:vAlign w:val="center"/>
          </w:tcPr>
          <w:p>
            <w:pPr>
              <w:spacing w:before="20" w:after="20" w:line="260" w:lineRule="auto"/>
              <w:ind w:firstLine="0"/>
              <w:jc w:val="left"/>
            </w:pPr>
            <w:r>
              <w:rPr>
                <w:sz w:val="20"/>
                <w:szCs w:val="20"/>
              </w:rPr>
              <w:t xml:space="preserve">Bao phủ dưới danh nghĩa</w:t>
            </w:r>
          </w:p>
        </w:tc>
        <w:tc>
          <w:tcPr>
            <w:tcW w:type="dxa" w:w="2497"/>
            <w:vAlign w:val="center"/>
          </w:tcPr>
          <w:p>
            <w:pPr>
              <w:spacing w:before="20" w:after="20" w:line="260" w:lineRule="auto"/>
              <w:ind w:firstLine="0"/>
              <w:jc w:val="left"/>
            </w:pPr>
            <w:r>
              <w:rPr>
                <w:sz w:val="20"/>
                <w:szCs w:val="20"/>
              </w:rPr>
              <w:t xml:space="preserve">Tổng 75,40% (danh nghĩa 80%); Q1 70,86%; dưới P10 17,35%, trên P90 7,25%</w:t>
            </w:r>
          </w:p>
        </w:tc>
        <w:tc>
          <w:tcPr>
            <w:tcW w:type="dxa" w:w="2597"/>
            <w:vAlign w:val="center"/>
          </w:tcPr>
          <w:p>
            <w:pPr>
              <w:spacing w:before="20" w:after="20" w:line="260" w:lineRule="auto"/>
              <w:ind w:firstLine="0"/>
              <w:jc w:val="left"/>
            </w:pPr>
            <w:r>
              <w:rPr>
                <w:sz w:val="20"/>
                <w:szCs w:val="20"/>
              </w:rPr>
              <w:t xml:space="preserve">P10/P90 chưa đủ tin cậy cho quyết định mức dịch vụ</w:t>
            </w:r>
          </w:p>
        </w:tc>
        <w:tc>
          <w:tcPr>
            <w:tcW w:type="dxa" w:w="2187"/>
            <w:vAlign w:val="center"/>
          </w:tcPr>
          <w:p>
            <w:pPr>
              <w:spacing w:before="20" w:after="20" w:line="260" w:lineRule="auto"/>
              <w:ind w:firstLine="0"/>
              <w:jc w:val="left"/>
            </w:pPr>
            <w:r>
              <w:rPr>
                <w:sz w:val="20"/>
                <w:szCs w:val="20"/>
              </w:rPr>
              <w:t xml:space="preserve">Chia nhóm theo quy mô và nhóm hàng; CQR; phân phối cho dữ liệu đếm</w:t>
            </w:r>
          </w:p>
        </w:tc>
      </w:tr>
      <w:tr>
        <w:trPr>
          <w:cantSplit/>
        </w:trPr>
        <w:tc>
          <w:tcPr>
            <w:tcW w:type="dxa" w:w="1790"/>
            <w:vAlign w:val="center"/>
          </w:tcPr>
          <w:p>
            <w:pPr>
              <w:spacing w:before="20" w:after="20" w:line="260" w:lineRule="auto"/>
              <w:ind w:firstLine="0"/>
              <w:jc w:val="left"/>
            </w:pPr>
            <w:r>
              <w:rPr>
                <w:sz w:val="20"/>
                <w:szCs w:val="20"/>
              </w:rPr>
              <w:t xml:space="preserve">Độ rộng hằng số trong từng nhóm Mondrian</w:t>
            </w:r>
          </w:p>
        </w:tc>
        <w:tc>
          <w:tcPr>
            <w:tcW w:type="dxa" w:w="2497"/>
            <w:vAlign w:val="center"/>
          </w:tcPr>
          <w:p>
            <w:pPr>
              <w:spacing w:before="20" w:after="20" w:line="260" w:lineRule="auto"/>
              <w:ind w:firstLine="0"/>
              <w:jc w:val="left"/>
            </w:pPr>
            <w:r>
              <w:rPr>
                <w:sz w:val="20"/>
                <w:szCs w:val="20"/>
              </w:rPr>
              <w:t xml:space="preserve">Nhóm cao nhất: dự báo 1.226,78–14.739,35, độ rộng 1.175,96</w:t>
            </w:r>
          </w:p>
        </w:tc>
        <w:tc>
          <w:tcPr>
            <w:tcW w:type="dxa" w:w="2597"/>
            <w:vAlign w:val="center"/>
          </w:tcPr>
          <w:p>
            <w:pPr>
              <w:spacing w:before="20" w:after="20" w:line="260" w:lineRule="auto"/>
              <w:ind w:firstLine="0"/>
              <w:jc w:val="left"/>
            </w:pPr>
            <w:r>
              <w:rPr>
                <w:sz w:val="20"/>
                <w:szCs w:val="20"/>
              </w:rPr>
              <w:t xml:space="preserve">Chuỗi lớn vẫn có thể bị bao phủ thấp (CH 2 – BEVERAGES 43,75%)</w:t>
            </w:r>
          </w:p>
        </w:tc>
        <w:tc>
          <w:tcPr>
            <w:tcW w:type="dxa" w:w="2187"/>
            <w:vAlign w:val="center"/>
          </w:tcPr>
          <w:p>
            <w:pPr>
              <w:spacing w:before="20" w:after="20" w:line="260" w:lineRule="auto"/>
              <w:ind w:firstLine="0"/>
              <w:jc w:val="left"/>
            </w:pPr>
            <w:r>
              <w:rPr>
                <w:sz w:val="20"/>
                <w:szCs w:val="20"/>
              </w:rPr>
              <w:t xml:space="preserve">Chia nhóm mịn hơn ở vùng lớn; chuẩn hóa phần dư</w:t>
            </w:r>
          </w:p>
        </w:tc>
      </w:tr>
      <w:tr>
        <w:trPr>
          <w:cantSplit/>
        </w:trPr>
        <w:tc>
          <w:tcPr>
            <w:tcW w:type="dxa" w:w="1790"/>
            <w:vAlign w:val="center"/>
          </w:tcPr>
          <w:p>
            <w:pPr>
              <w:spacing w:before="20" w:after="20" w:line="260" w:lineRule="auto"/>
              <w:ind w:firstLine="0"/>
              <w:jc w:val="left"/>
            </w:pPr>
            <w:r>
              <w:rPr>
                <w:sz w:val="20"/>
                <w:szCs w:val="20"/>
              </w:rPr>
              <w:t xml:space="preserve">Cửa sổ hiệu chỉnh trùng lần kiểm định 3</w:t>
            </w:r>
          </w:p>
        </w:tc>
        <w:tc>
          <w:tcPr>
            <w:tcW w:type="dxa" w:w="2497"/>
            <w:vAlign w:val="center"/>
          </w:tcPr>
          <w:p>
            <w:pPr>
              <w:spacing w:before="20" w:after="20" w:line="260" w:lineRule="auto"/>
              <w:ind w:firstLine="0"/>
              <w:jc w:val="left"/>
            </w:pPr>
            <w:r>
              <w:rPr>
                <w:sz w:val="20"/>
                <w:szCs w:val="20"/>
              </w:rPr>
              <w:t xml:space="preserve">15/07/2017–30/07/2017; mô hình phần dư học trước 15/07/2017</w:t>
            </w:r>
          </w:p>
        </w:tc>
        <w:tc>
          <w:tcPr>
            <w:tcW w:type="dxa" w:w="2597"/>
            <w:vAlign w:val="center"/>
          </w:tcPr>
          <w:p>
            <w:pPr>
              <w:spacing w:before="20" w:after="20" w:line="260" w:lineRule="auto"/>
              <w:ind w:firstLine="0"/>
              <w:jc w:val="left"/>
            </w:pPr>
            <w:r>
              <w:rPr>
                <w:sz w:val="20"/>
                <w:szCs w:val="20"/>
              </w:rPr>
              <w:t xml:space="preserve">Giả định hoán đổi được yếu; phần dư chỉ từ một giai đoạn</w:t>
            </w:r>
          </w:p>
        </w:tc>
        <w:tc>
          <w:tcPr>
            <w:tcW w:type="dxa" w:w="2187"/>
            <w:vAlign w:val="center"/>
          </w:tcPr>
          <w:p>
            <w:pPr>
              <w:spacing w:before="20" w:after="20" w:line="260" w:lineRule="auto"/>
              <w:ind w:firstLine="0"/>
              <w:jc w:val="left"/>
            </w:pPr>
            <w:r>
              <w:rPr>
                <w:sz w:val="20"/>
                <w:szCs w:val="20"/>
              </w:rPr>
              <w:t xml:space="preserve">Nhiều cửa sổ hiệu chỉnh riêng, cập nhật cuốn chiếu</w:t>
            </w:r>
          </w:p>
        </w:tc>
      </w:tr>
      <w:tr>
        <w:trPr>
          <w:cantSplit/>
        </w:trPr>
        <w:tc>
          <w:tcPr>
            <w:tcW w:type="dxa" w:w="1790"/>
            <w:vAlign w:val="center"/>
          </w:tcPr>
          <w:p>
            <w:pPr>
              <w:spacing w:before="20" w:after="20" w:line="260" w:lineRule="auto"/>
              <w:ind w:firstLine="0"/>
              <w:jc w:val="left"/>
            </w:pPr>
            <w:r>
              <w:rPr>
                <w:sz w:val="20"/>
                <w:szCs w:val="20"/>
              </w:rPr>
              <w:t xml:space="preserve">Tổng phân vị theo ngày</w:t>
            </w:r>
          </w:p>
        </w:tc>
        <w:tc>
          <w:tcPr>
            <w:tcW w:type="dxa" w:w="2497"/>
            <w:vAlign w:val="center"/>
          </w:tcPr>
          <w:p>
            <w:pPr>
              <w:spacing w:before="20" w:after="20" w:line="260" w:lineRule="auto"/>
              <w:ind w:firstLine="0"/>
              <w:jc w:val="left"/>
            </w:pPr>
            <w:r>
              <w:rPr>
                <w:sz w:val="20"/>
                <w:szCs w:val="20"/>
              </w:rPr>
              <w:t xml:space="preserve">P10/P50/P90 16 ngày = tổng phân vị theo ngày</w:t>
            </w:r>
          </w:p>
        </w:tc>
        <w:tc>
          <w:tcPr>
            <w:tcW w:type="dxa" w:w="2597"/>
            <w:vAlign w:val="center"/>
          </w:tcPr>
          <w:p>
            <w:pPr>
              <w:spacing w:before="20" w:after="20" w:line="260" w:lineRule="auto"/>
              <w:ind w:firstLine="0"/>
              <w:jc w:val="left"/>
            </w:pPr>
            <w:r>
              <w:rPr>
                <w:sz w:val="20"/>
                <w:szCs w:val="20"/>
              </w:rPr>
              <w:t xml:space="preserve">P90 tổng không phải phân vị 0,9 của nhu cầu 16 ngày</w:t>
            </w:r>
          </w:p>
        </w:tc>
        <w:tc>
          <w:tcPr>
            <w:tcW w:type="dxa" w:w="2187"/>
            <w:vAlign w:val="center"/>
          </w:tcPr>
          <w:p>
            <w:pPr>
              <w:spacing w:before="20" w:after="20" w:line="260" w:lineRule="auto"/>
              <w:ind w:firstLine="0"/>
              <w:jc w:val="left"/>
            </w:pPr>
            <w:r>
              <w:rPr>
                <w:sz w:val="20"/>
                <w:szCs w:val="20"/>
              </w:rPr>
              <w:t xml:space="preserve">Quỹ đạo mô phỏng hoặc phân phối đồng thời</w:t>
            </w:r>
          </w:p>
        </w:tc>
      </w:tr>
      <w:tr>
        <w:trPr>
          <w:cantSplit/>
        </w:trPr>
        <w:tc>
          <w:tcPr>
            <w:tcW w:type="dxa" w:w="1790"/>
            <w:vAlign w:val="center"/>
          </w:tcPr>
          <w:p>
            <w:pPr>
              <w:spacing w:before="20" w:after="20" w:line="260" w:lineRule="auto"/>
              <w:ind w:firstLine="0"/>
              <w:jc w:val="left"/>
            </w:pPr>
            <w:r>
              <w:rPr>
                <w:sz w:val="20"/>
                <w:szCs w:val="20"/>
              </w:rPr>
              <w:t xml:space="preserve">Nhãn rủi ro r với ngưỡng cố định</w:t>
            </w:r>
          </w:p>
        </w:tc>
        <w:tc>
          <w:tcPr>
            <w:tcW w:type="dxa" w:w="2497"/>
            <w:vAlign w:val="center"/>
          </w:tcPr>
          <w:p>
            <w:pPr>
              <w:spacing w:before="20" w:after="20" w:line="260" w:lineRule="auto"/>
              <w:ind w:firstLine="0"/>
              <w:jc w:val="left"/>
            </w:pPr>
            <w:r>
              <w:rPr>
                <w:sz w:val="20"/>
                <w:szCs w:val="20"/>
              </w:rPr>
              <w:t xml:space="preserve">r = (P90 − P10)/(P50 + 1); Spearman(P50, r) = −0,970; LOW có bao phủ TB 58,18%</w:t>
            </w:r>
          </w:p>
        </w:tc>
        <w:tc>
          <w:tcPr>
            <w:tcW w:type="dxa" w:w="2597"/>
            <w:vAlign w:val="center"/>
          </w:tcPr>
          <w:p>
            <w:pPr>
              <w:spacing w:before="20" w:after="20" w:line="260" w:lineRule="auto"/>
              <w:ind w:firstLine="0"/>
              <w:jc w:val="left"/>
            </w:pPr>
            <w:r>
              <w:rPr>
                <w:sz w:val="20"/>
                <w:szCs w:val="20"/>
              </w:rPr>
              <w:t xml:space="preserve">Nhãn phản ánh quy mô; LOW không đồng nghĩa với an toàn</w:t>
            </w:r>
          </w:p>
        </w:tc>
        <w:tc>
          <w:tcPr>
            <w:tcW w:type="dxa" w:w="2187"/>
            <w:vAlign w:val="center"/>
          </w:tcPr>
          <w:p>
            <w:pPr>
              <w:spacing w:before="20" w:after="20" w:line="260" w:lineRule="auto"/>
              <w:ind w:firstLine="0"/>
              <w:jc w:val="left"/>
            </w:pPr>
            <w:r>
              <w:rPr>
                <w:sz w:val="20"/>
                <w:szCs w:val="20"/>
              </w:rPr>
              <w:t xml:space="preserve">Tiêu chí có trọng số kinh doanh</w:t>
            </w:r>
          </w:p>
        </w:tc>
      </w:tr>
      <w:tr>
        <w:trPr>
          <w:cantSplit/>
        </w:trPr>
        <w:tc>
          <w:tcPr>
            <w:tcW w:type="dxa" w:w="1790"/>
            <w:vAlign w:val="center"/>
          </w:tcPr>
          <w:p>
            <w:pPr>
              <w:spacing w:before="20" w:after="20" w:line="260" w:lineRule="auto"/>
              <w:ind w:firstLine="0"/>
              <w:jc w:val="left"/>
            </w:pPr>
            <w:r>
              <w:rPr>
                <w:sz w:val="20"/>
                <w:szCs w:val="20"/>
              </w:rPr>
              <w:t xml:space="preserve">Vị thế tồn kho giả định và ROP = P90</w:t>
            </w:r>
          </w:p>
        </w:tc>
        <w:tc>
          <w:tcPr>
            <w:tcW w:type="dxa" w:w="2497"/>
            <w:vAlign w:val="center"/>
          </w:tcPr>
          <w:p>
            <w:pPr>
              <w:spacing w:before="20" w:after="20" w:line="260" w:lineRule="auto"/>
              <w:ind w:firstLine="0"/>
              <w:jc w:val="left"/>
            </w:pPr>
            <w:r>
              <w:rPr>
                <w:sz w:val="20"/>
                <w:szCs w:val="20"/>
              </w:rPr>
              <w:t xml:space="preserve">IP = 0,8 × P50; phần 0,2 × P50 chiếm 46,24% tổng bổ sung; q* = 0,75 nhưng dùng P90</w:t>
            </w:r>
          </w:p>
        </w:tc>
        <w:tc>
          <w:tcPr>
            <w:tcW w:type="dxa" w:w="2597"/>
            <w:vAlign w:val="center"/>
          </w:tcPr>
          <w:p>
            <w:pPr>
              <w:spacing w:before="20" w:after="20" w:line="260" w:lineRule="auto"/>
              <w:ind w:firstLine="0"/>
              <w:jc w:val="left"/>
            </w:pPr>
            <w:r>
              <w:rPr>
                <w:sz w:val="20"/>
                <w:szCs w:val="20"/>
              </w:rPr>
              <w:t xml:space="preserve">Lượng bổ sung là mô phỏng, không phải khuyến nghị đặt hàng</w:t>
            </w:r>
          </w:p>
        </w:tc>
        <w:tc>
          <w:tcPr>
            <w:tcW w:type="dxa" w:w="2187"/>
            <w:vAlign w:val="center"/>
          </w:tcPr>
          <w:p>
            <w:pPr>
              <w:spacing w:before="20" w:after="20" w:line="260" w:lineRule="auto"/>
              <w:ind w:firstLine="0"/>
              <w:jc w:val="left"/>
            </w:pPr>
            <w:r>
              <w:rPr>
                <w:sz w:val="20"/>
                <w:szCs w:val="20"/>
              </w:rPr>
              <w:t xml:space="preserve">Tồn kho thực, thời gian cung ứng, phân vị theo q*</w:t>
            </w:r>
          </w:p>
        </w:tc>
      </w:tr>
      <w:tr>
        <w:trPr>
          <w:cantSplit/>
        </w:trPr>
        <w:tc>
          <w:tcPr>
            <w:tcW w:type="dxa" w:w="1790"/>
            <w:vAlign w:val="center"/>
          </w:tcPr>
          <w:p>
            <w:pPr>
              <w:spacing w:before="20" w:after="20" w:line="260" w:lineRule="auto"/>
              <w:ind w:firstLine="0"/>
              <w:jc w:val="left"/>
            </w:pPr>
            <w:r>
              <w:rPr>
                <w:sz w:val="20"/>
                <w:szCs w:val="20"/>
              </w:rPr>
              <w:t xml:space="preserve">Kịch bản khuyến mãi ngoại suy</w:t>
            </w:r>
          </w:p>
        </w:tc>
        <w:tc>
          <w:tcPr>
            <w:tcW w:type="dxa" w:w="2497"/>
            <w:vAlign w:val="center"/>
          </w:tcPr>
          <w:p>
            <w:pPr>
              <w:spacing w:before="20" w:after="20" w:line="260" w:lineRule="auto"/>
              <w:ind w:firstLine="0"/>
              <w:jc w:val="left"/>
            </w:pPr>
            <w:r>
              <w:rPr>
                <w:sz w:val="20"/>
                <w:szCs w:val="20"/>
              </w:rPr>
              <w:t xml:space="preserve">783 chuỗi có |Δ| &gt; 100%; BABY CARE trung vị P50 High 3.740,76 so với Current 19,48</w:t>
            </w:r>
          </w:p>
        </w:tc>
        <w:tc>
          <w:tcPr>
            <w:tcW w:type="dxa" w:w="2597"/>
            <w:vAlign w:val="center"/>
          </w:tcPr>
          <w:p>
            <w:pPr>
              <w:spacing w:before="20" w:after="20" w:line="260" w:lineRule="auto"/>
              <w:ind w:firstLine="0"/>
              <w:jc w:val="left"/>
            </w:pPr>
            <w:r>
              <w:rPr>
                <w:sz w:val="20"/>
                <w:szCs w:val="20"/>
              </w:rPr>
              <w:t xml:space="preserve">Không dùng kịch bản cho nhóm ít khuyến mãi; lưới 0/1/5/10 không phù hợp với nhóm lớn</w:t>
            </w:r>
          </w:p>
        </w:tc>
        <w:tc>
          <w:tcPr>
            <w:tcW w:type="dxa" w:w="2187"/>
            <w:vAlign w:val="center"/>
          </w:tcPr>
          <w:p>
            <w:pPr>
              <w:spacing w:before="20" w:after="20" w:line="260" w:lineRule="auto"/>
              <w:ind w:firstLine="0"/>
              <w:jc w:val="left"/>
            </w:pPr>
            <w:r>
              <w:rPr>
                <w:sz w:val="20"/>
                <w:szCs w:val="20"/>
              </w:rPr>
              <w:t xml:space="preserve">Kịch bản tương đối theo lịch sử chuỗi; kiểm tra miền dữ liệu; thử nghiệm có đối chứng</w:t>
            </w:r>
          </w:p>
        </w:tc>
      </w:tr>
      <w:tr>
        <w:trPr>
          <w:cantSplit/>
        </w:trPr>
        <w:tc>
          <w:tcPr>
            <w:tcW w:type="dxa" w:w="1790"/>
            <w:vAlign w:val="center"/>
          </w:tcPr>
          <w:p>
            <w:pPr>
              <w:spacing w:before="20" w:after="20" w:line="260" w:lineRule="auto"/>
              <w:ind w:firstLine="0"/>
              <w:jc w:val="left"/>
            </w:pPr>
            <w:r>
              <w:rPr>
                <w:sz w:val="20"/>
                <w:szCs w:val="20"/>
              </w:rPr>
              <w:t xml:space="preserve">onpromotion giả định biết trước</w:t>
            </w:r>
          </w:p>
        </w:tc>
        <w:tc>
          <w:tcPr>
            <w:tcW w:type="dxa" w:w="2497"/>
            <w:vAlign w:val="center"/>
          </w:tcPr>
          <w:p>
            <w:pPr>
              <w:spacing w:before="20" w:after="20" w:line="260" w:lineRule="auto"/>
              <w:ind w:firstLine="0"/>
              <w:jc w:val="left"/>
            </w:pPr>
            <w:r>
              <w:rPr>
                <w:sz w:val="20"/>
                <w:szCs w:val="20"/>
              </w:rPr>
              <w:t xml:space="preserve">Mô hình dùng onpromotion thực tế của kỳ dự báo</w:t>
            </w:r>
          </w:p>
        </w:tc>
        <w:tc>
          <w:tcPr>
            <w:tcW w:type="dxa" w:w="2597"/>
            <w:vAlign w:val="center"/>
          </w:tcPr>
          <w:p>
            <w:pPr>
              <w:spacing w:before="20" w:after="20" w:line="260" w:lineRule="auto"/>
              <w:ind w:firstLine="0"/>
              <w:jc w:val="left"/>
            </w:pPr>
            <w:r>
              <w:rPr>
                <w:sz w:val="20"/>
                <w:szCs w:val="20"/>
              </w:rPr>
              <w:t xml:space="preserve">Kết quả lạc quan nếu kế hoạch khuyến mãi thay đổi sau thời điểm dự báo</w:t>
            </w:r>
          </w:p>
        </w:tc>
        <w:tc>
          <w:tcPr>
            <w:tcW w:type="dxa" w:w="2187"/>
            <w:vAlign w:val="center"/>
          </w:tcPr>
          <w:p>
            <w:pPr>
              <w:spacing w:before="20" w:after="20" w:line="260" w:lineRule="auto"/>
              <w:ind w:firstLine="0"/>
              <w:jc w:val="left"/>
            </w:pPr>
            <w:r>
              <w:rPr>
                <w:sz w:val="20"/>
                <w:szCs w:val="20"/>
              </w:rPr>
              <w:t xml:space="preserve">Lưu và phiên bản hóa kế hoạch khuyến mãi</w:t>
            </w:r>
          </w:p>
        </w:tc>
      </w:tr>
      <w:tr>
        <w:trPr>
          <w:cantSplit/>
        </w:trPr>
        <w:tc>
          <w:tcPr>
            <w:tcW w:type="dxa" w:w="1790"/>
            <w:vAlign w:val="center"/>
          </w:tcPr>
          <w:p>
            <w:pPr>
              <w:spacing w:before="20" w:after="20" w:line="260" w:lineRule="auto"/>
              <w:ind w:firstLine="0"/>
              <w:jc w:val="left"/>
            </w:pPr>
            <w:r>
              <w:rPr>
                <w:sz w:val="20"/>
                <w:szCs w:val="20"/>
              </w:rPr>
              <w:t xml:space="preserve">Không có giá, biên lợi nhuận, tồn kho, thời gian cung ứng</w:t>
            </w:r>
          </w:p>
        </w:tc>
        <w:tc>
          <w:tcPr>
            <w:tcW w:type="dxa" w:w="2497"/>
            <w:vAlign w:val="center"/>
          </w:tcPr>
          <w:p>
            <w:pPr>
              <w:spacing w:before="20" w:after="20" w:line="260" w:lineRule="auto"/>
              <w:ind w:firstLine="0"/>
              <w:jc w:val="left"/>
            </w:pPr>
            <w:r>
              <w:rPr>
                <w:sz w:val="20"/>
                <w:szCs w:val="20"/>
              </w:rPr>
              <w:t xml:space="preserve">Không có trong dữ liệu Favorita</w:t>
            </w:r>
          </w:p>
        </w:tc>
        <w:tc>
          <w:tcPr>
            <w:tcW w:type="dxa" w:w="2597"/>
            <w:vAlign w:val="center"/>
          </w:tcPr>
          <w:p>
            <w:pPr>
              <w:spacing w:before="20" w:after="20" w:line="260" w:lineRule="auto"/>
              <w:ind w:firstLine="0"/>
              <w:jc w:val="left"/>
            </w:pPr>
            <w:r>
              <w:rPr>
                <w:sz w:val="20"/>
                <w:szCs w:val="20"/>
              </w:rPr>
              <w:t xml:space="preserve">Không ước lượng được lợi ích tài chính</w:t>
            </w:r>
          </w:p>
        </w:tc>
        <w:tc>
          <w:tcPr>
            <w:tcW w:type="dxa" w:w="2187"/>
            <w:vAlign w:val="center"/>
          </w:tcPr>
          <w:p>
            <w:pPr>
              <w:spacing w:before="20" w:after="20" w:line="260" w:lineRule="auto"/>
              <w:ind w:firstLine="0"/>
              <w:jc w:val="left"/>
            </w:pPr>
            <w:r>
              <w:rPr>
                <w:sz w:val="20"/>
                <w:szCs w:val="20"/>
              </w:rPr>
              <w:t xml:space="preserve">Nối dữ liệu vận hành và kinh tế theo cửa hàng × nhóm × ngày</w:t>
            </w:r>
          </w:p>
        </w:tc>
      </w:tr>
      <w:tr>
        <w:trPr>
          <w:cantSplit/>
        </w:trPr>
        <w:tc>
          <w:tcPr>
            <w:tcW w:type="dxa" w:w="1790"/>
            <w:vAlign w:val="center"/>
          </w:tcPr>
          <w:p>
            <w:pPr>
              <w:spacing w:before="20" w:after="20" w:line="260" w:lineRule="auto"/>
              <w:ind w:firstLine="0"/>
              <w:jc w:val="left"/>
            </w:pPr>
            <w:r>
              <w:rPr>
                <w:sz w:val="20"/>
                <w:szCs w:val="20"/>
              </w:rPr>
              <w:t xml:space="preserve">Chưa gọi mô hình ngôn ngữ thật</w:t>
            </w:r>
          </w:p>
        </w:tc>
        <w:tc>
          <w:tcPr>
            <w:tcW w:type="dxa" w:w="2497"/>
            <w:vAlign w:val="center"/>
          </w:tcPr>
          <w:p>
            <w:pPr>
              <w:spacing w:before="20" w:after="20" w:line="260" w:lineRule="auto"/>
              <w:ind w:firstLine="0"/>
              <w:jc w:val="left"/>
            </w:pPr>
            <w:r>
              <w:rPr>
                <w:sz w:val="20"/>
                <w:szCs w:val="20"/>
              </w:rPr>
              <w:t xml:space="preserve">api_key_present = False; 1.782 phiếu RULE_BASED; luồng LLM chỉ kiểm thử bằng mô phỏng</w:t>
            </w:r>
          </w:p>
        </w:tc>
        <w:tc>
          <w:tcPr>
            <w:tcW w:type="dxa" w:w="2597"/>
            <w:vAlign w:val="center"/>
          </w:tcPr>
          <w:p>
            <w:pPr>
              <w:spacing w:before="20" w:after="20" w:line="260" w:lineRule="auto"/>
              <w:ind w:firstLine="0"/>
              <w:jc w:val="left"/>
            </w:pPr>
            <w:r>
              <w:rPr>
                <w:sz w:val="20"/>
                <w:szCs w:val="20"/>
              </w:rPr>
              <w:t xml:space="preserve">Không có bằng chứng về chất lượng diễn giải hay ảo giác</w:t>
            </w:r>
          </w:p>
        </w:tc>
        <w:tc>
          <w:tcPr>
            <w:tcW w:type="dxa" w:w="2187"/>
            <w:vAlign w:val="center"/>
          </w:tcPr>
          <w:p>
            <w:pPr>
              <w:spacing w:before="20" w:after="20" w:line="260" w:lineRule="auto"/>
              <w:ind w:firstLine="0"/>
              <w:jc w:val="left"/>
            </w:pPr>
            <w:r>
              <w:rPr>
                <w:sz w:val="20"/>
                <w:szCs w:val="20"/>
              </w:rPr>
              <w:t xml:space="preserve">Thực nghiệm với mô hình thật, bộ câu hỏi và tiêu chí định trước</w:t>
            </w:r>
          </w:p>
        </w:tc>
      </w:tr>
      <w:tr>
        <w:trPr>
          <w:cantSplit/>
        </w:trPr>
        <w:tc>
          <w:tcPr>
            <w:tcW w:type="dxa" w:w="1790"/>
            <w:vAlign w:val="center"/>
          </w:tcPr>
          <w:p>
            <w:pPr>
              <w:spacing w:before="20" w:after="20" w:line="260" w:lineRule="auto"/>
              <w:ind w:firstLine="0"/>
              <w:jc w:val="left"/>
            </w:pPr>
            <w:r>
              <w:rPr>
                <w:sz w:val="20"/>
                <w:szCs w:val="20"/>
              </w:rPr>
              <w:t xml:space="preserve">HITL chưa có quyết định thật</w:t>
            </w:r>
          </w:p>
        </w:tc>
        <w:tc>
          <w:tcPr>
            <w:tcW w:type="dxa" w:w="2497"/>
            <w:vAlign w:val="center"/>
          </w:tcPr>
          <w:p>
            <w:pPr>
              <w:spacing w:before="20" w:after="20" w:line="260" w:lineRule="auto"/>
              <w:ind w:firstLine="0"/>
              <w:jc w:val="left"/>
            </w:pPr>
            <w:r>
              <w:rPr>
                <w:sz w:val="20"/>
                <w:szCs w:val="20"/>
              </w:rPr>
              <w:t xml:space="preserve">Chưa có quyết định phê duyệt thật; hitl_audit_log.csv chỉ được tạo khi ghi quyết định đầu tiên</w:t>
            </w:r>
          </w:p>
        </w:tc>
        <w:tc>
          <w:tcPr>
            <w:tcW w:type="dxa" w:w="2597"/>
            <w:vAlign w:val="center"/>
          </w:tcPr>
          <w:p>
            <w:pPr>
              <w:spacing w:before="20" w:after="20" w:line="260" w:lineRule="auto"/>
              <w:ind w:firstLine="0"/>
              <w:jc w:val="left"/>
            </w:pPr>
            <w:r>
              <w:rPr>
                <w:sz w:val="20"/>
                <w:szCs w:val="20"/>
              </w:rPr>
              <w:t xml:space="preserve">Không đánh giá được tác động của HITL</w:t>
            </w:r>
          </w:p>
        </w:tc>
        <w:tc>
          <w:tcPr>
            <w:tcW w:type="dxa" w:w="2187"/>
            <w:vAlign w:val="center"/>
          </w:tcPr>
          <w:p>
            <w:pPr>
              <w:spacing w:before="20" w:after="20" w:line="260" w:lineRule="auto"/>
              <w:ind w:firstLine="0"/>
              <w:jc w:val="left"/>
            </w:pPr>
            <w:r>
              <w:rPr>
                <w:sz w:val="20"/>
                <w:szCs w:val="20"/>
              </w:rPr>
              <w:t xml:space="preserve">Thí điểm với người lập kế hoạch</w:t>
            </w:r>
          </w:p>
        </w:tc>
      </w:tr>
      <w:tr>
        <w:trPr>
          <w:cantSplit/>
        </w:trPr>
        <w:tc>
          <w:tcPr>
            <w:tcW w:type="dxa" w:w="1790"/>
            <w:vAlign w:val="center"/>
          </w:tcPr>
          <w:p>
            <w:pPr>
              <w:spacing w:before="20" w:after="20" w:line="260" w:lineRule="auto"/>
              <w:ind w:firstLine="0"/>
              <w:jc w:val="left"/>
            </w:pPr>
            <w:r>
              <w:rPr>
                <w:sz w:val="20"/>
                <w:szCs w:val="20"/>
              </w:rPr>
              <w:t xml:space="preserve">Khác phiên bản thư viện</w:t>
            </w:r>
          </w:p>
        </w:tc>
        <w:tc>
          <w:tcPr>
            <w:tcW w:type="dxa" w:w="2497"/>
            <w:vAlign w:val="center"/>
          </w:tcPr>
          <w:p>
            <w:pPr>
              <w:spacing w:before="20" w:after="20" w:line="260" w:lineRule="auto"/>
              <w:ind w:firstLine="0"/>
              <w:jc w:val="left"/>
            </w:pPr>
            <w:r>
              <w:rPr>
                <w:sz w:val="20"/>
                <w:szCs w:val="20"/>
              </w:rPr>
              <w:t xml:space="preserve">Môi trường chạy: scikit-learn 1.8.0, xgboost 3.2.0;.venv của thư mục đề tài: scikit-learn 1.9.1, xgboost 3.4.1</w:t>
            </w:r>
          </w:p>
        </w:tc>
        <w:tc>
          <w:tcPr>
            <w:tcW w:type="dxa" w:w="2597"/>
            <w:vAlign w:val="center"/>
          </w:tcPr>
          <w:p>
            <w:pPr>
              <w:spacing w:before="20" w:after="20" w:line="260" w:lineRule="auto"/>
              <w:ind w:firstLine="0"/>
              <w:jc w:val="left"/>
            </w:pPr>
            <w:r>
              <w:rPr>
                <w:sz w:val="20"/>
                <w:szCs w:val="20"/>
              </w:rPr>
              <w:t xml:space="preserve">Chạy lại bằng.venv có thể lệch nhỏ ở XGBoost và Random Forest</w:t>
            </w:r>
          </w:p>
        </w:tc>
        <w:tc>
          <w:tcPr>
            <w:tcW w:type="dxa" w:w="2187"/>
            <w:vAlign w:val="center"/>
          </w:tcPr>
          <w:p>
            <w:pPr>
              <w:spacing w:before="20" w:after="20" w:line="260" w:lineRule="auto"/>
              <w:ind w:firstLine="0"/>
              <w:jc w:val="left"/>
            </w:pPr>
            <w:r>
              <w:rPr>
                <w:sz w:val="20"/>
                <w:szCs w:val="20"/>
              </w:rPr>
              <w:t xml:space="preserve">Khóa phiên bản thư viện trong môi trường phát hành</w:t>
            </w:r>
          </w:p>
        </w:tc>
      </w:tr>
      <w:tr>
        <w:trPr>
          <w:cantSplit/>
        </w:trPr>
        <w:tc>
          <w:tcPr>
            <w:tcW w:type="dxa" w:w="1790"/>
            <w:vAlign w:val="center"/>
          </w:tcPr>
          <w:p>
            <w:pPr>
              <w:spacing w:before="20" w:after="20" w:line="260" w:lineRule="auto"/>
              <w:ind w:firstLine="0"/>
              <w:jc w:val="left"/>
            </w:pPr>
            <w:r>
              <w:rPr>
                <w:sz w:val="20"/>
                <w:szCs w:val="20"/>
              </w:rPr>
              <w:t xml:space="preserve">Một tập dữ liệu</w:t>
            </w:r>
          </w:p>
        </w:tc>
        <w:tc>
          <w:tcPr>
            <w:tcW w:type="dxa" w:w="2497"/>
            <w:vAlign w:val="center"/>
          </w:tcPr>
          <w:p>
            <w:pPr>
              <w:spacing w:before="20" w:after="20" w:line="260" w:lineRule="auto"/>
              <w:ind w:firstLine="0"/>
              <w:jc w:val="left"/>
            </w:pPr>
            <w:r>
              <w:rPr>
                <w:sz w:val="20"/>
                <w:szCs w:val="20"/>
              </w:rPr>
              <w:t xml:space="preserve">Chỉ Corporación Favorita, 01/01/2013–15/08/2017</w:t>
            </w:r>
          </w:p>
        </w:tc>
        <w:tc>
          <w:tcPr>
            <w:tcW w:type="dxa" w:w="2597"/>
            <w:vAlign w:val="center"/>
          </w:tcPr>
          <w:p>
            <w:pPr>
              <w:spacing w:before="20" w:after="20" w:line="260" w:lineRule="auto"/>
              <w:ind w:firstLine="0"/>
              <w:jc w:val="left"/>
            </w:pPr>
            <w:r>
              <w:rPr>
                <w:sz w:val="20"/>
                <w:szCs w:val="20"/>
              </w:rPr>
              <w:t xml:space="preserve">Khả năng khái quát chủ yếu ở phương pháp</w:t>
            </w:r>
          </w:p>
        </w:tc>
        <w:tc>
          <w:tcPr>
            <w:tcW w:type="dxa" w:w="2187"/>
            <w:vAlign w:val="center"/>
          </w:tcPr>
          <w:p>
            <w:pPr>
              <w:spacing w:before="20" w:after="20" w:line="260" w:lineRule="auto"/>
              <w:ind w:firstLine="0"/>
              <w:jc w:val="left"/>
            </w:pPr>
            <w:r>
              <w:rPr>
                <w:sz w:val="20"/>
                <w:szCs w:val="20"/>
              </w:rPr>
              <w:t xml:space="preserve">Kiểm chứng trên dữ liệu doanh nghiệp khác, kể cả thương mại điện tử</w:t>
            </w:r>
          </w:p>
        </w:tc>
      </w:tr>
    </w:tbl>
    <w:p>
      <w:pPr>
        <w:spacing w:before="40" w:after="160"/>
        <w:ind w:firstLine="0"/>
      </w:pPr>
      <w:r>
        <w:rPr>
          <w:i/>
          <w:sz w:val="22"/>
          <w:szCs w:val="22"/>
        </w:rPr>
        <w:t xml:space="preserve">Nguồn: tổng hợp của tác giả từ mã nguồn và các tệp kết quả của lần chạy chính thức (05_model_cv_summary.csv, 11_error_by_demand_level.csv, 22_conformal_bins.csv, inventory_recommendations.csv, promotion_scenario_summary.csv, genai_run_status.csv, sensitivity_cv.csv).</w:t>
      </w:r>
    </w:p>
    <w:p>
      <w:pPr>
        <w:keepLines w:val="0"/>
        <w:spacing w:after="120"/>
        <w:ind w:firstLine="567"/>
      </w:pPr>
      <w:r>
        <w:t xml:space="preserve">Bảng cho thấy các hạn chế thuộc ba loại có bản chất khác nhau. Loại thứ nhất là giới hạn về quy mô đánh giá (số lần kiểm định, tinh chỉnh siêu tham số, cỡ mẫu của Random Forest), có thể khắc phục bằng thêm tài nguyên tính toán mà không cần dữ liệu mới. Loại thứ hai là giới hạn của các quy tắc đơn giản được chọn có chủ đích để lớp quyết định minh bạch, như nhãn r với ngưỡng cố định, ROP = P90, lưới kịch bản 0, 1, 5, 10 hay ngưỡng ngoại suy 100%; chúng có thể được thay bằng quy tắc tốt hơn ngay trên dữ liệu hiện có, nhưng cần tiêu chí đánh giá định trước để tránh điều chỉnh quy tắc theo kết quả. Loại thứ ba là giới hạn về dữ liệu và giả định của lớp quyết định (tồn kho, giá, biên lợi nhuận, kế hoạch khuyến mãi, người dùng thật), chỉ khắc phục được khi có dữ liệu và bối cảnh vận hành của doanh nghiệp; Mẫu ra quyết định dự báo ở mục 5.6.4 là một bước theo hướng này vì cho phép nhập tồn kho thực và hàng đang về tại thời điểm phê duyệt.</w:t>
      </w:r>
    </w:p>
    <w:p>
      <w:pPr>
        <w:pStyle w:val="Heading3"/>
        <w:keepNext/>
      </w:pPr>
      <w:r>
        <w:t xml:space="preserve">5.8.2. Mức độ ảnh hưởng của các hạn chế tới kết luận chính</w:t>
      </w:r>
    </w:p>
    <w:p>
      <w:pPr>
        <w:keepLines w:val="0"/>
        <w:spacing w:after="120"/>
        <w:ind w:firstLine="567"/>
      </w:pPr>
      <w:r>
        <w:t xml:space="preserve">Không phải mọi hạn chế đều có sức nặng như nhau. Nhóm hạn chế về thiết kế đánh giá, gồm chỉ ba lần kiểm định liền kề từ giữa tháng 6 đến cuối tháng 7 năm 2017, không tinh chỉnh siêu tham số và giới hạn số dòng của Random Forest, không đảo ngược kết luận rằng các mô hình cây vượt Seasonal Naive cố định gốc và Ridge, vì khoảng cách đó nhất quán ở mọi lần kiểm định và trên tập kiểm tra cuối; nhưng nhóm này làm yếu kết luận về thứ tự XGBoost – LightGBM và giữ mọi nhận định về độ ổn định ở mức mô tả. Khác biệt phiên bản thư viện giữa môi trường của lần chạy chính thức và.venv của thư mục đề tài có thể làm con số của XGBoost và Random Forest lệch nhỏ khi chạy lại bằng START_WINDOWS.bat; vì chênh lệch WAPE giữa XGBoost và LightGBM chỉ 0,478 điểm phần trăm, thứ hạng của hai mô hình này nên được kiểm tra lại mỗi khi môi trường thay đổi. Nhóm hạn chế về lớp xác suất và quyết định không làm thay đổi độ chính xác dự báo điểm nhưng làm giảm độ tin cậy khi dùng P10/P90, nhãn rủi ro và lượng bổ sung cho quyết định thực tế; bao phủ đã tương đối đồng đều theo quy mô nhưng chưa tới mức cho phép dùng trực tiếp.</w:t>
      </w:r>
    </w:p>
    <w:p>
      <w:pPr>
        <w:keepLines w:val="0"/>
        <w:spacing w:after="120"/>
        <w:ind w:firstLine="567"/>
      </w:pPr>
      <w:r>
        <w:t xml:space="preserve">Vì vậy, các kết luận về lớp quyết định được phát biểu ở dạng logic và quy trình, không ở dạng số lượng tồn kho cụ thể, và kịch bản khuyến mãi được dùng để sàng lọc và đặt câu hỏi, không để ước lượng hiệu ứng. Nhóm hạn chế về dữ liệu, GenAI và khái quát hóa chủ yếu giới hạn phạm vi diễn giải: thiếu giá, biên lợi nhuận, tồn kho thực và thời gian cung ứng nên không ước lượng được lợi ích tài chính; giả định onpromotion biết trước làm kết quả lạc quan nếu kế hoạch khuyến mãi thay đổi sau thời điểm dự báo; chưa gọi mô hình ngôn ngữ thật và chưa có quyết định HITL thật nên đóng góp của lớp GenAI dừng ở kiến trúc và luồng kiểm soát. Cuối cùng, việc chỉ dùng dữ liệu của một nhà bán lẻ trong giai đoạn 01/01/2013–15/08/2017 khiến giá trị khái quát nằm chủ yếu ở phương pháp: kiểm soát rò rỉ theo kỳ dự báo, kiểm định cuốn chiếu, lượng hóa bất định có kiểm tra theo phân đoạn, tái lập toàn bộ quy trình kèm kiểm thử tự động và gắn dự báo với quyết định có con người phê duyệt.</w:t>
      </w:r>
    </w:p>
    <w:p>
      <w:pPr>
        <w:pStyle w:val="Heading2"/>
        <w:keepNext/>
      </w:pPr>
      <w:r>
        <w:t xml:space="preserve">5.9. Tiểu kết Chương 5</w:t>
      </w:r>
    </w:p>
    <w:p>
      <w:pPr>
        <w:keepLines w:val="0"/>
        <w:spacing w:after="120"/>
        <w:ind w:firstLine="567"/>
      </w:pPr>
      <w:r>
        <w:t xml:space="preserve">Chương 5 đã đặt kết quả của Chương 4 vào bối cảnh vận hành theo trình tự từ điều kiện hợp lệ của con số, dự báo điểm, bất định, kịch bản, rủi ro đến quyết định của con người. Các lựa chọn thiết kế bảo đảm mọi đặc trưng và mốc cơ sở chỉ dùng thông tin có tại gốc dự báo theo ngày lịch, là điều kiện để so sánh giữa các mô hình có giá trị bằng chứng. Ở lớp dự báo điểm, bằng chứng hợp lệ cho lợi ích của học máy là khoảng cách giữa các mô hình cây với Seasonal Naive cố định gốc và Ridge; XGBoost đứng đầu WAPE và có RMSE thấp nhất ở cả ba lần kiểm định, nhưng lợi thế 0,478 điểm phần trăm so với LightGBM nhỏ hơn biến động giữa các lần. Thí nghiệm độ nhạy cho thấy WAPE trung bình của XGBoost trên toàn bộ dữ liệu thấp hơn 0,169 điểm phần trăm so với khi huấn luyện trên mẫu 600.000 dòng (nhưng cao hơn 0,053 điểm ở lần 2), còn subsample_freq của LightGBM chỉ tạo khác biệt 0,027 điểm phần trăm, đều trong phạm vi biến động giữa các cửa sổ.</w:t>
      </w:r>
    </w:p>
    <w:p>
      <w:pPr>
        <w:keepLines w:val="0"/>
        <w:spacing w:after="120"/>
        <w:ind w:firstLine="567"/>
      </w:pPr>
      <w:r>
        <w:t xml:space="preserve">Ở lớp bất định và quyết định, khoảng Mondrian cho bao phủ tương đối đồng đều giữa các tứ phân vị quy mô, nhưng bao phủ tổng 75,40% vẫn dưới danh nghĩa, nhóm nhu cầu thấp nhất chỉ đạt 70,86% và độ rộng vẫn là hằng số trong từng nhóm. Nhãn rủi ro vẫn là chỉ báo bất định tương đối gắn với quy mô và nên được thay bằng tiêu chí có trọng số kinh doanh; các đại lượng tồn kho là mô phỏng theo giả định. Kịch bản khuyến mãi là dự báo có điều kiện, với chênh lệch âm chủ yếu do định nghĩa kịch bản tuyệt đối và nguy cơ ngoại suy nghiêm trọng ở nhóm ít khuyến mãi. Lớp GenAI có kiến trúc bám bằng chứng, hàng đợi ưu tiên minh bạch, biểu mẫu HITL 14 cột và các tệp xuất cho người lập kế hoạch, nhưng chưa được đánh giá với mô hình ngôn ngữ thật và chưa có quyết định thật. Các bảng hạn chế đã gắn mỗi giới hạn với bằng chứng, ảnh hưởng và hướng khắc phục; đây là cơ sở để Chương 6 tổng hợp kết luận và đưa ra kiến nghị.</w:t>
      </w:r>
    </w:p>
    <w:p>
      <w:pPr>
        <w:pStyle w:val="Heading1"/>
        <w:pageBreakBefore/>
      </w:pPr>
      <w:r>
        <w:t xml:space="preserve">CHƯƠNG 6. KẾT LUẬN VÀ KIẾN NGHỊ</w:t>
      </w:r>
    </w:p>
    <w:p>
      <w:pPr>
        <w:keepLines w:val="0"/>
        <w:spacing w:after="120"/>
        <w:ind w:firstLine="567"/>
      </w:pPr>
      <w:r>
        <w:t xml:space="preserve">Chương 6 tổng hợp những gì quy trình dự báo – hỗ trợ quyết định đã chứng minh được trên dữ liệu Corporación Favorita trong lần chạy chính thức, và tách bạch chúng với những gì còn nằm ngoài phạm vi bằng chứng. Mục 6.1 trình bày kết luận tổng quát về dự báo điểm, dự báo xác suất, lớp hỗ trợ quyết định, cùng các lựa chọn thiết kế, khả năng chạy lại và độ nhạy của kết quả. Mục 6.2 trả lời năm câu hỏi nghiên cứu RQ1–RQ5 bằng các số liệu chính của Chương 4 và chỉ ra quan hệ phụ thuộc giữa các câu trả lời. Mục 6.3 chuyển các giới hạn của thiết kế, đã thảo luận ở Chương 5, thành kiến nghị triển khai và hướng nghiên cứu. Mục 6.4 đúc kết giá trị và ranh giới của các đóng góp.</w:t>
      </w:r>
    </w:p>
    <w:p>
      <w:pPr>
        <w:pStyle w:val="Heading2"/>
        <w:keepNext/>
      </w:pPr>
      <w:r>
        <w:t xml:space="preserve">6.1. Kết luận tổng quát</w:t>
      </w:r>
    </w:p>
    <w:p>
      <w:pPr>
        <w:pStyle w:val="Heading3"/>
        <w:keepNext/>
      </w:pPr>
      <w:r>
        <w:t xml:space="preserve">6.1.1. Quy trình nghiên cứu và kết quả dự báo điểm</w:t>
      </w:r>
    </w:p>
    <w:p>
      <w:pPr>
        <w:keepLines w:val="0"/>
        <w:spacing w:after="120"/>
        <w:ind w:firstLine="567"/>
      </w:pPr>
      <w:r>
        <w:t xml:space="preserve">Luận văn đã xây dựng một quy trình dự báo nhu cầu bán lẻ đi từ dữ liệu đến hỗ trợ quyết định trên bộ dữ liệu Corporación Favorita (Kaggle, n.d.), ở cấp ngày × cửa hàng × nhóm sản phẩm với 1.782 chuỗi Store × Family và kỳ dự báo 16 ngày. Quy trình nối liền kiểm tra chất lượng dữ liệu, phân tích khám phá, phân rã Robust STL, tạo đặc trưng trên lịch ngày đầy đủ có kiểm soát độ trễ, so sánh năm mô hình qua kiểm định chéo cuốn chiếu theo thời gian, dự báo xác suất P10/P50/P90 bằng khoảng conformal theo nhóm, kịch bản khuyến mãi, hỗ trợ quyết định tồn kho, phiếu khuyến nghị có truy xuất chính sách và phê duyệt của con người trên một dashboard mười một trang. Cấu trúc này coi dự báo là đầu vào của quyết định vận hành (Fildes, Ma và Kolassa, 2022).</w:t>
      </w:r>
    </w:p>
    <w:p>
      <w:pPr>
        <w:keepLines w:val="0"/>
        <w:spacing w:after="120"/>
        <w:ind w:firstLine="567"/>
      </w:pPr>
      <w:r>
        <w:t xml:space="preserve">Về dự báo điểm, XGBoost được chọn theo quy tắc định trước với WAPE trung bình 12,089% qua ba lần kiểm định chéo, đứng đầu theo WAPE và có RMSE thấp nhất ở cả ba lần; LightGBM theo sau với 12,568%. Trên tập kiểm tra cuối 16 ngày (31/07/2017–15/08/2017) XGBoost vẫn dẫn đầu về WAPE với 14,327%, dù mọi mô hình đều có sai số ngoài mẫu cao hơn mức kiểm định chéo. Mô hình cơ sở Seasonal Naive được xây dựng theo gốc dự báo cố định (lag_7 cho ngày 1–7, lag_14 cho ngày 8–14, lag_21 cho ngày 15–16), vì nếu dùng lag_7 cho cả 16 ngày thì các ngày 8–16 sẽ lấy doanh số nằm trong chính kỳ dự báo, là thông tin chưa có tại gốc dự báo. Nhờ vậy, Seasonal Naive là mốc so sánh hợp lệ: WAPE của XGBoost thấp hơn Seasonal Naive 3,629 điểm phần trăm ở kiểm định chéo và 6,338 điểm phần trăm trên tập kiểm tra cuối. Đây là bằng chứng về lợi ích của học máy, trong phạm vi ba cửa sổ kiểm định và một tập kiểm tra cuối.</w:t>
      </w:r>
    </w:p>
    <w:p>
      <w:pPr>
        <w:pStyle w:val="Heading3"/>
        <w:keepNext/>
      </w:pPr>
      <w:r>
        <w:t xml:space="preserve">6.1.2. Bất định dự báo và lớp quyết định</w:t>
      </w:r>
    </w:p>
    <w:p>
      <w:pPr>
        <w:keepLines w:val="0"/>
        <w:spacing w:after="120"/>
        <w:ind w:firstLine="567"/>
      </w:pPr>
      <w:r>
        <w:t xml:space="preserve">Kết luận quan trọng thứ hai là độ chính xác của dự báo điểm chưa đủ cho quyết định tồn kho, và khoảng dự báo phải được đánh giá theo phân đoạn chứ không chỉ ở cấp tổng hợp. Nghiên cứu xây dựng khoảng split-conformal theo nhóm (Mondrian) của dự báo điểm, vì nếu dùng một bộ phân vị phần dư chung cho mọi chuỗi thì độ rộng khoảng gần như bằng nhau bất kể quy mô, quá rộng cho chuỗi nhỏ và quá hẹp cho chuỗi lớn. Với chín nhóm còn lại sau khi gộp các biên trùng nhau, độ rộng q90 − q10 tăng từ 4,22 ở nhóm dự báo điểm nhỏ nhất lên 1.175,96 ở nhóm lớn nhất; độ bao phủ ở nhóm nhu cầu cao nhất đạt 72,77% và hệ số Spearman giữa quy mô nhóm sản phẩm và độ bao phủ là 0,013. Tuy vậy, độ bao phủ tổng 75,40% vẫn thấp hơn mức danh nghĩa 80% và nhóm nhu cầu thấp nhất chỉ đạt 70,86%. Nguyên tắc tối đa hóa độ sắc nét dưới ràng buộc hiệu chỉnh (Gneiting, Balabdaoui và Raftery, 2007) vì vậy mới được đáp ứng một phần.</w:t>
      </w:r>
    </w:p>
    <w:p>
      <w:pPr>
        <w:keepLines w:val="0"/>
        <w:spacing w:after="120"/>
        <w:ind w:firstLine="567"/>
      </w:pPr>
      <w:r>
        <w:t xml:space="preserve">Ở lớp quyết định, nhãn rủi ro tồn kho là mức bất định tương đối r = (P90 − P10)/(P50 + 1) với ngưỡng cố định 0,35 và 0,75. Dù độ rộng khoảng thay đổi theo nhóm quy mô, độ rộng tăng chậm hơn quy mô nên hệ số Spearman giữa P50 và r là −0,970: nhãn HIGH tập trung ở chuỗi nhỏ, còn nhãn LOW rơi vào chuỗi lớn. Vì vậy, điểm ưu tiên của hàng đợi có thành phần LARGE_SERIES (+3 điểm) để chuỗi lớn không bị đẩy xuống cuối hàng đợi. Lượng bổ sung gợi ý dựa trên logic Newsvendor với giả định Cu = 3, Co = 1, vị thế tồn kho bằng 0,8 × P50 và ROP = P90, do đó chỉ là đại lượng mô phỏng; không có dữ liệu giá, biên lợi nhuận hay tồn kho thực để quy đổi thành lợi ích tài chính.</w:t>
      </w:r>
    </w:p>
    <w:p>
      <w:pPr>
        <w:pStyle w:val="Heading3"/>
        <w:keepNext/>
      </w:pPr>
      <w:r>
        <w:t xml:space="preserve">6.1.3. Lựa chọn thiết kế, khả năng chạy lại và độ nhạy của kết quả</w:t>
      </w:r>
    </w:p>
    <w:p>
      <w:pPr>
        <w:keepLines w:val="0"/>
        <w:spacing w:after="120"/>
        <w:ind w:firstLine="567"/>
      </w:pPr>
      <w:r>
        <w:t xml:space="preserve">Kết luận thứ ba mang tính phương pháp: giá trị của các kết quả trên phụ thuộc vào việc mọi thông tin mà mô hình dùng đều khả dụng tại gốc dự báo và các mô hình được so sánh trong điều kiện công bằng. Để bảo đảm điều thứ nhất, quy trình hoàn thiện lịch ngày cho mọi chuỗi, thêm bốn ngày 25/12 với cờ closed để độ trễ và thống kê trượt là độ trễ theo ngày lịch; bốn mô hình học máy chỉ dùng độ trễ từ 16 ngày trở lên và thống kê trượt trên chuỗi đã dịch 16 ngày; giá dầu và số giao dịch được dịch 16 ngày lịch, trong đó giao dịch được xử lý trên lịch của từng cửa hàng rồi mới ghép vào bảng chuỗi để giá trị của cửa hàng khác không tràn sang khi điền giá trị thiếu; ngày lễ quốc gia loại ngày làm bù (Work Day) và ngày đã chuyển. Để bảo đảm điều thứ hai, XGBoost, LightGBM và Ridge dùng toàn bộ dữ liệu huấn luyện của từng cửa sổ, Ridge được chuẩn hóa bằng StandardScaler vì hình phạt L2 phụ thuộc thang đo, còn LightGBM đặt subsample_freq = 1 vì tham số subsample chỉ có hiệu lực khi subsample_freq &gt; 0.</w:t>
      </w:r>
    </w:p>
    <w:p>
      <w:pPr>
        <w:keepLines w:val="0"/>
        <w:spacing w:after="120"/>
        <w:ind w:firstLine="567"/>
      </w:pPr>
      <w:r>
        <w:t xml:space="preserve">Toàn bộ quy trình tái lập được từ train.csv: lần chạy chính thức thực hiện tuần tự Stage 01–14 trong một lần, mất 53,0 phút trên môi trường 2 CPU, trong đó Stage 04 chiếm 2.904 giây và Stage 14 chiếm 171 giây; smoke test Stage 10 đạt PASS, tests/test_core.py đạt 4/4 test và Streamlit AppTest mở 11/11 trang không lỗi (mục 3.14). Thí nghiệm độ nhạy ở mục 4.15, mỗi cấu hình thay đổi đúng một yếu tố, cho thấy các lựa chọn này chỉ có tác động nhỏ: khi XGBoost chỉ huấn luyện trên mẫu 600.000 dòng, WAPE trung bình tăng từ 12,089% lên 12,258% (0,169 điểm phần trăm), với chênh lệch 0,262, −0,053 và 0,298 điểm phần trăm ở ba lần; khi LightGBM không đặt subsample_freq, WAPE trung bình chỉ tăng 0,027 điểm phần trăm và đổi dấu giữa các lần. Cả hai chênh lệch đều nhỏ hơn độ lệch chuẩn WAPE giữa các lần của mô hình tương ứng (0,646 điểm phần trăm với XGBoost và 0,499 với LightGBM) và chỉ dựa trên ba cửa sổ, nên chỉ được đọc như tín hiệu định hướng; điều chúng khẳng định là thứ hạng và kết luận chính không phụ thuộc vào hai lựa chọn này.</w:t>
      </w:r>
    </w:p>
    <w:p>
      <w:pPr>
        <w:pStyle w:val="Heading2"/>
        <w:keepNext/>
      </w:pPr>
      <w:r>
        <w:t xml:space="preserve">6.2. Trả lời các câu hỏi nghiên cứu</w:t>
      </w:r>
    </w:p>
    <w:p>
      <w:pPr>
        <w:pStyle w:val="Heading3"/>
        <w:keepNext/>
      </w:pPr>
      <w:r>
        <w:t xml:space="preserve">6.2.1. RQ1: đặc điểm dữ liệu và hệ quả cho thiết kế dự báo</w:t>
      </w:r>
    </w:p>
    <w:p>
      <w:pPr>
        <w:keepLines w:val="0"/>
        <w:spacing w:after="120"/>
        <w:ind w:firstLine="567"/>
      </w:pPr>
      <w:r>
        <w:t xml:space="preserve">Đối với RQ1, dữ liệu gồm 3.000.888 quan sát trong giai đoạn 01/01/2013–15/08/2017, 54 cửa hàng và 33 nhóm sản phẩm, không thiếu giá trị và không trùng lặp; chuỗi tổng theo ngày có 1684 ngày quan sát trên 1688 ngày lịch, bốn ngày vắng đều là 25/12 khi cửa hàng đóng cửa. Điểm khó nằm ở phân phối: 31,30% số dòng có sales bằng 0, 20,37% số dòng có onpromotion lớn hơn 0, và quy mô giữa các chuỗi chênh lệch rất lớn, đến mức trên tập kiểm tra cuối có 129 chuỗi không bán được đơn vị nào trong 16 ngày. Doanh số trung bình ở dòng có khuyến mãi là 1.137,694 so với 158,247 ở dòng không có, nhưng đây chỉ là thống kê mô tả, không phải hiệu ứng nhân quả.</w:t>
      </w:r>
    </w:p>
    <w:p>
      <w:pPr>
        <w:keepLines w:val="0"/>
        <w:spacing w:after="120"/>
        <w:ind w:firstLine="567"/>
      </w:pPr>
      <w:r>
        <w:t xml:space="preserve">Câu trả lời cho RQ1 là dữ liệu đòi hỏi một thiết kế dự báo có năm tính chất. Thứ nhất, mô hình toàn cục học chéo nhiều chuỗi thay vì 1.782 mô hình cục bộ (Montero-Manso và Hyndman, 2021). Thứ hai, độ trễ phải được tính theo ngày lịch: quy trình hoàn thiện lịch cho mọi chuỗi, thêm bốn ngày 25/12 với cờ closed để lag và thống kê trượt không lệch quanh Giáng sinh, đồng thời chỉ giữ các dòng đủ mọi đặc trưng (loại các ngày đầu chuỗi chưa đủ độ trễ, các ngày trước khi cửa hàng hoạt động và các ngày đóng cửa), nên tập đặc trưng còn 2.689.500 dòng. Thứ ba, đặc trưng trễ dịch ít nhất 16 ngày và nguồn bổ sung chỉ ở dạng tĩnh hoặc trễ 16 ngày lịch. Thứ tư, WAPE làm thước đo chọn mô hình; Hyndman và Koehler (2006) đã chỉ ra hạn chế của các thước đo phần trăm khi giá trị thực tế gần 0. Thứ năm, bất định phải được đánh giá theo phân đoạn quy mô. Giới hạn còn lại là phân rã STL chỉ thực hiện trên chuỗi tổng hợp.</w:t>
      </w:r>
    </w:p>
    <w:p>
      <w:pPr>
        <w:pStyle w:val="Heading3"/>
        <w:keepNext/>
      </w:pPr>
      <w:r>
        <w:t xml:space="preserve">6.2.2. RQ2: mô hình dự báo phù hợp và độ ổn định</w:t>
      </w:r>
    </w:p>
    <w:p>
      <w:pPr>
        <w:keepLines w:val="0"/>
        <w:spacing w:after="120"/>
        <w:ind w:firstLine="567"/>
      </w:pPr>
      <w:r>
        <w:t xml:space="preserve">Đối với RQ2, XGBoost là mô hình phù hợp nhất theo tiêu chí đã định: WAPE trung bình 12,089%, thấp nhất ở cả ba cửa sổ (12,393%, 11,348% và 12,527%), đồng thời có RMSE thấp nhất ở cả ba lần. LightGBM (12,568%) và Random Forest (12,969%) theo sau, Seasonal Naive đứng thứ tư với 15,718%, còn Ridge Regression đứng cuối với 17,142%. Trên tập kiểm tra cuối, ba vị trí đầu theo WAPE giữ nguyên, XGBoost đạt 14,327% so với 14,868% của LightGBM; mức tăng so với kiểm định chéo của XGBoost là 2,237 điểm phần trăm, thấp nhất trong năm mô hình theo giá trị tuyệt đối (theo giá trị tương đối LightGBM thấp hơn một chút). XGBoost huấn luyện trên toàn bộ dữ liệu trung bình khoảng 65,34 giây mỗi lần kiểm định, trong khi Random Forest cần trung bình 612,65 giây dù chỉ dùng mẫu 600.000 dòng.</w:t>
      </w:r>
    </w:p>
    <w:p>
      <w:pPr>
        <w:keepLines w:val="0"/>
        <w:spacing w:after="120"/>
        <w:ind w:firstLine="567"/>
      </w:pPr>
      <w:r>
        <w:t xml:space="preserve">Câu trả lời cần được phát biểu thận trọng theo ba điểm. Một là chênh lệch WAPE giữa XGBoost và LightGBM chỉ 0,478 điểm phần trăm, nhỏ hơn độ lệch chuẩn giữa các lần của chính XGBoost (0,646 điểm phần trăm); với ba lần kiểm định, không thể kiểm định ý nghĩa thống kê, và trên tập kiểm tra cuối LightGBM còn có RMSE thấp hơn rất ít (225,479 so với 225,602). LightGBM vì thế là đối chứng sát nút chứ không phải mô hình kém rõ rệt. Hai là sMAPE thấp nhất của Seasonal Naive và RMSLE thấp nhất của Random Forest không có nghĩa là các mô hình này tốt hơn, vì hai thước đo này ưu ái việc dự báo đúng các giá trị 0 và nhỏ, trong khi giá trị 0 chiếm 14,58% số dòng của tập kiểm tra cuối. Ba là siêu tham số không được tinh chỉnh, nên thứ hạng chỉ phản ánh các cấu hình đã chọn.</w:t>
      </w:r>
    </w:p>
    <w:p>
      <w:pPr>
        <w:pStyle w:val="Heading3"/>
        <w:keepNext/>
      </w:pPr>
      <w:r>
        <w:t xml:space="preserve">6.2.3. RQ3: lượng hóa bất định bằng P10/P50/P90</w:t>
      </w:r>
    </w:p>
    <w:p>
      <w:pPr>
        <w:keepLines w:val="0"/>
        <w:spacing w:after="120"/>
        <w:ind w:firstLine="567"/>
      </w:pPr>
      <w:r>
        <w:t xml:space="preserve">Đối với RQ3, hàm mất mát phân vị đạt 17,850 ở P10, 33,428 ở P50 và 20,960 ở P90; hai lần pinball tại P50 (66,855) bằng đúng MAE của P50 theo định nghĩa, còn MAE của dự báo điểm là 66,927 vì P50 bằng dự báo điểm cộng phân vị 0,5 của phần dư trong nhóm tương ứng. Độ bao phủ P10–P90 đạt 75,40% với độ rộng trung bình 181,307. Hai đuôi không cân xứng: tỷ lệ thực tế dưới P10 là 17,35%, gấp khoảng 2,39 lần tỷ lệ trên P90 (7,25%), nhất quán với việc tổng dự báo điểm 16 ngày cao hơn tổng thực tế 3,41%, chủ yếu do bốn ngày cuối tuần bị dự báo cao 10,42%. Ngoài ra, 16,51% số dòng có P10 bị chặn tại 0.</w:t>
      </w:r>
    </w:p>
    <w:p>
      <w:pPr>
        <w:keepLines w:val="0"/>
        <w:spacing w:after="120"/>
        <w:ind w:firstLine="567"/>
      </w:pPr>
      <w:r>
        <w:t xml:space="preserve">Câu trả lời cốt lõi cho RQ3 là khoảng conformal theo nhóm làm độ rộng thích ứng với quy mô và giữ độ bao phủ không phụ thuộc mạnh vào quy mô, nhưng chưa đạt mức danh nghĩa. Theo tứ phân vị nhu cầu, độ bao phủ lần lượt là 70,86%, 81,90%, 76,05% và 72,77%; hệ số Spearman giữa quy mô và độ bao phủ là −0,236 theo cửa hàng (p ≈ 0,086) và 0,013 theo nhóm sản phẩm. Dù vậy, một số nhóm lớn vẫn bao phủ thấp, như BEVERAGES 60,53%, CLEANING 60,88% và GROCERY I 67,36%, và chỉ 11/33 nhóm đạt từ 80% trở lên. Độ chính xác và hiệu chỉnh cũng là hai thuộc tính khác nhau: CH 3 – PRODUCE có WAPE 4,10% nhưng độ bao phủ 68,75%. Về lý thuyết, split-conformal chỉ bảo đảm bao phủ dưới giả định hoán đổi được (Lei và cộng sự, 2018); cửa sổ hiệu chỉnh 16 ngày trùng lần kiểm định 3 và tổng phân vị theo ngày không phải phân vị của tổng 16 ngày.</w:t>
      </w:r>
    </w:p>
    <w:p>
      <w:pPr>
        <w:pStyle w:val="Heading3"/>
        <w:keepNext/>
      </w:pPr>
      <w:r>
        <w:t xml:space="preserve">6.2.4. RQ4: từ dự báo đến kịch bản khuyến mãi và tín hiệu tồn kho</w:t>
      </w:r>
    </w:p>
    <w:p>
      <w:pPr>
        <w:keepLines w:val="0"/>
        <w:spacing w:after="120"/>
        <w:ind w:firstLine="567"/>
      </w:pPr>
      <w:r>
        <w:t xml:space="preserve">Đối với RQ4, việc gán lại onpromotion cho mọi chuỗi và mọi ngày làm P50 trung bình theo chuỗi thay đổi −5,04% ở kịch bản No promotion, −1,45% ở Low, +3,20% ở Medium và +9,06% ở High so với Current. Phản ứng không đồng nhất ở cấp chuỗi: kịch bản High cao hơn Current ở 1.489 chuỗi nhưng thấp hơn ở 293 chuỗi; hai chuỗi GROCERY I của CH 45 và CH 46 nằm trong mười chuỗi nhạy nhất với mức giảm lớn. Tám chuỗi còn lại trong nhóm nhạy nhất thuộc BABY CARE, nhóm có tổng thực tế 160 đơn vị trong 16 ngày nhưng P50 trung vị ở kịch bản High là 3.740,76 so với 19,48 ở Current; tổng cộng 783 chuỗi có mức thay đổi vượt 100%. Đây là ngoại suy ngoài miền dữ liệu của mô hình cây, không phải tiềm năng khuyến mãi; kịch bản mô tả phản ứng của dự báo, không trả lời câu hỏi nhân quả (Shmueli, 2010).</w:t>
      </w:r>
    </w:p>
    <w:p>
      <w:pPr>
        <w:keepLines w:val="0"/>
        <w:spacing w:after="120"/>
        <w:ind w:firstLine="567"/>
      </w:pPr>
      <w:r>
        <w:t xml:space="preserve">Về tồn kho, phân vị tới hạn q* = Cu/(Cu + Co) = 0,75 của mô hình Newsvendor (Qin và cộng sự, 2011) được dùng làm cơ sở cho mức mục tiêu, song điểm đặt hàng lại vẫn đặt ở P90. Tồn kho an toàn P90 − P50 thay đổi theo chuỗi, từ 64,00 đến 12.135,64 với trung vị 347,06, phản ánh độ rộng khoảng theo nhóm quy mô. Nhãn HIGH chiếm 1.064 chuỗi (59,71%) nhưng chỉ 2,02% tổng P50, còn nhãn LOW gồm 84 chuỗi chiếm 47,72% tổng P50 và có độ bao phủ trung bình theo chuỗi thấp nhất (58,18%). Tổng lượng bổ sung gợi ý là 5.950.610, trong đó phần 0,2 × P50 do giả định vị thế tồn kho chiếm 46,24%. Câu trả lời cho RQ4 là dự báo chuyển được thành hàng đợi sàng lọc có cấu trúc, nhưng hai tín hiệu đều mang dấu ấn mạnh của giả định, chỉ đủ để khoanh vùng chuỗi cần xem xét, không đủ để xác định lượng đặt hàng hay ngân sách khuyến mãi.</w:t>
      </w:r>
    </w:p>
    <w:p>
      <w:pPr>
        <w:pStyle w:val="Heading3"/>
        <w:keepNext/>
      </w:pPr>
      <w:r>
        <w:t xml:space="preserve">6.2.5. RQ5: vai trò của Generative AI, RAG và HITL</w:t>
      </w:r>
    </w:p>
    <w:p>
      <w:pPr>
        <w:keepLines w:val="0"/>
        <w:spacing w:after="120"/>
        <w:ind w:firstLine="567"/>
      </w:pPr>
      <w:r>
        <w:t xml:space="preserve">Đối với RQ5, câu trả lời ở mức kiến trúc là tích cực và đã được triển khai đầy đủ trong mã nguồn. Stage 08 tạo phiếu khuyến nghị cho toàn bộ 1.782 chuỗi, xếp hàng đợi bằng điểm ưu tiên minh bạch gồm LARGE_SERIES, nhãn rủi ro và cờ ngoại suy khuyến mãi; mỗi phiếu có ba phương án số lượng theo P50, q* và P90, khuyến nghị hành động và khuyến mãi, mức tin cậy, giả định và danh mục kiểm tra. Ngữ cảnh chính sách được truy xuất bằng BM25 kết hợp thẻ trên 12 quy định của hai tệp chính sách mẫu do tác giả soạn, theo ý tưởng của RAG (Lewis và cộng sự, 2020), với truy vấn sinh từ mã lý do của từng phiếu. Biểu mẫu HITL bắt buộc nhập người phê duyệt và lý do, ghi vào hitl_audit_log.csv 14 cột.</w:t>
      </w:r>
    </w:p>
    <w:p>
      <w:pPr>
        <w:keepLines w:val="0"/>
        <w:spacing w:after="120"/>
        <w:ind w:firstLine="567"/>
      </w:pPr>
      <w:r>
        <w:t xml:space="preserve">Ở mức thực nghiệm, câu trả lời bị giới hạn bởi ba điểm. Thứ nhất, không có mô hình ngôn ngữ nào được gọi thật (api_key_present = False); cả 1.782 phiếu đều ở chế độ RULE_BASED, còn luồng gọi mô hình và kiểm tra bám bằng chứng mới chỉ được kiểm thử bằng mô phỏng. Thứ hai, phân bố đầu ra phụ thuộc trực tiếp vào nhãn r: 1.063 phiếu là BỔ SUNG THẬN TRỌNG, 444 phiếu cho chuỗi lớn là BỔ SUNG THEO P90 · RÀ SOÁT KHOẢNG DỰ BÁO, và 809 phiếu có cảnh báo ngoại suy khuyến mãi (783 chuỗi có |Δ| &gt; 100% cộng 26 chuỗi có P50 Current = 0). Thứ ba, trong lần chạy chưa có quyết định phê duyệt thật nào; tệp nhật ký HITL chỉ được tạo khi người dùng ghi quyết định đầu tiên trên dashboard, nên chưa đánh giá được mức chấp nhận của người lập kế hoạch. Bảng 6.1 tổng hợp câu trả lời, bằng chứng và ranh giới của cả năm câu hỏi.</w:t>
      </w:r>
    </w:p>
    <w:p>
      <w:pPr>
        <w:keepNext/>
        <w:spacing w:before="120" w:after="60"/>
        <w:ind w:firstLine="0"/>
        <w:jc w:val="center"/>
      </w:pPr>
      <w:r>
        <w:t xml:space="preserve">Bảng 6.1. Tổng hợp câu trả lời cho năm câu hỏi nghiên cứu theo lần chạy chính thức, bằng chứng chính và ranh giới kết luận</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262"/>
        <w:gridCol w:w="2613"/>
        <w:gridCol w:w="2613"/>
        <w:gridCol w:w="2583"/>
      </w:tblGrid>
      <w:tr>
        <w:trPr>
          <w:tblHeader/>
          <w:cantSplit/>
        </w:trPr>
        <w:tc>
          <w:tcPr>
            <w:tcW w:type="dxa" w:w="1262"/>
            <w:shd w:val="clear" w:color="auto" w:fill="D9E2F3"/>
            <w:vAlign w:val="center"/>
          </w:tcPr>
          <w:p>
            <w:pPr>
              <w:spacing w:before="20" w:after="20" w:line="260" w:lineRule="auto"/>
              <w:ind w:firstLine="0"/>
              <w:jc w:val="center"/>
            </w:pPr>
            <w:r>
              <w:rPr>
                <w:b/>
                <w:sz w:val="20"/>
                <w:szCs w:val="20"/>
              </w:rPr>
              <w:t xml:space="preserve">Câu hỏi</w:t>
            </w:r>
          </w:p>
        </w:tc>
        <w:tc>
          <w:tcPr>
            <w:tcW w:type="dxa" w:w="2613"/>
            <w:shd w:val="clear" w:color="auto" w:fill="D9E2F3"/>
            <w:vAlign w:val="center"/>
          </w:tcPr>
          <w:p>
            <w:pPr>
              <w:spacing w:before="20" w:after="20" w:line="260" w:lineRule="auto"/>
              <w:ind w:firstLine="0"/>
              <w:jc w:val="center"/>
            </w:pPr>
            <w:r>
              <w:rPr>
                <w:b/>
                <w:sz w:val="20"/>
                <w:szCs w:val="20"/>
              </w:rPr>
              <w:t xml:space="preserve">Bằng chứng chính</w:t>
            </w:r>
          </w:p>
        </w:tc>
        <w:tc>
          <w:tcPr>
            <w:tcW w:type="dxa" w:w="2613"/>
            <w:shd w:val="clear" w:color="auto" w:fill="D9E2F3"/>
            <w:vAlign w:val="center"/>
          </w:tcPr>
          <w:p>
            <w:pPr>
              <w:spacing w:before="20" w:after="20" w:line="260" w:lineRule="auto"/>
              <w:ind w:firstLine="0"/>
              <w:jc w:val="center"/>
            </w:pPr>
            <w:r>
              <w:rPr>
                <w:b/>
                <w:sz w:val="20"/>
                <w:szCs w:val="20"/>
              </w:rPr>
              <w:t xml:space="preserve">Câu trả lời</w:t>
            </w:r>
          </w:p>
        </w:tc>
        <w:tc>
          <w:tcPr>
            <w:tcW w:type="dxa" w:w="2583"/>
            <w:shd w:val="clear" w:color="auto" w:fill="D9E2F3"/>
            <w:vAlign w:val="center"/>
          </w:tcPr>
          <w:p>
            <w:pPr>
              <w:spacing w:before="20" w:after="20" w:line="260" w:lineRule="auto"/>
              <w:ind w:firstLine="0"/>
              <w:jc w:val="center"/>
            </w:pPr>
            <w:r>
              <w:rPr>
                <w:b/>
                <w:sz w:val="20"/>
                <w:szCs w:val="20"/>
              </w:rPr>
              <w:t xml:space="preserve">Ranh giới kết luận</w:t>
            </w:r>
          </w:p>
        </w:tc>
      </w:tr>
      <w:tr>
        <w:trPr>
          <w:cantSplit/>
        </w:trPr>
        <w:tc>
          <w:tcPr>
            <w:tcW w:type="dxa" w:w="1262"/>
            <w:vAlign w:val="center"/>
          </w:tcPr>
          <w:p>
            <w:pPr>
              <w:spacing w:before="20" w:after="20" w:line="260" w:lineRule="auto"/>
              <w:ind w:firstLine="0"/>
              <w:jc w:val="left"/>
            </w:pPr>
            <w:r>
              <w:rPr>
                <w:sz w:val="20"/>
                <w:szCs w:val="20"/>
              </w:rPr>
              <w:t xml:space="preserve">RQ1 – Đặc điểm dữ liệu</w:t>
            </w:r>
          </w:p>
        </w:tc>
        <w:tc>
          <w:tcPr>
            <w:tcW w:type="dxa" w:w="2613"/>
            <w:vAlign w:val="center"/>
          </w:tcPr>
          <w:p>
            <w:pPr>
              <w:spacing w:before="20" w:after="20" w:line="260" w:lineRule="auto"/>
              <w:ind w:firstLine="0"/>
              <w:jc w:val="left"/>
            </w:pPr>
            <w:r>
              <w:rPr>
                <w:sz w:val="20"/>
                <w:szCs w:val="20"/>
              </w:rPr>
              <w:t xml:space="preserve">3.000.888 quan sát; 1.782 chuỗi; sales = 0 ở 31,30% số dòng; onpromotion &gt; 0 ở 20,37%; 4 ngày 25/12 vắng; 2.689.500 dòng đặc trưng trên lịch ngày đầy đủ</w:t>
            </w:r>
          </w:p>
        </w:tc>
        <w:tc>
          <w:tcPr>
            <w:tcW w:type="dxa" w:w="2613"/>
            <w:vAlign w:val="center"/>
          </w:tcPr>
          <w:p>
            <w:pPr>
              <w:spacing w:before="20" w:after="20" w:line="260" w:lineRule="auto"/>
              <w:ind w:firstLine="0"/>
              <w:jc w:val="left"/>
            </w:pPr>
            <w:r>
              <w:rPr>
                <w:sz w:val="20"/>
                <w:szCs w:val="20"/>
              </w:rPr>
              <w:t xml:space="preserve">Nhiều giá trị 0, dị biệt quy mô lớn → mô hình toàn cục, độ trễ theo ngày lịch ≥ 16 ngày, WAPE, đánh giá bất định theo phân đoạn</w:t>
            </w:r>
          </w:p>
        </w:tc>
        <w:tc>
          <w:tcPr>
            <w:tcW w:type="dxa" w:w="2583"/>
            <w:vAlign w:val="center"/>
          </w:tcPr>
          <w:p>
            <w:pPr>
              <w:spacing w:before="20" w:after="20" w:line="260" w:lineRule="auto"/>
              <w:ind w:firstLine="0"/>
              <w:jc w:val="left"/>
            </w:pPr>
            <w:r>
              <w:rPr>
                <w:sz w:val="20"/>
                <w:szCs w:val="20"/>
              </w:rPr>
              <w:t xml:space="preserve">STL chỉ trên chuỗi tổng hợp; khác biệt khuyến mãi chỉ là mô tả</w:t>
            </w:r>
          </w:p>
        </w:tc>
      </w:tr>
      <w:tr>
        <w:trPr>
          <w:cantSplit/>
        </w:trPr>
        <w:tc>
          <w:tcPr>
            <w:tcW w:type="dxa" w:w="1262"/>
            <w:vAlign w:val="center"/>
          </w:tcPr>
          <w:p>
            <w:pPr>
              <w:spacing w:before="20" w:after="20" w:line="260" w:lineRule="auto"/>
              <w:ind w:firstLine="0"/>
              <w:jc w:val="left"/>
            </w:pPr>
            <w:r>
              <w:rPr>
                <w:sz w:val="20"/>
                <w:szCs w:val="20"/>
              </w:rPr>
              <w:t xml:space="preserve">RQ2 – Mô hình phù hợp</w:t>
            </w:r>
          </w:p>
        </w:tc>
        <w:tc>
          <w:tcPr>
            <w:tcW w:type="dxa" w:w="2613"/>
            <w:vAlign w:val="center"/>
          </w:tcPr>
          <w:p>
            <w:pPr>
              <w:spacing w:before="20" w:after="20" w:line="260" w:lineRule="auto"/>
              <w:ind w:firstLine="0"/>
              <w:jc w:val="left"/>
            </w:pPr>
            <w:r>
              <w:rPr>
                <w:sz w:val="20"/>
                <w:szCs w:val="20"/>
              </w:rPr>
              <w:t xml:space="preserve">WAPE CV: XGBoost 12,089% (sd 0,646%), LightGBM 12,568%, Random Forest 12,969%, Seasonal Naive 15,718%; kiểm tra cuối: 14,327% so với 14,868%; RMSE kiểm tra cuối: LightGBM 225,479, XGBoost 225,602</w:t>
            </w:r>
          </w:p>
        </w:tc>
        <w:tc>
          <w:tcPr>
            <w:tcW w:type="dxa" w:w="2613"/>
            <w:vAlign w:val="center"/>
          </w:tcPr>
          <w:p>
            <w:pPr>
              <w:spacing w:before="20" w:after="20" w:line="260" w:lineRule="auto"/>
              <w:ind w:firstLine="0"/>
              <w:jc w:val="left"/>
            </w:pPr>
            <w:r>
              <w:rPr>
                <w:sz w:val="20"/>
                <w:szCs w:val="20"/>
              </w:rPr>
              <w:t xml:space="preserve">XGBoost được chọn, hạng nhất WAPE và RMSE ở cả 3 lần; thấp hơn Seasonal Naive cố định gốc dự báo 3,629 điểm %; LightGBM là đối chứng sát nút</w:t>
            </w:r>
          </w:p>
        </w:tc>
        <w:tc>
          <w:tcPr>
            <w:tcW w:type="dxa" w:w="2583"/>
            <w:vAlign w:val="center"/>
          </w:tcPr>
          <w:p>
            <w:pPr>
              <w:spacing w:before="20" w:after="20" w:line="260" w:lineRule="auto"/>
              <w:ind w:firstLine="0"/>
              <w:jc w:val="left"/>
            </w:pPr>
            <w:r>
              <w:rPr>
                <w:sz w:val="20"/>
                <w:szCs w:val="20"/>
              </w:rPr>
              <w:t xml:space="preserve">Chỉ 3 lần kiểm định, không kiểm định ý nghĩa; không tinh chỉnh siêu tham số; Random Forest giới hạn 600.000 dòng</w:t>
            </w:r>
          </w:p>
        </w:tc>
      </w:tr>
      <w:tr>
        <w:trPr>
          <w:cantSplit/>
        </w:trPr>
        <w:tc>
          <w:tcPr>
            <w:tcW w:type="dxa" w:w="1262"/>
            <w:vAlign w:val="center"/>
          </w:tcPr>
          <w:p>
            <w:pPr>
              <w:spacing w:before="20" w:after="20" w:line="260" w:lineRule="auto"/>
              <w:ind w:firstLine="0"/>
              <w:jc w:val="left"/>
            </w:pPr>
            <w:r>
              <w:rPr>
                <w:sz w:val="20"/>
                <w:szCs w:val="20"/>
              </w:rPr>
              <w:t xml:space="preserve">RQ3 – Bất định</w:t>
            </w:r>
          </w:p>
        </w:tc>
        <w:tc>
          <w:tcPr>
            <w:tcW w:type="dxa" w:w="2613"/>
            <w:vAlign w:val="center"/>
          </w:tcPr>
          <w:p>
            <w:pPr>
              <w:spacing w:before="20" w:after="20" w:line="260" w:lineRule="auto"/>
              <w:ind w:firstLine="0"/>
              <w:jc w:val="left"/>
            </w:pPr>
            <w:r>
              <w:rPr>
                <w:sz w:val="20"/>
                <w:szCs w:val="20"/>
              </w:rPr>
              <w:t xml:space="preserve">Pinball 17,850 / 33,428 / 20,960; bao phủ 75,40%; dưới P10 17,35%, trên P90 7,25%; Q1–Q4: 70,86% / 81,90% / 76,05% / 72,77%; Spearman (quy mô nhóm, bao phủ) 0,013</w:t>
            </w:r>
          </w:p>
        </w:tc>
        <w:tc>
          <w:tcPr>
            <w:tcW w:type="dxa" w:w="2613"/>
            <w:vAlign w:val="center"/>
          </w:tcPr>
          <w:p>
            <w:pPr>
              <w:spacing w:before="20" w:after="20" w:line="260" w:lineRule="auto"/>
              <w:ind w:firstLine="0"/>
              <w:jc w:val="left"/>
            </w:pPr>
            <w:r>
              <w:rPr>
                <w:sz w:val="20"/>
                <w:szCs w:val="20"/>
              </w:rPr>
              <w:t xml:space="preserve">Khoảng conformal theo nhóm thích ứng với quy mô, nhưng bao phủ thấp hơn danh nghĩa 80%</w:t>
            </w:r>
          </w:p>
        </w:tc>
        <w:tc>
          <w:tcPr>
            <w:tcW w:type="dxa" w:w="2583"/>
            <w:vAlign w:val="center"/>
          </w:tcPr>
          <w:p>
            <w:pPr>
              <w:spacing w:before="20" w:after="20" w:line="260" w:lineRule="auto"/>
              <w:ind w:firstLine="0"/>
              <w:jc w:val="left"/>
            </w:pPr>
            <w:r>
              <w:rPr>
                <w:sz w:val="20"/>
                <w:szCs w:val="20"/>
              </w:rPr>
              <w:t xml:space="preserve">Cửa sổ hiệu chỉnh trùng lần kiểm định 3; một số nhóm lớn bao phủ thấp; tổng phân vị theo ngày ≠ phân vị của tổng</w:t>
            </w:r>
          </w:p>
        </w:tc>
      </w:tr>
      <w:tr>
        <w:trPr>
          <w:cantSplit/>
        </w:trPr>
        <w:tc>
          <w:tcPr>
            <w:tcW w:type="dxa" w:w="1262"/>
            <w:vAlign w:val="center"/>
          </w:tcPr>
          <w:p>
            <w:pPr>
              <w:spacing w:before="20" w:after="20" w:line="260" w:lineRule="auto"/>
              <w:ind w:firstLine="0"/>
              <w:jc w:val="left"/>
            </w:pPr>
            <w:r>
              <w:rPr>
                <w:sz w:val="20"/>
                <w:szCs w:val="20"/>
              </w:rPr>
              <w:t xml:space="preserve">RQ4 – Kịch bản và tồn kho</w:t>
            </w:r>
          </w:p>
        </w:tc>
        <w:tc>
          <w:tcPr>
            <w:tcW w:type="dxa" w:w="2613"/>
            <w:vAlign w:val="center"/>
          </w:tcPr>
          <w:p>
            <w:pPr>
              <w:spacing w:before="20" w:after="20" w:line="260" w:lineRule="auto"/>
              <w:ind w:firstLine="0"/>
              <w:jc w:val="left"/>
            </w:pPr>
            <w:r>
              <w:rPr>
                <w:sz w:val="20"/>
                <w:szCs w:val="20"/>
              </w:rPr>
              <w:t xml:space="preserve">No promotion −5,04%, Medium +3,20%, High +9,06%; 783 chuỗi |Δ| &gt; 100%; HIGH 1.064 (59,71%); Spearman(P50, r) = −0,970; bổ sung 5.950.610 (46,24% từ giả định vị thế)</w:t>
            </w:r>
          </w:p>
        </w:tc>
        <w:tc>
          <w:tcPr>
            <w:tcW w:type="dxa" w:w="2613"/>
            <w:vAlign w:val="center"/>
          </w:tcPr>
          <w:p>
            <w:pPr>
              <w:spacing w:before="20" w:after="20" w:line="260" w:lineRule="auto"/>
              <w:ind w:firstLine="0"/>
              <w:jc w:val="left"/>
            </w:pPr>
            <w:r>
              <w:rPr>
                <w:sz w:val="20"/>
                <w:szCs w:val="20"/>
              </w:rPr>
              <w:t xml:space="preserve">Tạo được hàng đợi sàng lọc có cấu trúc cho khuyến mãi và tồn kho</w:t>
            </w:r>
          </w:p>
        </w:tc>
        <w:tc>
          <w:tcPr>
            <w:tcW w:type="dxa" w:w="2583"/>
            <w:vAlign w:val="center"/>
          </w:tcPr>
          <w:p>
            <w:pPr>
              <w:spacing w:before="20" w:after="20" w:line="260" w:lineRule="auto"/>
              <w:ind w:firstLine="0"/>
              <w:jc w:val="left"/>
            </w:pPr>
            <w:r>
              <w:rPr>
                <w:sz w:val="20"/>
                <w:szCs w:val="20"/>
              </w:rPr>
              <w:t xml:space="preserve">Không nhân quả; ngoại suy ở nhóm nhỏ; nhãn r gắn với quy mô; vị thế tồn kho giả định; ROP = P90</w:t>
            </w:r>
          </w:p>
        </w:tc>
      </w:tr>
      <w:tr>
        <w:trPr>
          <w:cantSplit/>
        </w:trPr>
        <w:tc>
          <w:tcPr>
            <w:tcW w:type="dxa" w:w="1262"/>
            <w:vAlign w:val="center"/>
          </w:tcPr>
          <w:p>
            <w:pPr>
              <w:spacing w:before="20" w:after="20" w:line="260" w:lineRule="auto"/>
              <w:ind w:firstLine="0"/>
              <w:jc w:val="left"/>
            </w:pPr>
            <w:r>
              <w:rPr>
                <w:sz w:val="20"/>
                <w:szCs w:val="20"/>
              </w:rPr>
              <w:t xml:space="preserve">RQ5 – Generative AI/RAG/HITL</w:t>
            </w:r>
          </w:p>
        </w:tc>
        <w:tc>
          <w:tcPr>
            <w:tcW w:type="dxa" w:w="2613"/>
            <w:vAlign w:val="center"/>
          </w:tcPr>
          <w:p>
            <w:pPr>
              <w:spacing w:before="20" w:after="20" w:line="260" w:lineRule="auto"/>
              <w:ind w:firstLine="0"/>
              <w:jc w:val="left"/>
            </w:pPr>
            <w:r>
              <w:rPr>
                <w:sz w:val="20"/>
                <w:szCs w:val="20"/>
              </w:rPr>
              <w:t xml:space="preserve">1.782 phiếu RULE_BASED; api_key_present = False; RAG BM25 + thẻ trên 12 quy định mẫu; nhật ký 14 cột, chưa có quyết định phê duyệt thật</w:t>
            </w:r>
          </w:p>
        </w:tc>
        <w:tc>
          <w:tcPr>
            <w:tcW w:type="dxa" w:w="2613"/>
            <w:vAlign w:val="center"/>
          </w:tcPr>
          <w:p>
            <w:pPr>
              <w:spacing w:before="20" w:after="20" w:line="260" w:lineRule="auto"/>
              <w:ind w:firstLine="0"/>
              <w:jc w:val="left"/>
            </w:pPr>
            <w:r>
              <w:rPr>
                <w:sz w:val="20"/>
                <w:szCs w:val="20"/>
              </w:rPr>
              <w:t xml:space="preserve">Kiến trúc phiếu khuyến nghị có truy xuất chính sách, kiểm tra bám bằng chứng và phê duyệt của con người</w:t>
            </w:r>
          </w:p>
        </w:tc>
        <w:tc>
          <w:tcPr>
            <w:tcW w:type="dxa" w:w="2583"/>
            <w:vAlign w:val="center"/>
          </w:tcPr>
          <w:p>
            <w:pPr>
              <w:spacing w:before="20" w:after="20" w:line="260" w:lineRule="auto"/>
              <w:ind w:firstLine="0"/>
              <w:jc w:val="left"/>
            </w:pPr>
            <w:r>
              <w:rPr>
                <w:sz w:val="20"/>
                <w:szCs w:val="20"/>
              </w:rPr>
              <w:t xml:space="preserve">Chưa gọi mô hình ngôn ngữ thật; kiểm tra bám bằng chứng mới thử bằng mô phỏng; chưa có quyết định thật trong lần chạy</w:t>
            </w:r>
          </w:p>
        </w:tc>
      </w:tr>
    </w:tbl>
    <w:p>
      <w:pPr>
        <w:spacing w:before="40" w:after="160"/>
        <w:ind w:firstLine="0"/>
      </w:pPr>
      <w:r>
        <w:rPr>
          <w:i/>
          <w:sz w:val="22"/>
          <w:szCs w:val="22"/>
        </w:rPr>
        <w:t xml:space="preserve">Nguồn: tổng hợp của tác giả từ kết quả Chương 3 và Chương 4.</w:t>
      </w:r>
    </w:p>
    <w:p>
      <w:pPr>
        <w:pStyle w:val="Heading3"/>
        <w:keepNext/>
      </w:pPr>
      <w:r>
        <w:t xml:space="preserve">6.2.6. Quan hệ phụ thuộc giữa các câu trả lời</w:t>
      </w:r>
    </w:p>
    <w:p>
      <w:pPr>
        <w:keepLines w:val="0"/>
        <w:spacing w:after="120"/>
        <w:ind w:firstLine="567"/>
      </w:pPr>
      <w:r>
        <w:t xml:space="preserve">Năm câu trả lời nối tiếp nhau, và mức độ chắc chắn giảm dần khi lập luận tiến gần đến quyết định vận hành. Dị biệt quy mô ở RQ1 không chỉ quyết định cách chọn thước đo ở RQ2 mà còn quyết định cách xây khoảng ở RQ3: khi khoảng được chia theo nhóm quy mô dự báo điểm, độ bao phủ không phụ thuộc mạnh vào quy mô và tồn kho an toàn trở nên khác nhau giữa các chuỗi. Tuy nhiên, cấu trúc khoảng ở RQ3 vẫn truyền sang RQ4 qua nhãn r: vì độ rộng tăng chậm hơn P50, nhãn rủi ro tiếp tục là thước đo quy mô nghịch đảo, và điều đó lại chi phối cơ cấu hành động, mức tin cậy và thứ tự hàng đợi mà lớp phiếu khuyến nghị ở RQ5 nhận được. Điểm LARGE_SERIES chỉ là cách bù trừ tạm thời.</w:t>
      </w:r>
    </w:p>
    <w:p>
      <w:pPr>
        <w:keepLines w:val="0"/>
        <w:spacing w:after="120"/>
        <w:ind w:firstLine="567"/>
      </w:pPr>
      <w:r>
        <w:t xml:space="preserve">Hàm ý phương pháp là chất lượng hệ thống hỗ trợ quyết định phải được đánh giá theo toàn bộ chuỗi dữ liệu → dự báo → bất định → kịch bản/rủi ro → diễn giải có kiểm duyệt, với chẩn đoán theo phân đoạn là đầu ra bắt buộc. Kết quả thực nghiệm minh họa rõ điều này: nhóm nhu cầu cao nhất có WAPE thấp nhất (13,39%) nhưng độ bao phủ chỉ 72,77%; nhãn LOW, tức mức bất định tương đối thấp nhất, lại có độ bao phủ trung bình theo chuỗi thấp nhất (58,18%); còn CH 3 – PRODUCE có WAPE 4,10% nhưng bao phủ 68,75%. Nếu chỉ đọc WAPE tổng hợp hoặc độ bao phủ tổng, người lập kế hoạch sẽ không thấy rằng những chuỗi chiếm phần lớn khối lượng bán lại là nơi khoảng dự báo hẹp nhất so với biến động thực tế. Vì thế, mục 6.3 đặt song song hai hướng: đưa khoảng dự báo về mức hiệu chỉnh danh nghĩa và thay nhãn r bằng tiêu chí có trọng số kinh doanh.</w:t>
      </w:r>
    </w:p>
    <w:p>
      <w:pPr>
        <w:pStyle w:val="Heading2"/>
        <w:keepNext/>
      </w:pPr>
      <w:r>
        <w:t xml:space="preserve">6.3. Kiến nghị và hướng nghiên cứu tiếp theo</w:t>
      </w:r>
    </w:p>
    <w:p>
      <w:pPr>
        <w:pStyle w:val="Heading3"/>
        <w:keepNext/>
      </w:pPr>
      <w:r>
        <w:t xml:space="preserve">6.3.1. Kiến nghị triển khai đối với doanh nghiệp bán lẻ</w:t>
      </w:r>
    </w:p>
    <w:p>
      <w:pPr>
        <w:keepLines w:val="0"/>
        <w:spacing w:after="120"/>
        <w:ind w:firstLine="567"/>
      </w:pPr>
      <w:r>
        <w:t xml:space="preserve">Từ các kết quả trên và phần thảo luận ở Chương 5, luận văn đưa ra các kiến nghị định hướng cho doanh nghiệp bán lẻ và thương mại điện tử muốn áp dụng kiến trúc tương tự; hiệu quả kinh tế của chúng chưa được kiểm chứng trên dữ liệu vận hành:</w:t>
      </w:r>
    </w:p>
    <w:p>
      <w:pPr>
        <w:keepLines w:val="0"/>
        <w:spacing w:after="60"/>
        <w:ind w:left="851" w:hanging="284"/>
      </w:pPr>
      <w:r>
        <w:t xml:space="preserve">1.	Biến bước kiểm tra dữ liệu thành cổng kiểm soát chất lượng (data-quality gate): hoàn thiện lịch ngày, gắn cờ ngày đóng cửa, dừng quy trình khi khóa bị trùng hoặc nguồn bổ sung không đủ độ trễ 16 ngày lịch.</w:t>
      </w:r>
    </w:p>
    <w:p>
      <w:pPr>
        <w:keepLines w:val="0"/>
        <w:spacing w:after="60"/>
        <w:ind w:left="851" w:hanging="284"/>
      </w:pPr>
      <w:r>
        <w:t xml:space="preserve">2.	Vận hành song song XGBoost và LightGBM theo cơ chế mô hình chính – mô hình thách thức (champion–challenger), theo dõi cả WAPE và RMSE, giữ Seasonal Naive theo gốc cố định làm mốc so sánh.</w:t>
      </w:r>
    </w:p>
    <w:p>
      <w:pPr>
        <w:keepLines w:val="0"/>
        <w:spacing w:after="60"/>
        <w:ind w:left="851" w:hanging="284"/>
      </w:pPr>
      <w:r>
        <w:t xml:space="preserve">3.	Theo dõi độ bao phủ theo mức nhu cầu, nhóm sản phẩm và cửa hàng, không chỉ ở cấp tổng.</w:t>
      </w:r>
    </w:p>
    <w:p>
      <w:pPr>
        <w:keepLines w:val="0"/>
        <w:spacing w:after="60"/>
        <w:ind w:left="851" w:hanging="284"/>
      </w:pPr>
      <w:r>
        <w:t xml:space="preserve">4.	Dùng điểm ưu tiên minh bạch thay cho một nhãn duy nhất khi xếp hàng đợi, và dần thay nhãn r bằng tiêu chí có trọng số kinh doanh như doanh thu, biên lợi nhuận hoặc chi phí thiếu hàng.</w:t>
      </w:r>
    </w:p>
    <w:p>
      <w:pPr>
        <w:keepLines w:val="0"/>
        <w:spacing w:after="60"/>
        <w:ind w:left="851" w:hanging="284"/>
      </w:pPr>
      <w:r>
        <w:t xml:space="preserve">5.	Dùng mẫu ra quyết định dự báo (.xlsx) xuất từ trang 10 của dashboard làm giao diện phê duyệt hằng kỳ: mỗi dòng một chuỗi với P10/P50/P90, nhãn, mức tin cậy và ba mục tiêu A/B/C bị khóa; người lập kế hoạch nhập tồn kho thực tế, hàng đang về, quyết định, phương án, số lượng cuối, lý do, người duyệt và ngày duyệt; công thức tính lại số lượng cần theo tồn thực và cột Kiểm soát cảnh báo thiếu lý do hoặc người duyệt, vượt mục tiêu P90, lệch trên 30% và ngoại suy khuyến mãi.</w:t>
      </w:r>
    </w:p>
    <w:p>
      <w:pPr>
        <w:keepLines w:val="0"/>
        <w:spacing w:after="60"/>
        <w:ind w:left="851" w:hanging="284"/>
      </w:pPr>
      <w:r>
        <w:t xml:space="preserve">6.	Giữ cảnh báo ngoại suy khuyến mãi; chỉ cho Generative AI viết lại diễn giải, mọi đơn hàng hay thay đổi khuyến mãi phải qua phê duyệt HITL có ghi người phê duyệt và lý do.</w:t>
      </w:r>
    </w:p>
    <w:p>
      <w:pPr>
        <w:keepLines w:val="0"/>
        <w:spacing w:after="120"/>
        <w:ind w:firstLine="567"/>
      </w:pPr>
      <w:r>
        <w:t xml:space="preserve">Các kiến nghị này có chung một logic: tự động hóa phần phân tích lặp lại nhưng giữ quyền phê duyệt ở con người và làm cho mọi tín hiệu có thể truy vết về nguồn, phù hợp với nguyên tắc cho phép người dùng hiểu, điều chỉnh hoặc bác bỏ khuyến nghị của AI (Amershi và cộng sự, 2019) và với yêu cầu hạn chế nợ kỹ thuật khi mô hình được nhúng vào hệ thống nhiều tầng phụ thuộc dữ liệu (Sculley và cộng sự, 2015). Trong hệ thống như vậy, nhiều sai sót không làm quy trình dừng lại nhưng làm sai lệch đầu ra một cách âm thầm, nên các ràng buộc phương pháp cần được mã hóa thành kiểm thử tự động. Vì vậy, bộ kiểm thử của lần chạy nên được duy trì như một phần của vận hành: smoke test kiểm tra đủ đầu ra của các stage và các ràng buộc phương pháp cốt lõi (tập kiểm tra cuối không tham gia lựa chọn, phân vị không bắt chéo), kiểm thử đơn vị, kiểm thử dashboard, kiểm thử luồng mô hình ngôn ngữ bằng mô phỏng và kiểm tra mẫu ra quyết định, trong đó lần chạy đã tính lại 7.140 công thức với 0 lỗi.</w:t>
      </w:r>
    </w:p>
    <w:p>
      <w:pPr>
        <w:pStyle w:val="Heading3"/>
        <w:keepNext/>
      </w:pPr>
      <w:r>
        <w:t xml:space="preserve">6.3.2. Các giới hạn của thiết kế và hướng hoàn thiện</w:t>
      </w:r>
    </w:p>
    <w:p>
      <w:pPr>
        <w:keepLines w:val="0"/>
        <w:spacing w:after="120"/>
        <w:ind w:firstLine="567"/>
      </w:pPr>
      <w:r>
        <w:t xml:space="preserve">Phần này tập trung vào những giới hạn mà lần chạy chính thức giữ có chủ đích để bảo đảm tính đơn giản, minh bạch của quy trình, hoặc chưa có dữ liệu để xử lý. Bảng 6.2 liệt kê các giới hạn này cùng bằng chứng và hướng hoàn thiện; các hướng này chưa được chạy nên luận văn không nêu kết quả kỳ vọng dưới dạng số. Quan trọng nhất là nhãn rủi ro: công thức r với ngưỡng cố định chủ yếu phản ánh quy mô (Spearman −0,970), khiến 1.064 chuỗi HIGH chỉ chiếm 2,02% tổng P50. Hướng phù hợp là thay r bằng tiêu chí ưu tiên có trọng số kinh doanh, kết hợp quy mô, sai số gần đây, độ bao phủ thực tế của phân đoạn và, khi có dữ liệu, biên lợi nhuận hoặc chi phí thiếu hàng.</w:t>
      </w:r>
    </w:p>
    <w:p>
      <w:pPr>
        <w:keepNext/>
        <w:spacing w:before="120" w:after="60"/>
        <w:ind w:firstLine="0"/>
        <w:jc w:val="center"/>
      </w:pPr>
      <w:r>
        <w:t xml:space="preserve">Bảng 6.2. Các giới hạn của thiết kế trong lần chạy chính thức và hướng hoàn thiện đề xuất</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558"/>
        <w:gridCol w:w="3347"/>
        <w:gridCol w:w="3166"/>
      </w:tblGrid>
      <w:tr>
        <w:trPr>
          <w:tblHeader/>
          <w:cantSplit/>
        </w:trPr>
        <w:tc>
          <w:tcPr>
            <w:tcW w:type="dxa" w:w="2558"/>
            <w:shd w:val="clear" w:color="auto" w:fill="D9E2F3"/>
            <w:vAlign w:val="center"/>
          </w:tcPr>
          <w:p>
            <w:pPr>
              <w:spacing w:before="20" w:after="20" w:line="260" w:lineRule="auto"/>
              <w:ind w:firstLine="0"/>
              <w:jc w:val="center"/>
            </w:pPr>
            <w:r>
              <w:rPr>
                <w:b/>
                <w:sz w:val="20"/>
                <w:szCs w:val="20"/>
              </w:rPr>
              <w:t xml:space="preserve">Giới hạn</w:t>
            </w:r>
          </w:p>
        </w:tc>
        <w:tc>
          <w:tcPr>
            <w:tcW w:type="dxa" w:w="3347"/>
            <w:shd w:val="clear" w:color="auto" w:fill="D9E2F3"/>
            <w:vAlign w:val="center"/>
          </w:tcPr>
          <w:p>
            <w:pPr>
              <w:spacing w:before="20" w:after="20" w:line="260" w:lineRule="auto"/>
              <w:ind w:firstLine="0"/>
              <w:jc w:val="center"/>
            </w:pPr>
            <w:r>
              <w:rPr>
                <w:b/>
                <w:sz w:val="20"/>
                <w:szCs w:val="20"/>
              </w:rPr>
              <w:t xml:space="preserve">Bằng chứng trong lần chạy chính thức</w:t>
            </w:r>
          </w:p>
        </w:tc>
        <w:tc>
          <w:tcPr>
            <w:tcW w:type="dxa" w:w="3166"/>
            <w:shd w:val="clear" w:color="auto" w:fill="D9E2F3"/>
            <w:vAlign w:val="center"/>
          </w:tcPr>
          <w:p>
            <w:pPr>
              <w:spacing w:before="20" w:after="20" w:line="260" w:lineRule="auto"/>
              <w:ind w:firstLine="0"/>
              <w:jc w:val="center"/>
            </w:pPr>
            <w:r>
              <w:rPr>
                <w:b/>
                <w:sz w:val="20"/>
                <w:szCs w:val="20"/>
              </w:rPr>
              <w:t xml:space="preserve">Hướng hoàn thiện đề xuất (chưa chạy)</w:t>
            </w:r>
          </w:p>
        </w:tc>
      </w:tr>
      <w:tr>
        <w:trPr>
          <w:cantSplit/>
        </w:trPr>
        <w:tc>
          <w:tcPr>
            <w:tcW w:type="dxa" w:w="2558"/>
            <w:vAlign w:val="center"/>
          </w:tcPr>
          <w:p>
            <w:pPr>
              <w:spacing w:before="20" w:after="20" w:line="260" w:lineRule="auto"/>
              <w:ind w:firstLine="0"/>
              <w:jc w:val="left"/>
            </w:pPr>
            <w:r>
              <w:rPr>
                <w:sz w:val="20"/>
                <w:szCs w:val="20"/>
              </w:rPr>
              <w:t xml:space="preserve">Nhãn rủi ro r = (P90 − P10)/(P50 + 1) với ngưỡng cố định 0,35/0,75</w:t>
            </w:r>
          </w:p>
        </w:tc>
        <w:tc>
          <w:tcPr>
            <w:tcW w:type="dxa" w:w="3347"/>
            <w:vAlign w:val="center"/>
          </w:tcPr>
          <w:p>
            <w:pPr>
              <w:spacing w:before="20" w:after="20" w:line="260" w:lineRule="auto"/>
              <w:ind w:firstLine="0"/>
              <w:jc w:val="left"/>
            </w:pPr>
            <w:r>
              <w:rPr>
                <w:sz w:val="20"/>
                <w:szCs w:val="20"/>
              </w:rPr>
              <w:t xml:space="preserve">Spearman(P50, r) = −0,970; HIGH 1.064 chuỗi nhưng 2,02% tổng P50; LOW có bao phủ TB theo chuỗi 58,18%</w:t>
            </w:r>
          </w:p>
        </w:tc>
        <w:tc>
          <w:tcPr>
            <w:tcW w:type="dxa" w:w="3166"/>
            <w:vAlign w:val="center"/>
          </w:tcPr>
          <w:p>
            <w:pPr>
              <w:spacing w:before="20" w:after="20" w:line="260" w:lineRule="auto"/>
              <w:ind w:firstLine="0"/>
              <w:jc w:val="left"/>
            </w:pPr>
            <w:r>
              <w:rPr>
                <w:sz w:val="20"/>
                <w:szCs w:val="20"/>
              </w:rPr>
              <w:t xml:space="preserve">Tiêu chí ưu tiên có trọng số kinh doanh (quy mô, sai số gần đây, bao phủ phân đoạn, biên lợi nhuận)</w:t>
            </w:r>
          </w:p>
        </w:tc>
      </w:tr>
      <w:tr>
        <w:trPr>
          <w:cantSplit/>
        </w:trPr>
        <w:tc>
          <w:tcPr>
            <w:tcW w:type="dxa" w:w="2558"/>
            <w:vAlign w:val="center"/>
          </w:tcPr>
          <w:p>
            <w:pPr>
              <w:spacing w:before="20" w:after="20" w:line="260" w:lineRule="auto"/>
              <w:ind w:firstLine="0"/>
              <w:jc w:val="left"/>
            </w:pPr>
            <w:r>
              <w:rPr>
                <w:sz w:val="20"/>
                <w:szCs w:val="20"/>
              </w:rPr>
              <w:t xml:space="preserve">Bao phủ thấp hơn danh nghĩa</w:t>
            </w:r>
          </w:p>
        </w:tc>
        <w:tc>
          <w:tcPr>
            <w:tcW w:type="dxa" w:w="3347"/>
            <w:vAlign w:val="center"/>
          </w:tcPr>
          <w:p>
            <w:pPr>
              <w:spacing w:before="20" w:after="20" w:line="260" w:lineRule="auto"/>
              <w:ind w:firstLine="0"/>
              <w:jc w:val="left"/>
            </w:pPr>
            <w:r>
              <w:rPr>
                <w:sz w:val="20"/>
                <w:szCs w:val="20"/>
              </w:rPr>
              <w:t xml:space="preserve">Bao phủ tổng 75,40%; nhóm nhu cầu thấp nhất 70,86%; BEVERAGES 60,53%</w:t>
            </w:r>
          </w:p>
        </w:tc>
        <w:tc>
          <w:tcPr>
            <w:tcW w:type="dxa" w:w="3166"/>
            <w:vAlign w:val="center"/>
          </w:tcPr>
          <w:p>
            <w:pPr>
              <w:spacing w:before="20" w:after="20" w:line="260" w:lineRule="auto"/>
              <w:ind w:firstLine="0"/>
              <w:jc w:val="left"/>
            </w:pPr>
            <w:r>
              <w:rPr>
                <w:sz w:val="20"/>
                <w:szCs w:val="20"/>
              </w:rPr>
              <w:t xml:space="preserve">Tăng số lần/khung hiệu chỉnh; hồi quy phân vị được conformal hóa (CQR); hiệu chỉnh theo nhóm sản phẩm</w:t>
            </w:r>
          </w:p>
        </w:tc>
      </w:tr>
      <w:tr>
        <w:trPr>
          <w:cantSplit/>
        </w:trPr>
        <w:tc>
          <w:tcPr>
            <w:tcW w:type="dxa" w:w="2558"/>
            <w:vAlign w:val="center"/>
          </w:tcPr>
          <w:p>
            <w:pPr>
              <w:spacing w:before="20" w:after="20" w:line="260" w:lineRule="auto"/>
              <w:ind w:firstLine="0"/>
              <w:jc w:val="left"/>
            </w:pPr>
            <w:r>
              <w:rPr>
                <w:sz w:val="20"/>
                <w:szCs w:val="20"/>
              </w:rPr>
              <w:t xml:space="preserve">Cửa sổ hiệu chỉnh trùng lần kiểm định 3</w:t>
            </w:r>
          </w:p>
        </w:tc>
        <w:tc>
          <w:tcPr>
            <w:tcW w:type="dxa" w:w="3347"/>
            <w:vAlign w:val="center"/>
          </w:tcPr>
          <w:p>
            <w:pPr>
              <w:spacing w:before="20" w:after="20" w:line="260" w:lineRule="auto"/>
              <w:ind w:firstLine="0"/>
              <w:jc w:val="left"/>
            </w:pPr>
            <w:r>
              <w:rPr>
                <w:sz w:val="20"/>
                <w:szCs w:val="20"/>
              </w:rPr>
              <w:t xml:space="preserve">Hiệu chỉnh trên 15/07–30/07/2017</w:t>
            </w:r>
          </w:p>
        </w:tc>
        <w:tc>
          <w:tcPr>
            <w:tcW w:type="dxa" w:w="3166"/>
            <w:vAlign w:val="center"/>
          </w:tcPr>
          <w:p>
            <w:pPr>
              <w:spacing w:before="20" w:after="20" w:line="260" w:lineRule="auto"/>
              <w:ind w:firstLine="0"/>
              <w:jc w:val="left"/>
            </w:pPr>
            <w:r>
              <w:rPr>
                <w:sz w:val="20"/>
                <w:szCs w:val="20"/>
              </w:rPr>
              <w:t xml:space="preserve">Tách cửa sổ hiệu chỉnh khỏi các cửa sổ chọn mô hình</w:t>
            </w:r>
          </w:p>
        </w:tc>
      </w:tr>
      <w:tr>
        <w:trPr>
          <w:cantSplit/>
        </w:trPr>
        <w:tc>
          <w:tcPr>
            <w:tcW w:type="dxa" w:w="2558"/>
            <w:vAlign w:val="center"/>
          </w:tcPr>
          <w:p>
            <w:pPr>
              <w:spacing w:before="20" w:after="20" w:line="260" w:lineRule="auto"/>
              <w:ind w:firstLine="0"/>
              <w:jc w:val="left"/>
            </w:pPr>
            <w:r>
              <w:rPr>
                <w:sz w:val="20"/>
                <w:szCs w:val="20"/>
              </w:rPr>
              <w:t xml:space="preserve">Tổng phân vị theo ngày dùng làm phân vị 16 ngày</w:t>
            </w:r>
          </w:p>
        </w:tc>
        <w:tc>
          <w:tcPr>
            <w:tcW w:type="dxa" w:w="3347"/>
            <w:vAlign w:val="center"/>
          </w:tcPr>
          <w:p>
            <w:pPr>
              <w:spacing w:before="20" w:after="20" w:line="260" w:lineRule="auto"/>
              <w:ind w:firstLine="0"/>
              <w:jc w:val="left"/>
            </w:pPr>
            <w:r>
              <w:rPr>
                <w:sz w:val="20"/>
                <w:szCs w:val="20"/>
              </w:rPr>
              <w:t xml:space="preserve">P10/P50/P90 kỳ là tổng 16 phân vị theo ngày</w:t>
            </w:r>
          </w:p>
        </w:tc>
        <w:tc>
          <w:tcPr>
            <w:tcW w:type="dxa" w:w="3166"/>
            <w:vAlign w:val="center"/>
          </w:tcPr>
          <w:p>
            <w:pPr>
              <w:spacing w:before="20" w:after="20" w:line="260" w:lineRule="auto"/>
              <w:ind w:firstLine="0"/>
              <w:jc w:val="left"/>
            </w:pPr>
            <w:r>
              <w:rPr>
                <w:sz w:val="20"/>
                <w:szCs w:val="20"/>
              </w:rPr>
              <w:t xml:space="preserve">Mô phỏng quỹ đạo mẫu (sample paths) rồi lấy phân vị của tổng</w:t>
            </w:r>
          </w:p>
        </w:tc>
      </w:tr>
      <w:tr>
        <w:trPr>
          <w:cantSplit/>
        </w:trPr>
        <w:tc>
          <w:tcPr>
            <w:tcW w:type="dxa" w:w="2558"/>
            <w:vAlign w:val="center"/>
          </w:tcPr>
          <w:p>
            <w:pPr>
              <w:spacing w:before="20" w:after="20" w:line="260" w:lineRule="auto"/>
              <w:ind w:firstLine="0"/>
              <w:jc w:val="left"/>
            </w:pPr>
            <w:r>
              <w:rPr>
                <w:sz w:val="20"/>
                <w:szCs w:val="20"/>
              </w:rPr>
              <w:t xml:space="preserve">Vị thế tồn kho giả định và ROP = P90</w:t>
            </w:r>
          </w:p>
        </w:tc>
        <w:tc>
          <w:tcPr>
            <w:tcW w:type="dxa" w:w="3347"/>
            <w:vAlign w:val="center"/>
          </w:tcPr>
          <w:p>
            <w:pPr>
              <w:spacing w:before="20" w:after="20" w:line="260" w:lineRule="auto"/>
              <w:ind w:firstLine="0"/>
              <w:jc w:val="left"/>
            </w:pPr>
            <w:r>
              <w:rPr>
                <w:sz w:val="20"/>
                <w:szCs w:val="20"/>
              </w:rPr>
              <w:t xml:space="preserve">Vị thế = 0,8 × P50; phần 0,2 × P50 chiếm 46,24% tổng bổ sung</w:t>
            </w:r>
          </w:p>
        </w:tc>
        <w:tc>
          <w:tcPr>
            <w:tcW w:type="dxa" w:w="3166"/>
            <w:vAlign w:val="center"/>
          </w:tcPr>
          <w:p>
            <w:pPr>
              <w:spacing w:before="20" w:after="20" w:line="260" w:lineRule="auto"/>
              <w:ind w:firstLine="0"/>
              <w:jc w:val="left"/>
            </w:pPr>
            <w:r>
              <w:rPr>
                <w:sz w:val="20"/>
                <w:szCs w:val="20"/>
              </w:rPr>
              <w:t xml:space="preserve">Dùng tồn kho thực, đơn đang về, thời gian cung ứng; đặt mức mục tiêu theo q* khi có chi phí thực</w:t>
            </w:r>
          </w:p>
        </w:tc>
      </w:tr>
      <w:tr>
        <w:trPr>
          <w:cantSplit/>
        </w:trPr>
        <w:tc>
          <w:tcPr>
            <w:tcW w:type="dxa" w:w="2558"/>
            <w:vAlign w:val="center"/>
          </w:tcPr>
          <w:p>
            <w:pPr>
              <w:spacing w:before="20" w:after="20" w:line="260" w:lineRule="auto"/>
              <w:ind w:firstLine="0"/>
              <w:jc w:val="left"/>
            </w:pPr>
            <w:r>
              <w:rPr>
                <w:sz w:val="20"/>
                <w:szCs w:val="20"/>
              </w:rPr>
              <w:t xml:space="preserve">Kịch bản khuyến mãi ngoại suy</w:t>
            </w:r>
          </w:p>
        </w:tc>
        <w:tc>
          <w:tcPr>
            <w:tcW w:type="dxa" w:w="3347"/>
            <w:vAlign w:val="center"/>
          </w:tcPr>
          <w:p>
            <w:pPr>
              <w:spacing w:before="20" w:after="20" w:line="260" w:lineRule="auto"/>
              <w:ind w:firstLine="0"/>
              <w:jc w:val="left"/>
            </w:pPr>
            <w:r>
              <w:rPr>
                <w:sz w:val="20"/>
                <w:szCs w:val="20"/>
              </w:rPr>
              <w:t xml:space="preserve">783 chuỗi |Δ| &gt; 100%; BABY CARE High trung vị 3.740,76 so với Current 19,48</w:t>
            </w:r>
          </w:p>
        </w:tc>
        <w:tc>
          <w:tcPr>
            <w:tcW w:type="dxa" w:w="3166"/>
            <w:vAlign w:val="center"/>
          </w:tcPr>
          <w:p>
            <w:pPr>
              <w:spacing w:before="20" w:after="20" w:line="260" w:lineRule="auto"/>
              <w:ind w:firstLine="0"/>
              <w:jc w:val="left"/>
            </w:pPr>
            <w:r>
              <w:rPr>
                <w:sz w:val="20"/>
                <w:szCs w:val="20"/>
              </w:rPr>
              <w:t xml:space="preserve">Giới hạn miền onpromotion theo chuỗi/nhóm; thử nghiệm khuyến mãi nhân quả</w:t>
            </w:r>
          </w:p>
        </w:tc>
      </w:tr>
      <w:tr>
        <w:trPr>
          <w:cantSplit/>
        </w:trPr>
        <w:tc>
          <w:tcPr>
            <w:tcW w:type="dxa" w:w="2558"/>
            <w:vAlign w:val="center"/>
          </w:tcPr>
          <w:p>
            <w:pPr>
              <w:spacing w:before="20" w:after="20" w:line="260" w:lineRule="auto"/>
              <w:ind w:firstLine="0"/>
              <w:jc w:val="left"/>
            </w:pPr>
            <w:r>
              <w:rPr>
                <w:sz w:val="20"/>
                <w:szCs w:val="20"/>
              </w:rPr>
              <w:t xml:space="preserve">Chỉ 3 lần kiểm định, không tinh chỉnh siêu tham số</w:t>
            </w:r>
          </w:p>
        </w:tc>
        <w:tc>
          <w:tcPr>
            <w:tcW w:type="dxa" w:w="3347"/>
            <w:vAlign w:val="center"/>
          </w:tcPr>
          <w:p>
            <w:pPr>
              <w:spacing w:before="20" w:after="20" w:line="260" w:lineRule="auto"/>
              <w:ind w:firstLine="0"/>
              <w:jc w:val="left"/>
            </w:pPr>
            <w:r>
              <w:rPr>
                <w:sz w:val="20"/>
                <w:szCs w:val="20"/>
              </w:rPr>
              <w:t xml:space="preserve">Chênh lệch XGBoost – LightGBM 0,478 điểm % &lt; sd 0,646 điểm %</w:t>
            </w:r>
          </w:p>
        </w:tc>
        <w:tc>
          <w:tcPr>
            <w:tcW w:type="dxa" w:w="3166"/>
            <w:vAlign w:val="center"/>
          </w:tcPr>
          <w:p>
            <w:pPr>
              <w:spacing w:before="20" w:after="20" w:line="260" w:lineRule="auto"/>
              <w:ind w:firstLine="0"/>
              <w:jc w:val="left"/>
            </w:pPr>
            <w:r>
              <w:rPr>
                <w:sz w:val="20"/>
                <w:szCs w:val="20"/>
              </w:rPr>
              <w:t xml:space="preserve">Thêm gốc dự báo; tinh chỉnh trong vòng kiểm định lồng theo thời gian</w:t>
            </w:r>
          </w:p>
        </w:tc>
      </w:tr>
      <w:tr>
        <w:trPr>
          <w:cantSplit/>
        </w:trPr>
        <w:tc>
          <w:tcPr>
            <w:tcW w:type="dxa" w:w="2558"/>
            <w:vAlign w:val="center"/>
          </w:tcPr>
          <w:p>
            <w:pPr>
              <w:spacing w:before="20" w:after="20" w:line="260" w:lineRule="auto"/>
              <w:ind w:firstLine="0"/>
              <w:jc w:val="left"/>
            </w:pPr>
            <w:r>
              <w:rPr>
                <w:sz w:val="20"/>
                <w:szCs w:val="20"/>
              </w:rPr>
              <w:t xml:space="preserve">Random Forest giới hạn 600.000 dòng</w:t>
            </w:r>
          </w:p>
        </w:tc>
        <w:tc>
          <w:tcPr>
            <w:tcW w:type="dxa" w:w="3347"/>
            <w:vAlign w:val="center"/>
          </w:tcPr>
          <w:p>
            <w:pPr>
              <w:spacing w:before="20" w:after="20" w:line="260" w:lineRule="auto"/>
              <w:ind w:firstLine="0"/>
              <w:jc w:val="left"/>
            </w:pPr>
            <w:r>
              <w:rPr>
                <w:sz w:val="20"/>
                <w:szCs w:val="20"/>
              </w:rPr>
              <w:t xml:space="preserve">Các mô hình khác dùng toàn bộ dữ liệu huấn luyện; XGBoost trên mẫu 600.000 dòng có WAPE CV 12,258% so với 12,089%</w:t>
            </w:r>
          </w:p>
        </w:tc>
        <w:tc>
          <w:tcPr>
            <w:tcW w:type="dxa" w:w="3166"/>
            <w:vAlign w:val="center"/>
          </w:tcPr>
          <w:p>
            <w:pPr>
              <w:spacing w:before="20" w:after="20" w:line="260" w:lineRule="auto"/>
              <w:ind w:firstLine="0"/>
              <w:jc w:val="left"/>
            </w:pPr>
            <w:r>
              <w:rPr>
                <w:sz w:val="20"/>
                <w:szCs w:val="20"/>
              </w:rPr>
              <w:t xml:space="preserve">So sánh ở cùng lượng dữ liệu hoặc ghi rõ chi phí tính toán</w:t>
            </w:r>
          </w:p>
        </w:tc>
      </w:tr>
      <w:tr>
        <w:trPr>
          <w:cantSplit/>
        </w:trPr>
        <w:tc>
          <w:tcPr>
            <w:tcW w:type="dxa" w:w="2558"/>
            <w:vAlign w:val="center"/>
          </w:tcPr>
          <w:p>
            <w:pPr>
              <w:spacing w:before="20" w:after="20" w:line="260" w:lineRule="auto"/>
              <w:ind w:firstLine="0"/>
              <w:jc w:val="left"/>
            </w:pPr>
            <w:r>
              <w:rPr>
                <w:sz w:val="20"/>
                <w:szCs w:val="20"/>
              </w:rPr>
              <w:t xml:space="preserve">Chưa gọi LLM thật</w:t>
            </w:r>
          </w:p>
        </w:tc>
        <w:tc>
          <w:tcPr>
            <w:tcW w:type="dxa" w:w="3347"/>
            <w:vAlign w:val="center"/>
          </w:tcPr>
          <w:p>
            <w:pPr>
              <w:spacing w:before="20" w:after="20" w:line="260" w:lineRule="auto"/>
              <w:ind w:firstLine="0"/>
              <w:jc w:val="left"/>
            </w:pPr>
            <w:r>
              <w:rPr>
                <w:sz w:val="20"/>
                <w:szCs w:val="20"/>
              </w:rPr>
              <w:t xml:space="preserve">1.782 phiếu RULE_BASED; kiểm tra bám bằng chứng thử bằng mô phỏng</w:t>
            </w:r>
          </w:p>
        </w:tc>
        <w:tc>
          <w:tcPr>
            <w:tcW w:type="dxa" w:w="3166"/>
            <w:vAlign w:val="center"/>
          </w:tcPr>
          <w:p>
            <w:pPr>
              <w:spacing w:before="20" w:after="20" w:line="260" w:lineRule="auto"/>
              <w:ind w:firstLine="0"/>
              <w:jc w:val="left"/>
            </w:pPr>
            <w:r>
              <w:rPr>
                <w:sz w:val="20"/>
                <w:szCs w:val="20"/>
              </w:rPr>
              <w:t xml:space="preserve">Thực nghiệm với mô hình ngôn ngữ thật và bộ trường hợp chuẩn</w:t>
            </w:r>
          </w:p>
        </w:tc>
      </w:tr>
      <w:tr>
        <w:trPr>
          <w:cantSplit/>
        </w:trPr>
        <w:tc>
          <w:tcPr>
            <w:tcW w:type="dxa" w:w="2558"/>
            <w:vAlign w:val="center"/>
          </w:tcPr>
          <w:p>
            <w:pPr>
              <w:spacing w:before="20" w:after="20" w:line="260" w:lineRule="auto"/>
              <w:ind w:firstLine="0"/>
              <w:jc w:val="left"/>
            </w:pPr>
            <w:r>
              <w:rPr>
                <w:sz w:val="20"/>
                <w:szCs w:val="20"/>
              </w:rPr>
              <w:t xml:space="preserve">Khác phiên bản thư viện</w:t>
            </w:r>
          </w:p>
        </w:tc>
        <w:tc>
          <w:tcPr>
            <w:tcW w:type="dxa" w:w="3347"/>
            <w:vAlign w:val="center"/>
          </w:tcPr>
          <w:p>
            <w:pPr>
              <w:spacing w:before="20" w:after="20" w:line="260" w:lineRule="auto"/>
              <w:ind w:firstLine="0"/>
              <w:jc w:val="left"/>
            </w:pPr>
            <w:r>
              <w:rPr>
                <w:sz w:val="20"/>
                <w:szCs w:val="20"/>
              </w:rPr>
              <w:t xml:space="preserve">Môi trường chạy xgboost 3.2.0,.venv của folder xgboost 3.4.1</w:t>
            </w:r>
          </w:p>
        </w:tc>
        <w:tc>
          <w:tcPr>
            <w:tcW w:type="dxa" w:w="3166"/>
            <w:vAlign w:val="center"/>
          </w:tcPr>
          <w:p>
            <w:pPr>
              <w:spacing w:before="20" w:after="20" w:line="260" w:lineRule="auto"/>
              <w:ind w:firstLine="0"/>
              <w:jc w:val="left"/>
            </w:pPr>
            <w:r>
              <w:rPr>
                <w:sz w:val="20"/>
                <w:szCs w:val="20"/>
              </w:rPr>
              <w:t xml:space="preserve">Đồng bộ và cố định phiên bản thư viện trong tệp môi trường</w:t>
            </w:r>
          </w:p>
        </w:tc>
      </w:tr>
    </w:tbl>
    <w:p>
      <w:pPr>
        <w:spacing w:before="40" w:after="160"/>
        <w:ind w:firstLine="0"/>
      </w:pPr>
      <w:r>
        <w:rPr>
          <w:i/>
          <w:sz w:val="22"/>
          <w:szCs w:val="22"/>
        </w:rPr>
        <w:t xml:space="preserve">Nguồn: tổng hợp của tác giả từ mã nguồn và tệp kết quả của lần chạy chính thức.</w:t>
      </w:r>
    </w:p>
    <w:p>
      <w:pPr>
        <w:keepLines w:val="0"/>
        <w:spacing w:after="120"/>
        <w:ind w:firstLine="567"/>
      </w:pPr>
      <w:r>
        <w:t xml:space="preserve">Các hướng hoàn thiện kỹ thuật còn lại có thể làm ngay trong mã nguồn. Thứ nhất, quy trình lựa chọn nên dùng nhiều gốc dự báo hơn (Tashman, 2000) và tinh chỉnh siêu tham số trong vòng kiểm định lồng theo thời gian cho các mô hình dẫn đầu; thí nghiệm độ nhạy cho thấy khác biệt vài phần mười điểm phần trăm có thể đến từ lượng dữ liệu huấn luyện, nên mọi so sánh cần cố định các yếu tố còn lại. Thứ hai, Random Forest nên được so sánh ở cùng lượng dữ liệu. Thứ ba, phiên bản thư viện giữa môi trường của lần chạy chính thức (scikit-learn 1.8.0, xgboost 3.2.0) và.venv của thư mục (scikit-learn 1.9.1, xgboost 3.4.1) cần được đồng bộ, vì khi chạy lại bằng START_WINDOWS.bat, XGBoost và Random Forest có thể cho kết quả lệch nhỏ do khác phiên bản.</w:t>
      </w:r>
    </w:p>
    <w:p>
      <w:pPr>
        <w:pStyle w:val="Heading3"/>
        <w:keepNext/>
      </w:pPr>
      <w:r>
        <w:t xml:space="preserve">6.3.3. Hướng nghiên cứu về dự báo xác suất và phân phối cho toàn kỳ</w:t>
      </w:r>
    </w:p>
    <w:p>
      <w:pPr>
        <w:keepLines w:val="0"/>
        <w:spacing w:after="120"/>
        <w:ind w:firstLine="567"/>
      </w:pPr>
      <w:r>
        <w:t xml:space="preserve">Hướng nghiên cứu thứ nhất là đưa độ bao phủ từ 75,40% về gần mức danh nghĩa 80% ở cả cấp tổng và cấp phân đoạn. Khi khoảng đã thích ứng với quy mô, câu hỏi tiếp theo là hiệu chỉnh khi dữ liệu thay đổi theo thời gian, với ba lựa chọn cần so sánh. Một là tăng số cửa sổ hoặc kéo dài khung hiệu chỉnh, đồng thời tách nó khỏi lần kiểm định 3, để phân vị phần dư ổn định hơn. Hai là hồi quy phân vị ước lượng trực tiếp P10/P50/P90 bằng hàm mất mát phân vị (Koenker, 2005). Ba là hồi quy phân vị được conformal hóa (Romano, Patterson và Candès, 2019), kết hợp tính thích ứng theo điều kiện với bảo đảm bao phủ biên trong khung conformal (Angelopoulos và Bates, 2023). Tiêu chí so sánh là bao phủ theo phân đoạn và pinball loss.</w:t>
      </w:r>
    </w:p>
    <w:p>
      <w:pPr>
        <w:keepLines w:val="0"/>
        <w:spacing w:after="120"/>
        <w:ind w:firstLine="567"/>
      </w:pPr>
      <w:r>
        <w:t xml:space="preserve">Hướng thứ hai là mô hình hóa phân phối nhu cầu cho toàn kỳ quyết định thay vì cộng dồn phân vị theo ngày; tổng các phân vị theo ngày chỉ trùng với phân vị của tổng trong những điều kiện đặc biệt như khi các ngày đồng biến hoàn toàn. Cách tiếp cận phù hợp là tạo các quỹ đạo mẫu (sample paths) cho 16 ngày, chẳng hạn bằng lấy mẫu lại phần dư theo khối hoặc mô hình như DeepAR (Salinas và cộng sự, 2020), rồi lấy phân vị trực tiếp trên tổng của từng quỹ đạo và đánh giá bằng quy tắc chấm điểm thích hợp ở cấp tổng (Gneiting và Raftery, 2007). Khi kết hợp với thời gian cung ứng thực, phân phối này cho phép xác định điểm đặt hàng lại và tồn kho an toàn theo khung quản trị tồn kho chuẩn (Silver, Pyke và Thomas, 2017), thay cho quy ước ROP = P90 và mức tồn kho an toàn P90 − P50 hiện nay.</w:t>
      </w:r>
    </w:p>
    <w:p>
      <w:pPr>
        <w:pStyle w:val="Heading3"/>
        <w:keepNext/>
      </w:pPr>
      <w:r>
        <w:t xml:space="preserve">6.3.4. Hướng nghiên cứu về dữ liệu vận hành và khuyến mãi nhân quả</w:t>
      </w:r>
    </w:p>
    <w:p>
      <w:pPr>
        <w:keepLines w:val="0"/>
        <w:spacing w:after="120"/>
        <w:ind w:firstLine="567"/>
      </w:pPr>
      <w:r>
        <w:t xml:space="preserve">Hướng thứ ba là bổ sung dữ liệu vận hành để chuyển các đại lượng mô phỏng thành đánh giá kinh tế: tồn kho và vị thế tồn kho thực thay cho giả định 0,8 × P50, đơn đang về, thời gian cung ứng, lượng đặt tối thiểu, giá bán, biên lợi nhuận và chi phí thiếu hàng. Nhu cầu này là cấp thiết vì gần một nửa tổng lượng bổ sung gợi ý trong lần chạy đến từ giả định vị thế tồn kho, và tỷ lệ Cu/Co = 3/1 được áp đồng loạt trong khi không có căn cứ dữ liệu nào để cho rằng cấu trúc chi phí của các nhóm như GROCERY I, PRODUCE hay BEVERAGES là như nhau. Khi đó mới có thể đặt mức mục tiêu tại q* thay vì P90 và kiểm tra liệu cải thiện dự báo có chuyển thành cải thiện mức dịch vụ và chi phí.</w:t>
      </w:r>
    </w:p>
    <w:p>
      <w:pPr>
        <w:keepLines w:val="0"/>
        <w:spacing w:after="120"/>
        <w:ind w:firstLine="567"/>
      </w:pPr>
      <w:r>
        <w:t xml:space="preserve">Hướng thứ tư là tách phân tích khuyến mãi phục vụ dự báo khỏi phân tích nhân quả. Biến onpromotion không chứa mức chiết khấu, giá thông thường hay chi phí chiến dịch, và được giả định biết trước; vì thế chính sách mẫu POL-PROMO-002 yêu cầu không diễn giải nó như phần trăm giảm giá. Khi có dữ liệu giá và thiết kế thực nghiệm, có thể dùng thử nghiệm có đối chứng, bán thực nghiệm hoặc học máy nhân quả để ước lượng nhu cầu và biên lợi nhuận tăng thêm trong khung kết quả tiềm năng (Imbens và Rubin, 2015), đồng thời xét hiệu ứng chéo giữa các ngành hàng (Ma, Fildes và Huang, 2016). Trong khi chưa có dữ liệu như vậy, khuyến nghị CÂN NHẮC THỬ NGHIỆM ở 683 phiếu chỉ nên được hiểu là đề xuất đưa chuỗi vào một thử nghiệm có đối chứng, không phải bằng chứng rằng khuyến mãi sẽ làm tăng doanh số.</w:t>
      </w:r>
    </w:p>
    <w:p>
      <w:pPr>
        <w:pStyle w:val="Heading3"/>
        <w:keepNext/>
      </w:pPr>
      <w:r>
        <w:t xml:space="preserve">6.3.5. Hướng nghiên cứu về Generative AI, nhật ký HITL và khả năng khái quát hóa</w:t>
      </w:r>
    </w:p>
    <w:p>
      <w:pPr>
        <w:keepLines w:val="0"/>
        <w:spacing w:after="120"/>
        <w:ind w:firstLine="567"/>
      </w:pPr>
      <w:r>
        <w:t xml:space="preserve">Hướng thứ năm là đánh giá lớp Generative AI bằng một thực nghiệm riêng với khóa API và mô hình ngôn ngữ thật. Mã nguồn của quy trình đã có sẵn luồng gọi mô hình (mặc định gpt-5-mini, tối đa 30 phiếu ưu tiên), trong đó mô hình chỉ được viết lại tóm tắt, cơ sở và ghi chú khuyến mãi, cùng kiểm tra bám bằng chứng loại bỏ bản sinh chứa số không có trong bằng chứng. Điều còn thiếu là bộ trường hợp chuẩn có bằng chứng kỳ vọng và tiêu chí đánh giá, gồm tính nhất quán số liệu giữa văn bản sinh và gói bằng chứng, độ chính xác trích dẫn quy định, tỷ lệ ảo giác (hallucination) (Ji và cộng sự, 2023), tỷ lệ bị loại và mức chấp nhận của người lập kế hoạch. Truy xuất cũng có thể được mở rộng từ BM25 và thẻ sang truy xuất theo ngữ nghĩa (Gao và cộng sự, 2023), khi bộ chính sách mẫu được thay bằng chính sách thật.</w:t>
      </w:r>
    </w:p>
    <w:p>
      <w:pPr>
        <w:keepLines w:val="0"/>
        <w:spacing w:after="120"/>
        <w:ind w:firstLine="567"/>
      </w:pPr>
      <w:r>
        <w:t xml:space="preserve">Song song, nhật ký HITL cần được đánh giá bằng quyết định thật. Các trường 14 cột, gồm người phê duyệt, lý do, số lượng cuối cùng và chế độ sinh diễn giải, đã được triển khai, nhưng trong lần chạy chưa có quyết định phê duyệt thật nào được ghi; quy trình phân quyền, phê duyệt nhiều cấp và bổ sung phiên bản mô hình, dữ liệu và lời nhắc vào từng bản ghi vẫn là đề xuất, theo tinh thần tài liệu hóa của thẻ mô hình (Mitchell và cộng sự, 2019). Cuối cùng, kiến trúc cần được kiểm chứng trên dữ liệu của nhà bán lẻ khác, ở cấp mặt hàng và với kỳ dự báo khác, vì phần chuyển giao được là phương pháp và khung quản trị, không phải bộ siêu tham số.</w:t>
      </w:r>
    </w:p>
    <w:p>
      <w:pPr>
        <w:pStyle w:val="Heading2"/>
        <w:keepNext/>
      </w:pPr>
      <w:r>
        <w:t xml:space="preserve">6.4. Kết luận cuối</w:t>
      </w:r>
    </w:p>
    <w:p>
      <w:pPr>
        <w:keepLines w:val="0"/>
        <w:spacing w:after="120"/>
        <w:ind w:firstLine="567"/>
      </w:pPr>
      <w:r>
        <w:t xml:space="preserve">Luận văn cho thấy bài toán dự báo bán lẻ nên được tiếp cận như một hệ thống hỗ trợ quyết định nhiều tầng thay vì một bài toán tối ưu độ chính xác đơn lẻ. Trên hơn ba triệu quan sát của Favorita, quy trình đã dự báo cho 1.782 chuỗi, chọn XGBoost theo WAPE trung bình của ba lần kiểm định chéo cuốn chiếu với tập kiểm tra cuối giữ ngoài quá trình lựa chọn, cho thấy mức cải thiện rõ rệt so với một mô hình cơ sở cố định gốc dự báo, lượng hóa bất định bằng khoảng conformal theo nhóm, và chuyển đầu ra thành phiếu khuyến nghị có bằng chứng, chính sách và phương án số lượng dùng được trong lập kế hoạch dưới sự kiểm duyệt của con người. Trọng tâm dịch chuyển từ “mô hình nào chính xác nhất” sang “dự báo đáng tin đến đâu, với phân đoạn nào, và nên được dùng thế nào”.</w:t>
      </w:r>
    </w:p>
    <w:p>
      <w:pPr>
        <w:keepLines w:val="0"/>
        <w:spacing w:after="120"/>
        <w:ind w:firstLine="567"/>
      </w:pPr>
      <w:r>
        <w:t xml:space="preserve">Phát hiện có giá trị phương pháp lớn nhất có lẽ không nằm ở thứ hạng mô hình mà ở cách một thiết kế bất định lan truyền xuống các tầng quyết định. Khoảng Mondrian làm độ rộng thích ứng với quy mô, với độ bao phủ ở nhóm nhu cầu cao nhất đạt 72,77%, gần các nhóm khác, và tồn kho an toàn thay đổi theo chuỗi; nhưng vì độ rộng tăng chậm hơn quy mô, nhãn r vẫn là thước đo quy mô nghịch đảo và chi phối cơ cấu hành động, mức tin cậy và thứ tự hàng đợi của lớp phiếu khuyến nghị. Đồng thời, kết quả thực nghiệm cũng cho thấy giới hạn của chính thiết kế: bao phủ tổng 75,40% còn thấp hơn danh nghĩa. Việc toàn bộ quy trình chạy lại được từ train.csv, có bộ kiểm thử ở từng tầng và có thí nghiệm độ nhạy cho các lựa chọn thiết kế là điều kiện để những phát hiện này được kiểm tra lại bởi người khác.</w:t>
      </w:r>
    </w:p>
    <w:p>
      <w:pPr>
        <w:keepLines w:val="0"/>
        <w:spacing w:after="120"/>
        <w:ind w:firstLine="567"/>
      </w:pPr>
      <w:r>
        <w:t xml:space="preserve">Ở góc độ ứng dụng, con người cần tiếp tục giữ vai trò quyết định cuối cùng: các tầng dự báo, xác suất, kịch bản và rủi ro giúp giảm khối lượng phân tích thủ công và khoanh vùng chuỗi cần xem xét; lớp phiếu khuyến nghị và RAG chuyển bằng chứng thành diễn giải mà không tạo số mới; cơ chế HITL bảo đảm khuyến nghị không tự động trở thành hành động. Vì thiếu dữ liệu giá, biên lợi nhuận và tồn kho thực, và chưa có lần gọi mô hình ngôn ngữ thật nào, luận văn không đưa ra tuyên bố về mức tiết kiệm tài chính, mức giảm tồn kho hay thiếu hàng, hay chất lượng diễn giải của mô hình ngôn ngữ. Khi được bổ sung dữ liệu vận hành, hiệu chỉnh bao phủ, tiêu chí ưu tiên có trọng số kinh doanh và đánh giá với mô hình ngôn ngữ thật, kiến trúc hiện tại có thể phát triển thành một hệ thống tối ưu hóa quyết định được đo lường bằng các chỉ tiêu kinh doanh.</w:t>
      </w:r>
    </w:p>
    <w:p>
      <w:pPr>
        <w:pStyle w:val="Heading1"/>
        <w:pageBreakBefore/>
      </w:pPr>
      <w:r>
        <w:t xml:space="preserve">TÀI LIỆU THAM KHẢO</w:t>
      </w:r>
    </w:p>
    <w:p>
      <w:pPr>
        <w:spacing w:after="120"/>
        <w:ind w:left="567" w:hanging="567"/>
        <w:jc w:val="left"/>
      </w:pPr>
      <w:r>
        <w:t xml:space="preserve">Amershi, S., Weld, D., Vorvoreanu, M., Fourney, A., Nushi, B., Collisson, P., Suh, J., Iqbal, S., Bennett, P. N., Inkpen, K., Teevan, J., Kikin-Gil, R., &amp; Horvitz, E. (2019). Guidelines for human-AI interaction. In Proceedings of the 2019 CHI Conference on Human Factors in Computing Systems (pp. 1–13). ACM. https://doi.org/10.1145/3290605.3300233</w:t>
      </w:r>
    </w:p>
    <w:p>
      <w:pPr>
        <w:spacing w:after="120"/>
        <w:ind w:left="567" w:hanging="567"/>
        <w:jc w:val="left"/>
      </w:pPr>
      <w:r>
        <w:t xml:space="preserve">Angelopoulos, A. N., &amp; Bates, S. (2023). Conformal prediction: A gentle introduction. Foundations and Trends in Machine Learning, 16(4), 494–591. https://doi.org/10.1561/2200000101</w:t>
      </w:r>
    </w:p>
    <w:p>
      <w:pPr>
        <w:spacing w:after="120"/>
        <w:ind w:left="567" w:hanging="567"/>
        <w:jc w:val="left"/>
      </w:pPr>
      <w:r>
        <w:t xml:space="preserve">Arrow, K. J., Harris, T., &amp; Marschak, J. (1951). Optimal inventory policy. Econometrica, 19(3), 250–272. https://doi.org/10.2307/1906813</w:t>
      </w:r>
    </w:p>
    <w:p>
      <w:pPr>
        <w:spacing w:after="120"/>
        <w:ind w:left="567" w:hanging="567"/>
        <w:jc w:val="left"/>
      </w:pPr>
      <w:r>
        <w:t xml:space="preserve">Bergmeir, C., &amp; Benítez, J. M. (2012). On the use of cross-validation for time series predictor evaluation. Information Sciences, 191, 192–213. https://doi.org/10.1016/j.ins.2011.12.028</w:t>
      </w:r>
    </w:p>
    <w:p>
      <w:pPr>
        <w:spacing w:after="120"/>
        <w:ind w:left="567" w:hanging="567"/>
        <w:jc w:val="left"/>
      </w:pPr>
      <w:r>
        <w:t xml:space="preserve">Breiman, L. (2001). Random forests. Machine Learning, 45, 5–32. https://doi.org/10.1023/A:1010933404324</w:t>
      </w:r>
    </w:p>
    <w:p>
      <w:pPr>
        <w:spacing w:after="120"/>
        <w:ind w:left="567" w:hanging="567"/>
        <w:jc w:val="left"/>
      </w:pPr>
      <w:r>
        <w:t xml:space="preserve">Chen, T., &amp; Guestrin, C. (2016). XGBoost: A scalable tree boosting system. In Proceedings of the 22nd ACM SIGKDD International Conference on Knowledge Discovery and Data Mining (pp. 785–794). https://doi.org/10.1145/2939672.2939785</w:t>
      </w:r>
    </w:p>
    <w:p>
      <w:pPr>
        <w:spacing w:after="120"/>
        <w:ind w:left="567" w:hanging="567"/>
        <w:jc w:val="left"/>
      </w:pPr>
      <w:r>
        <w:t xml:space="preserve">Cleveland, R. B., Cleveland, W. S., McRae, J. E., &amp; Terpenning, I. (1990). STL: A seasonal-trend decomposition procedure based on loess. Journal of Official Statistics, 6(1), 3–73.</w:t>
      </w:r>
    </w:p>
    <w:p>
      <w:pPr>
        <w:spacing w:after="120"/>
        <w:ind w:left="567" w:hanging="567"/>
        <w:jc w:val="left"/>
      </w:pPr>
      <w:r>
        <w:t xml:space="preserve">Croston, J. D. (1972). Forecasting and stock control for intermittent demands. Operational Research Quarterly, 23(3), 289–303. https://doi.org/10.2307/3007885</w:t>
      </w:r>
    </w:p>
    <w:p>
      <w:pPr>
        <w:spacing w:after="120"/>
        <w:ind w:left="567" w:hanging="567"/>
        <w:jc w:val="left"/>
      </w:pPr>
      <w:r>
        <w:t xml:space="preserve">Fildes, R., Ma, S., &amp; Kolassa, S. (2022). Retail forecasting: Research and practice. International Journal of Forecasting, 38(4), 1283–1318. https://doi.org/10.1016/j.ijforecast.2019.06.004</w:t>
      </w:r>
    </w:p>
    <w:p>
      <w:pPr>
        <w:spacing w:after="120"/>
        <w:ind w:left="567" w:hanging="567"/>
        <w:jc w:val="left"/>
      </w:pPr>
      <w:r>
        <w:t xml:space="preserve">Friedman, J. H. (2001). Greedy function approximation: A gradient boosting machine. The Annals of Statistics, 29(5), 1189–1232. https://doi.org/10.1214/aos/1013203451</w:t>
      </w:r>
    </w:p>
    <w:p>
      <w:pPr>
        <w:spacing w:after="120"/>
        <w:ind w:left="567" w:hanging="567"/>
        <w:jc w:val="left"/>
      </w:pPr>
      <w:r>
        <w:t xml:space="preserve">Gao, Y., Xiong, Y., Gao, X., Jia, K., Pan, J., Bi, Y., Dai, Y., Sun, J., Wang, M., &amp; Wang, H. (2023). Retrieval-augmented generation for large language models: A survey. arXiv preprint arXiv:2312.10997.</w:t>
      </w:r>
    </w:p>
    <w:p>
      <w:pPr>
        <w:spacing w:after="120"/>
        <w:ind w:left="567" w:hanging="567"/>
        <w:jc w:val="left"/>
      </w:pPr>
      <w:r>
        <w:t xml:space="preserve">Gneiting, T., &amp; Raftery, A. E. (2007). Strictly proper scoring rules, prediction, and estimation. Journal of the American Statistical Association, 102(477), 359–378. https://doi.org/10.1198/016214506000001437</w:t>
      </w:r>
    </w:p>
    <w:p>
      <w:pPr>
        <w:spacing w:after="120"/>
        <w:ind w:left="567" w:hanging="567"/>
        <w:jc w:val="left"/>
      </w:pPr>
      <w:r>
        <w:t xml:space="preserve">Gneiting, T., Balabdaoui, F., &amp; Raftery, A. E. (2007). Probabilistic forecasts, calibration and sharpness. Journal of the Royal Statistical Society: Series B (Statistical Methodology), 69(2), 243–268. https://doi.org/10.1111/j.1467-9868.2007.00587.x</w:t>
      </w:r>
    </w:p>
    <w:p>
      <w:pPr>
        <w:spacing w:after="120"/>
        <w:ind w:left="567" w:hanging="567"/>
        <w:jc w:val="left"/>
      </w:pPr>
      <w:r>
        <w:t xml:space="preserve">Hastie, T., Tibshirani, R., &amp; Friedman, J. (2009). The elements of statistical learning: Data mining, inference, and prediction (2nd ed.). Springer.</w:t>
      </w:r>
    </w:p>
    <w:p>
      <w:pPr>
        <w:spacing w:after="120"/>
        <w:ind w:left="567" w:hanging="567"/>
        <w:jc w:val="left"/>
      </w:pPr>
      <w:r>
        <w:t xml:space="preserve">Hewamalage, H., Ackermann, K., &amp; Bergmeir, C. (2023). Forecast evaluation for data scientists: Common pitfalls and best practices. Data Mining and Knowledge Discovery, 37, 788–832. https://doi.org/10.1007/s10618-022-00894-5</w:t>
      </w:r>
    </w:p>
    <w:p>
      <w:pPr>
        <w:spacing w:after="120"/>
        <w:ind w:left="567" w:hanging="567"/>
        <w:jc w:val="left"/>
      </w:pPr>
      <w:r>
        <w:t xml:space="preserve">Hoerl, A. E., &amp; Kennard, R. W. (1970). Ridge regression: Biased estimation for nonorthogonal problems. Technometrics, 12(1), 55–67. https://doi.org/10.1080/00401706.1970.10488634</w:t>
      </w:r>
    </w:p>
    <w:p>
      <w:pPr>
        <w:spacing w:after="120"/>
        <w:ind w:left="567" w:hanging="567"/>
        <w:jc w:val="left"/>
      </w:pPr>
      <w:r>
        <w:t xml:space="preserve">Hyndman, R. J., &amp; Athanasopoulos, G. (2021). Forecasting: Principles and Practice (3rd ed.). OTexts, Melbourne, Australia. https://otexts.com/fpp3/</w:t>
      </w:r>
    </w:p>
    <w:p>
      <w:pPr>
        <w:spacing w:after="120"/>
        <w:ind w:left="567" w:hanging="567"/>
        <w:jc w:val="left"/>
      </w:pPr>
      <w:r>
        <w:t xml:space="preserve">Hyndman, R. J., &amp; Koehler, A. B. (2006). Another look at measures of forecast accuracy. International Journal of Forecasting, 22(4), 679–688. https://doi.org/10.1016/j.ijforecast.2006.03.001</w:t>
      </w:r>
    </w:p>
    <w:p>
      <w:pPr>
        <w:spacing w:after="120"/>
        <w:ind w:left="567" w:hanging="567"/>
        <w:jc w:val="left"/>
      </w:pPr>
      <w:r>
        <w:t xml:space="preserve">Imbens, G. W., &amp; Rubin, D. B. (2015). Causal inference for statistics, social, and biomedical sciences: An introduction. Cambridge University Press.</w:t>
      </w:r>
    </w:p>
    <w:p>
      <w:pPr>
        <w:spacing w:after="120"/>
        <w:ind w:left="567" w:hanging="567"/>
        <w:jc w:val="left"/>
      </w:pPr>
      <w:r>
        <w:t xml:space="preserve">Januschowski, T., Gasthaus, J., Wang, Y., Salinas, D., Flunkert, V., Bohlke-Schneider, M., &amp; Callot, L. (2020). Criteria for classifying forecasting methods. International Journal of Forecasting, 36(1), 167–177. https://doi.org/10.1016/j.ijforecast.2019.05.008</w:t>
      </w:r>
    </w:p>
    <w:p>
      <w:pPr>
        <w:spacing w:after="120"/>
        <w:ind w:left="567" w:hanging="567"/>
        <w:jc w:val="left"/>
      </w:pPr>
      <w:r>
        <w:t xml:space="preserve">Januschowski, T., Wang, Y., Torkkola, K., Erkkilä, T., Hasson, H., &amp; Gasthaus, J. (2022). Forecasting with trees. International Journal of Forecasting, 38(4), 1473–1481.</w:t>
      </w:r>
    </w:p>
    <w:p>
      <w:pPr>
        <w:spacing w:after="120"/>
        <w:ind w:left="567" w:hanging="567"/>
        <w:jc w:val="left"/>
      </w:pPr>
      <w:r>
        <w:t xml:space="preserve">Ji, Z., Lee, N., Frieske, R., Yu, T., Su, D., Xu, Y., Ishii, E., Bang, Y. J., Madotto, A., &amp; Fung, P. (2023). Survey of hallucination in natural language generation. ACM Computing Surveys, 55(12), Article 248. https://doi.org/10.1145/3571730</w:t>
      </w:r>
    </w:p>
    <w:p>
      <w:pPr>
        <w:spacing w:after="120"/>
        <w:ind w:left="567" w:hanging="567"/>
        <w:jc w:val="left"/>
      </w:pPr>
      <w:r>
        <w:t xml:space="preserve">Kaggle. (n.d.). Store Sales – Time Series Forecasting. https://www.kaggle.com/competitions/store-sales-time-series-forecasting</w:t>
      </w:r>
    </w:p>
    <w:p>
      <w:pPr>
        <w:spacing w:after="120"/>
        <w:ind w:left="567" w:hanging="567"/>
        <w:jc w:val="left"/>
      </w:pPr>
      <w:r>
        <w:t xml:space="preserve">Kaufman, S., Rosset, S., Perlich, C., &amp; Stitelman, O. (2012). Leakage in data mining: Formulation, detection, and avoidance. ACM Transactions on Knowledge Discovery from Data, 6(4), Article 15. https://doi.org/10.1145/2382577.2382579</w:t>
      </w:r>
    </w:p>
    <w:p>
      <w:pPr>
        <w:spacing w:after="120"/>
        <w:ind w:left="567" w:hanging="567"/>
        <w:jc w:val="left"/>
      </w:pPr>
      <w:r>
        <w:t xml:space="preserve">Ke, G., Meng, Q., Finley, T., Wang, T., Chen, W., Ma, W., Ye, Q., &amp; Liu, T.-Y. (2017). LightGBM: A highly efficient gradient boosting decision tree. Advances in Neural Information Processing Systems, 30.</w:t>
      </w:r>
    </w:p>
    <w:p>
      <w:pPr>
        <w:spacing w:after="120"/>
        <w:ind w:left="567" w:hanging="567"/>
        <w:jc w:val="left"/>
      </w:pPr>
      <w:r>
        <w:t xml:space="preserve">Koenker, R. (2005). Quantile regression. Cambridge University Press.</w:t>
      </w:r>
    </w:p>
    <w:p>
      <w:pPr>
        <w:spacing w:after="120"/>
        <w:ind w:left="567" w:hanging="567"/>
        <w:jc w:val="left"/>
      </w:pPr>
      <w:r>
        <w:t xml:space="preserve">Koenker, R., &amp; Bassett, G. (1978). Regression quantiles. Econometrica, 46(1), 33–50.</w:t>
      </w:r>
    </w:p>
    <w:p>
      <w:pPr>
        <w:spacing w:after="120"/>
        <w:ind w:left="567" w:hanging="567"/>
        <w:jc w:val="left"/>
      </w:pPr>
      <w:r>
        <w:t xml:space="preserve">Kolassa, S. (2016). Evaluating predictive count data distributions in retail sales forecasting. International Journal of Forecasting, 32(3), 788–803. https://doi.org/10.1016/j.ijforecast.2015.12.004</w:t>
      </w:r>
    </w:p>
    <w:p>
      <w:pPr>
        <w:spacing w:after="120"/>
        <w:ind w:left="567" w:hanging="567"/>
        <w:jc w:val="left"/>
      </w:pPr>
      <w:r>
        <w:t xml:space="preserve">Lei, J., G'Sell, M., Rinaldo, A., Tibshirani, R. J., &amp; Wasserman, L. (2018). Distribution-free predictive inference for regression. Journal of the American Statistical Association, 113(523), 1094–1111. https://doi.org/10.1080/01621459.2017.1307116</w:t>
      </w:r>
    </w:p>
    <w:p>
      <w:pPr>
        <w:spacing w:after="120"/>
        <w:ind w:left="567" w:hanging="567"/>
        <w:jc w:val="left"/>
      </w:pPr>
      <w:r>
        <w:t xml:space="preserve">Lewis, P., Perez, E., Piktus, A., Petroni, F., Karpukhin, V., Goyal, N., Küttler, H., Lewis, M., Yih, W.-t., Rocktäschel, T., Riedel, S., &amp; Kiela, D. (2020). Retrieval-augmented generation for knowledge-intensive NLP tasks. Advances in Neural Information Processing Systems, 33, 9459–9474.</w:t>
      </w:r>
    </w:p>
    <w:p>
      <w:pPr>
        <w:spacing w:after="120"/>
        <w:ind w:left="567" w:hanging="567"/>
        <w:jc w:val="left"/>
      </w:pPr>
      <w:r>
        <w:t xml:space="preserve">Lundberg, S. M., &amp; Lee, S.-I. (2017). A unified approach to interpreting model predictions. Advances in Neural Information Processing Systems, 30, 4765–4774.</w:t>
      </w:r>
    </w:p>
    <w:p>
      <w:pPr>
        <w:spacing w:after="120"/>
        <w:ind w:left="567" w:hanging="567"/>
        <w:jc w:val="left"/>
      </w:pPr>
      <w:r>
        <w:t xml:space="preserve">Ma, S., Fildes, R., &amp; Huang, T. (2016). Demand forecasting with high dimensional data: The case of SKU retail sales forecasting with intra- and inter-category promotional information. European Journal of Operational Research, 249(1), 245–257. https://doi.org/10.1016/j.ejor.2015.08.029</w:t>
      </w:r>
    </w:p>
    <w:p>
      <w:pPr>
        <w:spacing w:after="120"/>
        <w:ind w:left="567" w:hanging="567"/>
        <w:jc w:val="left"/>
      </w:pPr>
      <w:r>
        <w:t xml:space="preserve">Makridakis, S., Spiliotis, E., &amp; Assimakopoulos, V. (2022). M5 accuracy competition: Results, findings, and conclusions. International Journal of Forecasting, 38(4), 1346–1364. https://doi.org/10.1016/j.ijforecast.2021.11.013</w:t>
      </w:r>
    </w:p>
    <w:p>
      <w:pPr>
        <w:spacing w:after="120"/>
        <w:ind w:left="567" w:hanging="567"/>
        <w:jc w:val="left"/>
      </w:pPr>
      <w:r>
        <w:t xml:space="preserve">Makridakis, S., Spiliotis, E., Assimakopoulos, V., Chen, Z., Gaba, A., Tsetlin, I., &amp; Winkler, R. L. (2022). The M5 uncertainty competition: Results, findings and conclusions. International Journal of Forecasting, 38(4), 1365–1385. https://doi.org/10.1016/j.ijforecast.2021.10.009</w:t>
      </w:r>
    </w:p>
    <w:p>
      <w:pPr>
        <w:spacing w:after="120"/>
        <w:ind w:left="567" w:hanging="567"/>
        <w:jc w:val="left"/>
      </w:pPr>
      <w:r>
        <w:t xml:space="preserve">Mitchell, M., Wu, S., Zaldivar, A., Barnes, P., Vasserman, L., Hutchinson, B., Spitzer, E., Raji, I. D., &amp; Gebru, T. (2019). Model cards for model reporting. In Proceedings of the Conference on Fairness, Accountability, and Transparency (FAT* 2019) (pp. 220–229). https://doi.org/10.1145/3287560.3287596</w:t>
      </w:r>
    </w:p>
    <w:p>
      <w:pPr>
        <w:spacing w:after="120"/>
        <w:ind w:left="567" w:hanging="567"/>
        <w:jc w:val="left"/>
      </w:pPr>
      <w:r>
        <w:t xml:space="preserve">Montero-Manso, P., &amp; Hyndman, R. J. (2021). Principles and algorithms for forecasting groups of time series: Locality and globality. International Journal of Forecasting, 37(4), 1632–1653. https://doi.org/10.1016/j.ijforecast.2021.03.004</w:t>
      </w:r>
    </w:p>
    <w:p>
      <w:pPr>
        <w:spacing w:after="120"/>
        <w:ind w:left="567" w:hanging="567"/>
        <w:jc w:val="left"/>
      </w:pPr>
      <w:r>
        <w:t xml:space="preserve">Petropoulos, F., Apiletti, D., Assimakopoulos, V., Babai, M. Z., Barrow, D. K., Ben Taieb, S., et al. (2022). Forecasting: Theory and practice. International Journal of Forecasting, 38(3), 705–871. https://doi.org/10.1016/j.ijforecast.2021.11.001</w:t>
      </w:r>
    </w:p>
    <w:p>
      <w:pPr>
        <w:spacing w:after="120"/>
        <w:ind w:left="567" w:hanging="567"/>
        <w:jc w:val="left"/>
      </w:pPr>
      <w:r>
        <w:t xml:space="preserve">Qin, Y., Wang, R., Vakharia, A. J., Chen, Y., &amp; Seref, M. M. H. (2011). The newsvendor problem: Review and directions for future research. European Journal of Operational Research, 213(2), 361–374. https://doi.org/10.1016/j.ejor.2010.11.024</w:t>
      </w:r>
    </w:p>
    <w:p>
      <w:pPr>
        <w:spacing w:after="120"/>
        <w:ind w:left="567" w:hanging="567"/>
        <w:jc w:val="left"/>
      </w:pPr>
      <w:r>
        <w:t xml:space="preserve">Romano, Y., Patterson, E., &amp; Candès, E. (2019). Conformalized quantile regression. Advances in Neural Information Processing Systems, 32.</w:t>
      </w:r>
    </w:p>
    <w:p>
      <w:pPr>
        <w:spacing w:after="120"/>
        <w:ind w:left="567" w:hanging="567"/>
        <w:jc w:val="left"/>
      </w:pPr>
      <w:r>
        <w:t xml:space="preserve">Salinas, D., Flunkert, V., Gasthaus, J., &amp; Januschowski, T. (2020). DeepAR: Probabilistic forecasting with autoregressive recurrent networks. International Journal of Forecasting, 36(3), 1181–1191. https://doi.org/10.1016/j.ijforecast.2019.07.001</w:t>
      </w:r>
    </w:p>
    <w:p>
      <w:pPr>
        <w:spacing w:after="120"/>
        <w:ind w:left="567" w:hanging="567"/>
        <w:jc w:val="left"/>
      </w:pPr>
      <w:r>
        <w:t xml:space="preserve">Sculley, D., Holt, G., Golovin, D., Davydov, E., Phillips, T., Ebner, D., Chaudhary, V., Young, M., Crespo, J.-F., &amp; Dennison, D. (2015). Hidden technical debt in machine learning systems. Advances in Neural Information Processing Systems, 28, 2503–2511.</w:t>
      </w:r>
    </w:p>
    <w:p>
      <w:pPr>
        <w:spacing w:after="120"/>
        <w:ind w:left="567" w:hanging="567"/>
        <w:jc w:val="left"/>
      </w:pPr>
      <w:r>
        <w:t xml:space="preserve">Shmueli, G. (2010). To explain or to predict? Statistical Science, 25(3), 289–310. https://doi.org/10.1214/10-STS330</w:t>
      </w:r>
    </w:p>
    <w:p>
      <w:pPr>
        <w:spacing w:after="120"/>
        <w:ind w:left="567" w:hanging="567"/>
        <w:jc w:val="left"/>
      </w:pPr>
      <w:r>
        <w:t xml:space="preserve">Silver, E. A., Pyke, D. F., &amp; Thomas, D. J. (2017). Inventory and production management in supply chains (4th ed.). CRC Press.</w:t>
      </w:r>
    </w:p>
    <w:p>
      <w:pPr>
        <w:spacing w:after="120"/>
        <w:ind w:left="567" w:hanging="567"/>
        <w:jc w:val="left"/>
      </w:pPr>
      <w:r>
        <w:t xml:space="preserve">Syntetos, A. A., Boylan, J. E., &amp; Croston, J. D. (2005). On the categorization of demand patterns. Journal of the Operational Research Society, 56(5), 495–503. https://doi.org/10.1057/palgrave.jors.2601841</w:t>
      </w:r>
    </w:p>
    <w:p>
      <w:pPr>
        <w:spacing w:after="120"/>
        <w:ind w:left="567" w:hanging="567"/>
        <w:jc w:val="left"/>
      </w:pPr>
      <w:r>
        <w:t xml:space="preserve">Tashman, L. J. (2000). Out-of-sample tests of forecasting accuracy: An analysis and review. International Journal of Forecasting, 16(4), 437–450. https://doi.org/10.1016/S0169-2070(00)00065-0</w:t>
      </w:r>
    </w:p>
    <w:p>
      <w:pPr>
        <w:spacing w:after="120"/>
        <w:ind w:left="567" w:hanging="567"/>
        <w:jc w:val="left"/>
      </w:pPr>
      <w:r>
        <w:t xml:space="preserve">Vovk, V., Gammerman, A., &amp; Shafer, G. (2005). Algorithmic learning in a random world. Springer.</w:t>
      </w:r>
    </w:p>
    <w:p>
      <w:pPr>
        <w:spacing w:after="120"/>
        <w:ind w:left="567" w:hanging="567"/>
        <w:jc w:val="left"/>
      </w:pPr>
      <w:r>
        <w:t xml:space="preserve">Wu, X., Xiao, L., Sun, Y., Zhang, J., Ma, T., &amp; He, L. (2022). A survey of human-in-the-loop for machine learning. Future Generation Computer Systems, 135, 364–381. https://doi.org/10.1016/j.future.2022.05.014</w:t>
      </w:r>
    </w:p>
    <w:p>
      <w:pPr>
        <w:pStyle w:val="Heading1"/>
        <w:pageBreakBefore/>
      </w:pPr>
      <w:r>
        <w:t xml:space="preserve">PHỤ LỤC A. KẾT QUẢ CHI TIẾT THEO CỬA HÀNG</w:t>
      </w:r>
    </w:p>
    <w:p>
      <w:pPr>
        <w:keepLines w:val="0"/>
        <w:spacing w:after="120"/>
        <w:ind w:firstLine="567"/>
      </w:pPr>
      <w:r>
        <w:t xml:space="preserve">Phụ lục A trình bày kết quả chi tiết theo từng cửa hàng trong 16 ngày của tập kiểm tra cuối (31/07/2017–15/08/2017). Số liệu sai số và độ bao phủ lấy từ tệp error_by_store.csv và error_by_series.csv (Stage 11); các đại lượng P10/P50/P90 cộng theo 16 ngày, lượng bổ sung gợi ý và nhãn rủi ro lấy từ inventory_recommendations.csv (Stage 07); thông tin thành phố, tỉnh, loại cửa hàng và cụm lấy từ stores.csv của bộ dữ liệu. Thứ hạng WAPE được xếp từ thấp đến cao (hạng 1 là sai số tương đối thấp nhất), thứ hạng quy mô và độ bao phủ được xếp từ cao đến thấp trong 54 cửa hàng. Bias được định nghĩa là trung bình (thực tế − dự báo) theo quan sát ngày của cửa hàng; giá trị âm nghĩa là dự báo cao hơn thực tế.</w:t>
      </w:r>
    </w:p>
    <w:p>
      <w:pPr>
        <w:keepLines w:val="0"/>
        <w:spacing w:after="120"/>
        <w:ind w:firstLine="567"/>
      </w:pPr>
      <w:r>
        <w:t xml:space="preserve">Khi đọc phụ lục này cần lưu ý ba điểm đã phân tích ở Chương 4. Thứ nhất, nhãn rủi ro là mức bất định tương đối r = (P90 − P10)/(P50 + 1) với ngưỡng 0,35 và 0,75, nên cửa hàng có nhiều nhóm sản phẩm nhỏ sẽ có nhiều nhãn HIGH hơn, không có nghĩa là rủi ro kinh doanh lớn hơn. Thứ hai, lượng bổ sung gợi ý dựa trên vị thế tồn kho giả định bằng 0,8 × P50, không phải tồn kho thực. Thứ ba, tổng các phân vị theo ngày và theo nhóm chỉ mang tính mô tả, không phải phân vị của tổng nhu cầu. Bảng A.1 tổng hợp sai số theo cửa hàng; Bảng A.2 tổng hợp các đại lượng của lớp tồn kho; các mục A.1–A.54 trình bày từng cửa hàng kèm mười nhóm sản phẩm có doanh số thực tế lớn nhất.</w:t>
      </w:r>
    </w:p>
    <w:p>
      <w:pPr>
        <w:keepNext/>
        <w:spacing w:before="120" w:after="60"/>
        <w:ind w:firstLine="0"/>
        <w:jc w:val="center"/>
      </w:pPr>
      <w:r>
        <w:t xml:space="preserve">Bảng A.1. Sai số dự báo và độ bao phủ P10–P90 theo cửa hàng trên tập kiểm tra cuối 16 ngày</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78"/>
        <w:gridCol w:w="1246"/>
        <w:gridCol w:w="978"/>
        <w:gridCol w:w="978"/>
        <w:gridCol w:w="978"/>
        <w:gridCol w:w="978"/>
        <w:gridCol w:w="978"/>
        <w:gridCol w:w="978"/>
        <w:gridCol w:w="979"/>
      </w:tblGrid>
      <w:tr>
        <w:trPr>
          <w:tblHeader/>
          <w:cantSplit/>
        </w:trPr>
        <w:tc>
          <w:tcPr>
            <w:tcW w:type="dxa" w:w="978"/>
            <w:shd w:val="clear" w:color="auto" w:fill="D9E2F3"/>
            <w:vAlign w:val="center"/>
          </w:tcPr>
          <w:p>
            <w:pPr>
              <w:spacing w:before="20" w:after="20" w:line="260" w:lineRule="auto"/>
              <w:ind w:firstLine="0"/>
              <w:jc w:val="center"/>
            </w:pPr>
            <w:r>
              <w:rPr>
                <w:b/>
                <w:sz w:val="20"/>
                <w:szCs w:val="20"/>
              </w:rPr>
              <w:t xml:space="preserve">Cửa hàng</w:t>
            </w:r>
          </w:p>
        </w:tc>
        <w:tc>
          <w:tcPr>
            <w:tcW w:type="dxa" w:w="1246"/>
            <w:shd w:val="clear" w:color="auto" w:fill="D9E2F3"/>
            <w:vAlign w:val="center"/>
          </w:tcPr>
          <w:p>
            <w:pPr>
              <w:spacing w:before="20" w:after="20" w:line="260" w:lineRule="auto"/>
              <w:ind w:firstLine="0"/>
              <w:jc w:val="center"/>
            </w:pPr>
            <w:r>
              <w:rPr>
                <w:b/>
                <w:sz w:val="20"/>
                <w:szCs w:val="20"/>
              </w:rPr>
              <w:t xml:space="preserve">Thành phố</w:t>
            </w:r>
          </w:p>
        </w:tc>
        <w:tc>
          <w:tcPr>
            <w:tcW w:type="dxa" w:w="978"/>
            <w:shd w:val="clear" w:color="auto" w:fill="D9E2F3"/>
            <w:vAlign w:val="center"/>
          </w:tcPr>
          <w:p>
            <w:pPr>
              <w:spacing w:before="20" w:after="20" w:line="260" w:lineRule="auto"/>
              <w:ind w:firstLine="0"/>
              <w:jc w:val="center"/>
            </w:pPr>
            <w:r>
              <w:rPr>
                <w:b/>
                <w:sz w:val="20"/>
                <w:szCs w:val="20"/>
              </w:rPr>
              <w:t xml:space="preserve">Loại</w:t>
            </w:r>
          </w:p>
        </w:tc>
        <w:tc>
          <w:tcPr>
            <w:tcW w:type="dxa" w:w="978"/>
            <w:shd w:val="clear" w:color="auto" w:fill="D9E2F3"/>
            <w:vAlign w:val="center"/>
          </w:tcPr>
          <w:p>
            <w:pPr>
              <w:spacing w:before="20" w:after="20" w:line="260" w:lineRule="auto"/>
              <w:ind w:firstLine="0"/>
              <w:jc w:val="center"/>
            </w:pPr>
            <w:r>
              <w:rPr>
                <w:b/>
                <w:sz w:val="20"/>
                <w:szCs w:val="20"/>
              </w:rPr>
              <w:t xml:space="preserve">Cụm</w:t>
            </w:r>
          </w:p>
        </w:tc>
        <w:tc>
          <w:tcPr>
            <w:tcW w:type="dxa" w:w="978"/>
            <w:shd w:val="clear" w:color="auto" w:fill="D9E2F3"/>
            <w:vAlign w:val="center"/>
          </w:tcPr>
          <w:p>
            <w:pPr>
              <w:spacing w:before="20" w:after="20" w:line="260" w:lineRule="auto"/>
              <w:ind w:firstLine="0"/>
              <w:jc w:val="center"/>
            </w:pPr>
            <w:r>
              <w:rPr>
                <w:b/>
                <w:sz w:val="20"/>
                <w:szCs w:val="20"/>
              </w:rPr>
              <w:t xml:space="preserve">Thực tế</w:t>
            </w:r>
          </w:p>
        </w:tc>
        <w:tc>
          <w:tcPr>
            <w:tcW w:type="dxa" w:w="978"/>
            <w:shd w:val="clear" w:color="auto" w:fill="D9E2F3"/>
            <w:vAlign w:val="center"/>
          </w:tcPr>
          <w:p>
            <w:pPr>
              <w:spacing w:before="20" w:after="20" w:line="260" w:lineRule="auto"/>
              <w:ind w:firstLine="0"/>
              <w:jc w:val="center"/>
            </w:pPr>
            <w:r>
              <w:rPr>
                <w:b/>
                <w:sz w:val="20"/>
                <w:szCs w:val="20"/>
              </w:rPr>
              <w:t xml:space="preserve">Dự báo</w:t>
            </w:r>
          </w:p>
        </w:tc>
        <w:tc>
          <w:tcPr>
            <w:tcW w:type="dxa" w:w="978"/>
            <w:shd w:val="clear" w:color="auto" w:fill="D9E2F3"/>
            <w:vAlign w:val="center"/>
          </w:tcPr>
          <w:p>
            <w:pPr>
              <w:spacing w:before="20" w:after="20" w:line="260" w:lineRule="auto"/>
              <w:ind w:firstLine="0"/>
              <w:jc w:val="center"/>
            </w:pPr>
            <w:r>
              <w:rPr>
                <w:b/>
                <w:sz w:val="20"/>
                <w:szCs w:val="20"/>
              </w:rPr>
              <w:t xml:space="preserve">WAPE</w:t>
            </w:r>
          </w:p>
        </w:tc>
        <w:tc>
          <w:tcPr>
            <w:tcW w:type="dxa" w:w="978"/>
            <w:shd w:val="clear" w:color="auto" w:fill="D9E2F3"/>
            <w:vAlign w:val="center"/>
          </w:tcPr>
          <w:p>
            <w:pPr>
              <w:spacing w:before="20" w:after="20" w:line="260" w:lineRule="auto"/>
              <w:ind w:firstLine="0"/>
              <w:jc w:val="center"/>
            </w:pPr>
            <w:r>
              <w:rPr>
                <w:b/>
                <w:sz w:val="20"/>
                <w:szCs w:val="20"/>
              </w:rPr>
              <w:t xml:space="preserve">Bias</w:t>
            </w:r>
          </w:p>
        </w:tc>
        <w:tc>
          <w:tcPr>
            <w:tcW w:type="dxa" w:w="979"/>
            <w:shd w:val="clear" w:color="auto" w:fill="D9E2F3"/>
            <w:vAlign w:val="center"/>
          </w:tcPr>
          <w:p>
            <w:pPr>
              <w:spacing w:before="20" w:after="20" w:line="260" w:lineRule="auto"/>
              <w:ind w:firstLine="0"/>
              <w:jc w:val="center"/>
            </w:pPr>
            <w:r>
              <w:rPr>
                <w:b/>
                <w:sz w:val="20"/>
                <w:szCs w:val="20"/>
              </w:rPr>
              <w:t xml:space="preserve">Bao phủ</w:t>
            </w:r>
          </w:p>
        </w:tc>
      </w:tr>
      <w:tr>
        <w:trPr>
          <w:cantSplit/>
        </w:trPr>
        <w:tc>
          <w:tcPr>
            <w:tcW w:type="dxa" w:w="978"/>
            <w:vAlign w:val="center"/>
          </w:tcPr>
          <w:p>
            <w:pPr>
              <w:spacing w:before="20" w:after="20" w:line="260" w:lineRule="auto"/>
              <w:ind w:firstLine="0"/>
              <w:jc w:val="center"/>
            </w:pPr>
            <w:r>
              <w:rPr>
                <w:sz w:val="20"/>
                <w:szCs w:val="20"/>
              </w:rPr>
              <w:t xml:space="preserve">1</w:t>
            </w:r>
          </w:p>
        </w:tc>
        <w:tc>
          <w:tcPr>
            <w:tcW w:type="dxa" w:w="1246"/>
            <w:vAlign w:val="center"/>
          </w:tcPr>
          <w:p>
            <w:pPr>
              <w:spacing w:before="20" w:after="20" w:line="260" w:lineRule="auto"/>
              <w:ind w:firstLine="0"/>
              <w:jc w:val="left"/>
            </w:pPr>
            <w:r>
              <w:rPr>
                <w:sz w:val="20"/>
                <w:szCs w:val="20"/>
              </w:rPr>
              <w:t xml:space="preserve">Quito</w:t>
            </w:r>
          </w:p>
        </w:tc>
        <w:tc>
          <w:tcPr>
            <w:tcW w:type="dxa" w:w="978"/>
            <w:vAlign w:val="center"/>
          </w:tcPr>
          <w:p>
            <w:pPr>
              <w:spacing w:before="20" w:after="20" w:line="260" w:lineRule="auto"/>
              <w:ind w:firstLine="0"/>
              <w:jc w:val="left"/>
            </w:pPr>
            <w:r>
              <w:rPr>
                <w:sz w:val="20"/>
                <w:szCs w:val="20"/>
              </w:rPr>
              <w:t xml:space="preserve">D</w:t>
            </w:r>
          </w:p>
        </w:tc>
        <w:tc>
          <w:tcPr>
            <w:tcW w:type="dxa" w:w="978"/>
            <w:vAlign w:val="center"/>
          </w:tcPr>
          <w:p>
            <w:pPr>
              <w:spacing w:before="20" w:after="20" w:line="260" w:lineRule="auto"/>
              <w:ind w:firstLine="0"/>
              <w:jc w:val="center"/>
            </w:pPr>
            <w:r>
              <w:rPr>
                <w:sz w:val="20"/>
                <w:szCs w:val="20"/>
              </w:rPr>
              <w:t xml:space="preserve">13</w:t>
            </w:r>
          </w:p>
        </w:tc>
        <w:tc>
          <w:tcPr>
            <w:tcW w:type="dxa" w:w="978"/>
            <w:vAlign w:val="center"/>
          </w:tcPr>
          <w:p>
            <w:pPr>
              <w:spacing w:before="20" w:after="20" w:line="260" w:lineRule="auto"/>
              <w:ind w:firstLine="0"/>
              <w:jc w:val="center"/>
            </w:pPr>
            <w:r>
              <w:rPr>
                <w:sz w:val="20"/>
                <w:szCs w:val="20"/>
              </w:rPr>
              <w:t xml:space="preserve">155.136</w:t>
            </w:r>
          </w:p>
        </w:tc>
        <w:tc>
          <w:tcPr>
            <w:tcW w:type="dxa" w:w="978"/>
            <w:vAlign w:val="center"/>
          </w:tcPr>
          <w:p>
            <w:pPr>
              <w:spacing w:before="20" w:after="20" w:line="260" w:lineRule="auto"/>
              <w:ind w:firstLine="0"/>
              <w:jc w:val="center"/>
            </w:pPr>
            <w:r>
              <w:rPr>
                <w:sz w:val="20"/>
                <w:szCs w:val="20"/>
              </w:rPr>
              <w:t xml:space="preserve">171.222</w:t>
            </w:r>
          </w:p>
        </w:tc>
        <w:tc>
          <w:tcPr>
            <w:tcW w:type="dxa" w:w="978"/>
            <w:vAlign w:val="center"/>
          </w:tcPr>
          <w:p>
            <w:pPr>
              <w:spacing w:before="20" w:after="20" w:line="260" w:lineRule="auto"/>
              <w:ind w:firstLine="0"/>
              <w:jc w:val="center"/>
            </w:pPr>
            <w:r>
              <w:rPr>
                <w:sz w:val="20"/>
                <w:szCs w:val="20"/>
              </w:rPr>
              <w:t xml:space="preserve">15,58%</w:t>
            </w:r>
          </w:p>
        </w:tc>
        <w:tc>
          <w:tcPr>
            <w:tcW w:type="dxa" w:w="978"/>
            <w:vAlign w:val="center"/>
          </w:tcPr>
          <w:p>
            <w:pPr>
              <w:spacing w:before="20" w:after="20" w:line="260" w:lineRule="auto"/>
              <w:ind w:firstLine="0"/>
              <w:jc w:val="center"/>
            </w:pPr>
            <w:r>
              <w:rPr>
                <w:sz w:val="20"/>
                <w:szCs w:val="20"/>
              </w:rPr>
              <w:t xml:space="preserve">−30,47</w:t>
            </w:r>
          </w:p>
        </w:tc>
        <w:tc>
          <w:tcPr>
            <w:tcW w:type="dxa" w:w="979"/>
            <w:vAlign w:val="center"/>
          </w:tcPr>
          <w:p>
            <w:pPr>
              <w:spacing w:before="20" w:after="20" w:line="260" w:lineRule="auto"/>
              <w:ind w:firstLine="0"/>
              <w:jc w:val="center"/>
            </w:pPr>
            <w:r>
              <w:rPr>
                <w:sz w:val="20"/>
                <w:szCs w:val="20"/>
              </w:rPr>
              <w:t xml:space="preserve">73,86%</w:t>
            </w:r>
          </w:p>
        </w:tc>
      </w:tr>
      <w:tr>
        <w:trPr>
          <w:cantSplit/>
        </w:trPr>
        <w:tc>
          <w:tcPr>
            <w:tcW w:type="dxa" w:w="978"/>
            <w:vAlign w:val="center"/>
          </w:tcPr>
          <w:p>
            <w:pPr>
              <w:spacing w:before="20" w:after="20" w:line="260" w:lineRule="auto"/>
              <w:ind w:firstLine="0"/>
              <w:jc w:val="center"/>
            </w:pPr>
            <w:r>
              <w:rPr>
                <w:sz w:val="20"/>
                <w:szCs w:val="20"/>
              </w:rPr>
              <w:t xml:space="preserve">2</w:t>
            </w:r>
          </w:p>
        </w:tc>
        <w:tc>
          <w:tcPr>
            <w:tcW w:type="dxa" w:w="1246"/>
            <w:vAlign w:val="center"/>
          </w:tcPr>
          <w:p>
            <w:pPr>
              <w:spacing w:before="20" w:after="20" w:line="260" w:lineRule="auto"/>
              <w:ind w:firstLine="0"/>
              <w:jc w:val="left"/>
            </w:pPr>
            <w:r>
              <w:rPr>
                <w:sz w:val="20"/>
                <w:szCs w:val="20"/>
              </w:rPr>
              <w:t xml:space="preserve">Quito</w:t>
            </w:r>
          </w:p>
        </w:tc>
        <w:tc>
          <w:tcPr>
            <w:tcW w:type="dxa" w:w="978"/>
            <w:vAlign w:val="center"/>
          </w:tcPr>
          <w:p>
            <w:pPr>
              <w:spacing w:before="20" w:after="20" w:line="260" w:lineRule="auto"/>
              <w:ind w:firstLine="0"/>
              <w:jc w:val="left"/>
            </w:pPr>
            <w:r>
              <w:rPr>
                <w:sz w:val="20"/>
                <w:szCs w:val="20"/>
              </w:rPr>
              <w:t xml:space="preserve">D</w:t>
            </w:r>
          </w:p>
        </w:tc>
        <w:tc>
          <w:tcPr>
            <w:tcW w:type="dxa" w:w="978"/>
            <w:vAlign w:val="center"/>
          </w:tcPr>
          <w:p>
            <w:pPr>
              <w:spacing w:before="20" w:after="20" w:line="260" w:lineRule="auto"/>
              <w:ind w:firstLine="0"/>
              <w:jc w:val="center"/>
            </w:pPr>
            <w:r>
              <w:rPr>
                <w:sz w:val="20"/>
                <w:szCs w:val="20"/>
              </w:rPr>
              <w:t xml:space="preserve">13</w:t>
            </w:r>
          </w:p>
        </w:tc>
        <w:tc>
          <w:tcPr>
            <w:tcW w:type="dxa" w:w="978"/>
            <w:vAlign w:val="center"/>
          </w:tcPr>
          <w:p>
            <w:pPr>
              <w:spacing w:before="20" w:after="20" w:line="260" w:lineRule="auto"/>
              <w:ind w:firstLine="0"/>
              <w:jc w:val="center"/>
            </w:pPr>
            <w:r>
              <w:rPr>
                <w:sz w:val="20"/>
                <w:szCs w:val="20"/>
              </w:rPr>
              <w:t xml:space="preserve">213.635</w:t>
            </w:r>
          </w:p>
        </w:tc>
        <w:tc>
          <w:tcPr>
            <w:tcW w:type="dxa" w:w="978"/>
            <w:vAlign w:val="center"/>
          </w:tcPr>
          <w:p>
            <w:pPr>
              <w:spacing w:before="20" w:after="20" w:line="260" w:lineRule="auto"/>
              <w:ind w:firstLine="0"/>
              <w:jc w:val="center"/>
            </w:pPr>
            <w:r>
              <w:rPr>
                <w:sz w:val="20"/>
                <w:szCs w:val="20"/>
              </w:rPr>
              <w:t xml:space="preserve">245.019</w:t>
            </w:r>
          </w:p>
        </w:tc>
        <w:tc>
          <w:tcPr>
            <w:tcW w:type="dxa" w:w="978"/>
            <w:vAlign w:val="center"/>
          </w:tcPr>
          <w:p>
            <w:pPr>
              <w:spacing w:before="20" w:after="20" w:line="260" w:lineRule="auto"/>
              <w:ind w:firstLine="0"/>
              <w:jc w:val="center"/>
            </w:pPr>
            <w:r>
              <w:rPr>
                <w:sz w:val="20"/>
                <w:szCs w:val="20"/>
              </w:rPr>
              <w:t xml:space="preserve">17,60%</w:t>
            </w:r>
          </w:p>
        </w:tc>
        <w:tc>
          <w:tcPr>
            <w:tcW w:type="dxa" w:w="978"/>
            <w:vAlign w:val="center"/>
          </w:tcPr>
          <w:p>
            <w:pPr>
              <w:spacing w:before="20" w:after="20" w:line="260" w:lineRule="auto"/>
              <w:ind w:firstLine="0"/>
              <w:jc w:val="center"/>
            </w:pPr>
            <w:r>
              <w:rPr>
                <w:sz w:val="20"/>
                <w:szCs w:val="20"/>
              </w:rPr>
              <w:t xml:space="preserve">−59,44</w:t>
            </w:r>
          </w:p>
        </w:tc>
        <w:tc>
          <w:tcPr>
            <w:tcW w:type="dxa" w:w="979"/>
            <w:vAlign w:val="center"/>
          </w:tcPr>
          <w:p>
            <w:pPr>
              <w:spacing w:before="20" w:after="20" w:line="260" w:lineRule="auto"/>
              <w:ind w:firstLine="0"/>
              <w:jc w:val="center"/>
            </w:pPr>
            <w:r>
              <w:rPr>
                <w:sz w:val="20"/>
                <w:szCs w:val="20"/>
              </w:rPr>
              <w:t xml:space="preserve">73,11%</w:t>
            </w:r>
          </w:p>
        </w:tc>
      </w:tr>
      <w:tr>
        <w:trPr>
          <w:cantSplit/>
        </w:trPr>
        <w:tc>
          <w:tcPr>
            <w:tcW w:type="dxa" w:w="978"/>
            <w:vAlign w:val="center"/>
          </w:tcPr>
          <w:p>
            <w:pPr>
              <w:spacing w:before="20" w:after="20" w:line="260" w:lineRule="auto"/>
              <w:ind w:firstLine="0"/>
              <w:jc w:val="center"/>
            </w:pPr>
            <w:r>
              <w:rPr>
                <w:sz w:val="20"/>
                <w:szCs w:val="20"/>
              </w:rPr>
              <w:t xml:space="preserve">3</w:t>
            </w:r>
          </w:p>
        </w:tc>
        <w:tc>
          <w:tcPr>
            <w:tcW w:type="dxa" w:w="1246"/>
            <w:vAlign w:val="center"/>
          </w:tcPr>
          <w:p>
            <w:pPr>
              <w:spacing w:before="20" w:after="20" w:line="260" w:lineRule="auto"/>
              <w:ind w:firstLine="0"/>
              <w:jc w:val="left"/>
            </w:pPr>
            <w:r>
              <w:rPr>
                <w:sz w:val="20"/>
                <w:szCs w:val="20"/>
              </w:rPr>
              <w:t xml:space="preserve">Quito</w:t>
            </w:r>
          </w:p>
        </w:tc>
        <w:tc>
          <w:tcPr>
            <w:tcW w:type="dxa" w:w="978"/>
            <w:vAlign w:val="center"/>
          </w:tcPr>
          <w:p>
            <w:pPr>
              <w:spacing w:before="20" w:after="20" w:line="260" w:lineRule="auto"/>
              <w:ind w:firstLine="0"/>
              <w:jc w:val="left"/>
            </w:pPr>
            <w:r>
              <w:rPr>
                <w:sz w:val="20"/>
                <w:szCs w:val="20"/>
              </w:rPr>
              <w:t xml:space="preserve">D</w:t>
            </w:r>
          </w:p>
        </w:tc>
        <w:tc>
          <w:tcPr>
            <w:tcW w:type="dxa" w:w="978"/>
            <w:vAlign w:val="center"/>
          </w:tcPr>
          <w:p>
            <w:pPr>
              <w:spacing w:before="20" w:after="20" w:line="260" w:lineRule="auto"/>
              <w:ind w:firstLine="0"/>
              <w:jc w:val="center"/>
            </w:pPr>
            <w:r>
              <w:rPr>
                <w:sz w:val="20"/>
                <w:szCs w:val="20"/>
              </w:rPr>
              <w:t xml:space="preserve">8</w:t>
            </w:r>
          </w:p>
        </w:tc>
        <w:tc>
          <w:tcPr>
            <w:tcW w:type="dxa" w:w="978"/>
            <w:vAlign w:val="center"/>
          </w:tcPr>
          <w:p>
            <w:pPr>
              <w:spacing w:before="20" w:after="20" w:line="260" w:lineRule="auto"/>
              <w:ind w:firstLine="0"/>
              <w:jc w:val="center"/>
            </w:pPr>
            <w:r>
              <w:rPr>
                <w:sz w:val="20"/>
                <w:szCs w:val="20"/>
              </w:rPr>
              <w:t xml:space="preserve">538.087</w:t>
            </w:r>
          </w:p>
        </w:tc>
        <w:tc>
          <w:tcPr>
            <w:tcW w:type="dxa" w:w="978"/>
            <w:vAlign w:val="center"/>
          </w:tcPr>
          <w:p>
            <w:pPr>
              <w:spacing w:before="20" w:after="20" w:line="260" w:lineRule="auto"/>
              <w:ind w:firstLine="0"/>
              <w:jc w:val="center"/>
            </w:pPr>
            <w:r>
              <w:rPr>
                <w:sz w:val="20"/>
                <w:szCs w:val="20"/>
              </w:rPr>
              <w:t xml:space="preserve">579.503</w:t>
            </w:r>
          </w:p>
        </w:tc>
        <w:tc>
          <w:tcPr>
            <w:tcW w:type="dxa" w:w="978"/>
            <w:vAlign w:val="center"/>
          </w:tcPr>
          <w:p>
            <w:pPr>
              <w:spacing w:before="20" w:after="20" w:line="260" w:lineRule="auto"/>
              <w:ind w:firstLine="0"/>
              <w:jc w:val="center"/>
            </w:pPr>
            <w:r>
              <w:rPr>
                <w:sz w:val="20"/>
                <w:szCs w:val="20"/>
              </w:rPr>
              <w:t xml:space="preserve">9,74%</w:t>
            </w:r>
          </w:p>
        </w:tc>
        <w:tc>
          <w:tcPr>
            <w:tcW w:type="dxa" w:w="978"/>
            <w:vAlign w:val="center"/>
          </w:tcPr>
          <w:p>
            <w:pPr>
              <w:spacing w:before="20" w:after="20" w:line="260" w:lineRule="auto"/>
              <w:ind w:firstLine="0"/>
              <w:jc w:val="center"/>
            </w:pPr>
            <w:r>
              <w:rPr>
                <w:sz w:val="20"/>
                <w:szCs w:val="20"/>
              </w:rPr>
              <w:t xml:space="preserve">−78,44</w:t>
            </w:r>
          </w:p>
        </w:tc>
        <w:tc>
          <w:tcPr>
            <w:tcW w:type="dxa" w:w="979"/>
            <w:vAlign w:val="center"/>
          </w:tcPr>
          <w:p>
            <w:pPr>
              <w:spacing w:before="20" w:after="20" w:line="260" w:lineRule="auto"/>
              <w:ind w:firstLine="0"/>
              <w:jc w:val="center"/>
            </w:pPr>
            <w:r>
              <w:rPr>
                <w:sz w:val="20"/>
                <w:szCs w:val="20"/>
              </w:rPr>
              <w:t xml:space="preserve">77,27%</w:t>
            </w:r>
          </w:p>
        </w:tc>
      </w:tr>
      <w:tr>
        <w:trPr>
          <w:cantSplit/>
        </w:trPr>
        <w:tc>
          <w:tcPr>
            <w:tcW w:type="dxa" w:w="978"/>
            <w:vAlign w:val="center"/>
          </w:tcPr>
          <w:p>
            <w:pPr>
              <w:spacing w:before="20" w:after="20" w:line="260" w:lineRule="auto"/>
              <w:ind w:firstLine="0"/>
              <w:jc w:val="center"/>
            </w:pPr>
            <w:r>
              <w:rPr>
                <w:sz w:val="20"/>
                <w:szCs w:val="20"/>
              </w:rPr>
              <w:t xml:space="preserve">4</w:t>
            </w:r>
          </w:p>
        </w:tc>
        <w:tc>
          <w:tcPr>
            <w:tcW w:type="dxa" w:w="1246"/>
            <w:vAlign w:val="center"/>
          </w:tcPr>
          <w:p>
            <w:pPr>
              <w:spacing w:before="20" w:after="20" w:line="260" w:lineRule="auto"/>
              <w:ind w:firstLine="0"/>
              <w:jc w:val="left"/>
            </w:pPr>
            <w:r>
              <w:rPr>
                <w:sz w:val="20"/>
                <w:szCs w:val="20"/>
              </w:rPr>
              <w:t xml:space="preserve">Quito</w:t>
            </w:r>
          </w:p>
        </w:tc>
        <w:tc>
          <w:tcPr>
            <w:tcW w:type="dxa" w:w="978"/>
            <w:vAlign w:val="center"/>
          </w:tcPr>
          <w:p>
            <w:pPr>
              <w:spacing w:before="20" w:after="20" w:line="260" w:lineRule="auto"/>
              <w:ind w:firstLine="0"/>
              <w:jc w:val="left"/>
            </w:pPr>
            <w:r>
              <w:rPr>
                <w:sz w:val="20"/>
                <w:szCs w:val="20"/>
              </w:rPr>
              <w:t xml:space="preserve">D</w:t>
            </w:r>
          </w:p>
        </w:tc>
        <w:tc>
          <w:tcPr>
            <w:tcW w:type="dxa" w:w="978"/>
            <w:vAlign w:val="center"/>
          </w:tcPr>
          <w:p>
            <w:pPr>
              <w:spacing w:before="20" w:after="20" w:line="260" w:lineRule="auto"/>
              <w:ind w:firstLine="0"/>
              <w:jc w:val="center"/>
            </w:pPr>
            <w:r>
              <w:rPr>
                <w:sz w:val="20"/>
                <w:szCs w:val="20"/>
              </w:rPr>
              <w:t xml:space="preserve">9</w:t>
            </w:r>
          </w:p>
        </w:tc>
        <w:tc>
          <w:tcPr>
            <w:tcW w:type="dxa" w:w="978"/>
            <w:vAlign w:val="center"/>
          </w:tcPr>
          <w:p>
            <w:pPr>
              <w:spacing w:before="20" w:after="20" w:line="260" w:lineRule="auto"/>
              <w:ind w:firstLine="0"/>
              <w:jc w:val="center"/>
            </w:pPr>
            <w:r>
              <w:rPr>
                <w:sz w:val="20"/>
                <w:szCs w:val="20"/>
              </w:rPr>
              <w:t xml:space="preserve">187.479</w:t>
            </w:r>
          </w:p>
        </w:tc>
        <w:tc>
          <w:tcPr>
            <w:tcW w:type="dxa" w:w="978"/>
            <w:vAlign w:val="center"/>
          </w:tcPr>
          <w:p>
            <w:pPr>
              <w:spacing w:before="20" w:after="20" w:line="260" w:lineRule="auto"/>
              <w:ind w:firstLine="0"/>
              <w:jc w:val="center"/>
            </w:pPr>
            <w:r>
              <w:rPr>
                <w:sz w:val="20"/>
                <w:szCs w:val="20"/>
              </w:rPr>
              <w:t xml:space="preserve">205.240</w:t>
            </w:r>
          </w:p>
        </w:tc>
        <w:tc>
          <w:tcPr>
            <w:tcW w:type="dxa" w:w="978"/>
            <w:vAlign w:val="center"/>
          </w:tcPr>
          <w:p>
            <w:pPr>
              <w:spacing w:before="20" w:after="20" w:line="260" w:lineRule="auto"/>
              <w:ind w:firstLine="0"/>
              <w:jc w:val="center"/>
            </w:pPr>
            <w:r>
              <w:rPr>
                <w:sz w:val="20"/>
                <w:szCs w:val="20"/>
              </w:rPr>
              <w:t xml:space="preserve">15,51%</w:t>
            </w:r>
          </w:p>
        </w:tc>
        <w:tc>
          <w:tcPr>
            <w:tcW w:type="dxa" w:w="978"/>
            <w:vAlign w:val="center"/>
          </w:tcPr>
          <w:p>
            <w:pPr>
              <w:spacing w:before="20" w:after="20" w:line="260" w:lineRule="auto"/>
              <w:ind w:firstLine="0"/>
              <w:jc w:val="center"/>
            </w:pPr>
            <w:r>
              <w:rPr>
                <w:sz w:val="20"/>
                <w:szCs w:val="20"/>
              </w:rPr>
              <w:t xml:space="preserve">−33,64</w:t>
            </w:r>
          </w:p>
        </w:tc>
        <w:tc>
          <w:tcPr>
            <w:tcW w:type="dxa" w:w="979"/>
            <w:vAlign w:val="center"/>
          </w:tcPr>
          <w:p>
            <w:pPr>
              <w:spacing w:before="20" w:after="20" w:line="260" w:lineRule="auto"/>
              <w:ind w:firstLine="0"/>
              <w:jc w:val="center"/>
            </w:pPr>
            <w:r>
              <w:rPr>
                <w:sz w:val="20"/>
                <w:szCs w:val="20"/>
              </w:rPr>
              <w:t xml:space="preserve">78,41%</w:t>
            </w:r>
          </w:p>
        </w:tc>
      </w:tr>
      <w:tr>
        <w:trPr>
          <w:cantSplit/>
        </w:trPr>
        <w:tc>
          <w:tcPr>
            <w:tcW w:type="dxa" w:w="978"/>
            <w:vAlign w:val="center"/>
          </w:tcPr>
          <w:p>
            <w:pPr>
              <w:spacing w:before="20" w:after="20" w:line="260" w:lineRule="auto"/>
              <w:ind w:firstLine="0"/>
              <w:jc w:val="center"/>
            </w:pPr>
            <w:r>
              <w:rPr>
                <w:sz w:val="20"/>
                <w:szCs w:val="20"/>
              </w:rPr>
              <w:t xml:space="preserve">5</w:t>
            </w:r>
          </w:p>
        </w:tc>
        <w:tc>
          <w:tcPr>
            <w:tcW w:type="dxa" w:w="1246"/>
            <w:vAlign w:val="center"/>
          </w:tcPr>
          <w:p>
            <w:pPr>
              <w:spacing w:before="20" w:after="20" w:line="260" w:lineRule="auto"/>
              <w:ind w:firstLine="0"/>
              <w:jc w:val="left"/>
            </w:pPr>
            <w:r>
              <w:rPr>
                <w:sz w:val="20"/>
                <w:szCs w:val="20"/>
              </w:rPr>
              <w:t xml:space="preserve">Santo Domingo</w:t>
            </w:r>
          </w:p>
        </w:tc>
        <w:tc>
          <w:tcPr>
            <w:tcW w:type="dxa" w:w="978"/>
            <w:vAlign w:val="center"/>
          </w:tcPr>
          <w:p>
            <w:pPr>
              <w:spacing w:before="20" w:after="20" w:line="260" w:lineRule="auto"/>
              <w:ind w:firstLine="0"/>
              <w:jc w:val="left"/>
            </w:pPr>
            <w:r>
              <w:rPr>
                <w:sz w:val="20"/>
                <w:szCs w:val="20"/>
              </w:rPr>
              <w:t xml:space="preserve">D</w:t>
            </w:r>
          </w:p>
        </w:tc>
        <w:tc>
          <w:tcPr>
            <w:tcW w:type="dxa" w:w="978"/>
            <w:vAlign w:val="center"/>
          </w:tcPr>
          <w:p>
            <w:pPr>
              <w:spacing w:before="20" w:after="20" w:line="260" w:lineRule="auto"/>
              <w:ind w:firstLine="0"/>
              <w:jc w:val="center"/>
            </w:pPr>
            <w:r>
              <w:rPr>
                <w:sz w:val="20"/>
                <w:szCs w:val="20"/>
              </w:rPr>
              <w:t xml:space="preserve">4</w:t>
            </w:r>
          </w:p>
        </w:tc>
        <w:tc>
          <w:tcPr>
            <w:tcW w:type="dxa" w:w="978"/>
            <w:vAlign w:val="center"/>
          </w:tcPr>
          <w:p>
            <w:pPr>
              <w:spacing w:before="20" w:after="20" w:line="260" w:lineRule="auto"/>
              <w:ind w:firstLine="0"/>
              <w:jc w:val="center"/>
            </w:pPr>
            <w:r>
              <w:rPr>
                <w:sz w:val="20"/>
                <w:szCs w:val="20"/>
              </w:rPr>
              <w:t xml:space="preserve">156.443</w:t>
            </w:r>
          </w:p>
        </w:tc>
        <w:tc>
          <w:tcPr>
            <w:tcW w:type="dxa" w:w="978"/>
            <w:vAlign w:val="center"/>
          </w:tcPr>
          <w:p>
            <w:pPr>
              <w:spacing w:before="20" w:after="20" w:line="260" w:lineRule="auto"/>
              <w:ind w:firstLine="0"/>
              <w:jc w:val="center"/>
            </w:pPr>
            <w:r>
              <w:rPr>
                <w:sz w:val="20"/>
                <w:szCs w:val="20"/>
              </w:rPr>
              <w:t xml:space="preserve">165.345</w:t>
            </w:r>
          </w:p>
        </w:tc>
        <w:tc>
          <w:tcPr>
            <w:tcW w:type="dxa" w:w="978"/>
            <w:vAlign w:val="center"/>
          </w:tcPr>
          <w:p>
            <w:pPr>
              <w:spacing w:before="20" w:after="20" w:line="260" w:lineRule="auto"/>
              <w:ind w:firstLine="0"/>
              <w:jc w:val="center"/>
            </w:pPr>
            <w:r>
              <w:rPr>
                <w:sz w:val="20"/>
                <w:szCs w:val="20"/>
              </w:rPr>
              <w:t xml:space="preserve">12,29%</w:t>
            </w:r>
          </w:p>
        </w:tc>
        <w:tc>
          <w:tcPr>
            <w:tcW w:type="dxa" w:w="978"/>
            <w:vAlign w:val="center"/>
          </w:tcPr>
          <w:p>
            <w:pPr>
              <w:spacing w:before="20" w:after="20" w:line="260" w:lineRule="auto"/>
              <w:ind w:firstLine="0"/>
              <w:jc w:val="center"/>
            </w:pPr>
            <w:r>
              <w:rPr>
                <w:sz w:val="20"/>
                <w:szCs w:val="20"/>
              </w:rPr>
              <w:t xml:space="preserve">−16,86</w:t>
            </w:r>
          </w:p>
        </w:tc>
        <w:tc>
          <w:tcPr>
            <w:tcW w:type="dxa" w:w="979"/>
            <w:vAlign w:val="center"/>
          </w:tcPr>
          <w:p>
            <w:pPr>
              <w:spacing w:before="20" w:after="20" w:line="260" w:lineRule="auto"/>
              <w:ind w:firstLine="0"/>
              <w:jc w:val="center"/>
            </w:pPr>
            <w:r>
              <w:rPr>
                <w:sz w:val="20"/>
                <w:szCs w:val="20"/>
              </w:rPr>
              <w:t xml:space="preserve">79,36%</w:t>
            </w:r>
          </w:p>
        </w:tc>
      </w:tr>
      <w:tr>
        <w:trPr>
          <w:cantSplit/>
        </w:trPr>
        <w:tc>
          <w:tcPr>
            <w:tcW w:type="dxa" w:w="978"/>
            <w:vAlign w:val="center"/>
          </w:tcPr>
          <w:p>
            <w:pPr>
              <w:spacing w:before="20" w:after="20" w:line="260" w:lineRule="auto"/>
              <w:ind w:firstLine="0"/>
              <w:jc w:val="center"/>
            </w:pPr>
            <w:r>
              <w:rPr>
                <w:sz w:val="20"/>
                <w:szCs w:val="20"/>
              </w:rPr>
              <w:t xml:space="preserve">6</w:t>
            </w:r>
          </w:p>
        </w:tc>
        <w:tc>
          <w:tcPr>
            <w:tcW w:type="dxa" w:w="1246"/>
            <w:vAlign w:val="center"/>
          </w:tcPr>
          <w:p>
            <w:pPr>
              <w:spacing w:before="20" w:after="20" w:line="260" w:lineRule="auto"/>
              <w:ind w:firstLine="0"/>
              <w:jc w:val="left"/>
            </w:pPr>
            <w:r>
              <w:rPr>
                <w:sz w:val="20"/>
                <w:szCs w:val="20"/>
              </w:rPr>
              <w:t xml:space="preserve">Quito</w:t>
            </w:r>
          </w:p>
        </w:tc>
        <w:tc>
          <w:tcPr>
            <w:tcW w:type="dxa" w:w="978"/>
            <w:vAlign w:val="center"/>
          </w:tcPr>
          <w:p>
            <w:pPr>
              <w:spacing w:before="20" w:after="20" w:line="260" w:lineRule="auto"/>
              <w:ind w:firstLine="0"/>
              <w:jc w:val="left"/>
            </w:pPr>
            <w:r>
              <w:rPr>
                <w:sz w:val="20"/>
                <w:szCs w:val="20"/>
              </w:rPr>
              <w:t xml:space="preserve">D</w:t>
            </w:r>
          </w:p>
        </w:tc>
        <w:tc>
          <w:tcPr>
            <w:tcW w:type="dxa" w:w="978"/>
            <w:vAlign w:val="center"/>
          </w:tcPr>
          <w:p>
            <w:pPr>
              <w:spacing w:before="20" w:after="20" w:line="260" w:lineRule="auto"/>
              <w:ind w:firstLine="0"/>
              <w:jc w:val="center"/>
            </w:pPr>
            <w:r>
              <w:rPr>
                <w:sz w:val="20"/>
                <w:szCs w:val="20"/>
              </w:rPr>
              <w:t xml:space="preserve">13</w:t>
            </w:r>
          </w:p>
        </w:tc>
        <w:tc>
          <w:tcPr>
            <w:tcW w:type="dxa" w:w="978"/>
            <w:vAlign w:val="center"/>
          </w:tcPr>
          <w:p>
            <w:pPr>
              <w:spacing w:before="20" w:after="20" w:line="260" w:lineRule="auto"/>
              <w:ind w:firstLine="0"/>
              <w:jc w:val="center"/>
            </w:pPr>
            <w:r>
              <w:rPr>
                <w:sz w:val="20"/>
                <w:szCs w:val="20"/>
              </w:rPr>
              <w:t xml:space="preserve">257.700</w:t>
            </w:r>
          </w:p>
        </w:tc>
        <w:tc>
          <w:tcPr>
            <w:tcW w:type="dxa" w:w="978"/>
            <w:vAlign w:val="center"/>
          </w:tcPr>
          <w:p>
            <w:pPr>
              <w:spacing w:before="20" w:after="20" w:line="260" w:lineRule="auto"/>
              <w:ind w:firstLine="0"/>
              <w:jc w:val="center"/>
            </w:pPr>
            <w:r>
              <w:rPr>
                <w:sz w:val="20"/>
                <w:szCs w:val="20"/>
              </w:rPr>
              <w:t xml:space="preserve">277.876</w:t>
            </w:r>
          </w:p>
        </w:tc>
        <w:tc>
          <w:tcPr>
            <w:tcW w:type="dxa" w:w="978"/>
            <w:vAlign w:val="center"/>
          </w:tcPr>
          <w:p>
            <w:pPr>
              <w:spacing w:before="20" w:after="20" w:line="260" w:lineRule="auto"/>
              <w:ind w:firstLine="0"/>
              <w:jc w:val="center"/>
            </w:pPr>
            <w:r>
              <w:rPr>
                <w:sz w:val="20"/>
                <w:szCs w:val="20"/>
              </w:rPr>
              <w:t xml:space="preserve">11,12%</w:t>
            </w:r>
          </w:p>
        </w:tc>
        <w:tc>
          <w:tcPr>
            <w:tcW w:type="dxa" w:w="978"/>
            <w:vAlign w:val="center"/>
          </w:tcPr>
          <w:p>
            <w:pPr>
              <w:spacing w:before="20" w:after="20" w:line="260" w:lineRule="auto"/>
              <w:ind w:firstLine="0"/>
              <w:jc w:val="center"/>
            </w:pPr>
            <w:r>
              <w:rPr>
                <w:sz w:val="20"/>
                <w:szCs w:val="20"/>
              </w:rPr>
              <w:t xml:space="preserve">−38,21</w:t>
            </w:r>
          </w:p>
        </w:tc>
        <w:tc>
          <w:tcPr>
            <w:tcW w:type="dxa" w:w="979"/>
            <w:vAlign w:val="center"/>
          </w:tcPr>
          <w:p>
            <w:pPr>
              <w:spacing w:before="20" w:after="20" w:line="260" w:lineRule="auto"/>
              <w:ind w:firstLine="0"/>
              <w:jc w:val="center"/>
            </w:pPr>
            <w:r>
              <w:rPr>
                <w:sz w:val="20"/>
                <w:szCs w:val="20"/>
              </w:rPr>
              <w:t xml:space="preserve">79,73%</w:t>
            </w:r>
          </w:p>
        </w:tc>
      </w:tr>
      <w:tr>
        <w:trPr>
          <w:cantSplit/>
        </w:trPr>
        <w:tc>
          <w:tcPr>
            <w:tcW w:type="dxa" w:w="978"/>
            <w:vAlign w:val="center"/>
          </w:tcPr>
          <w:p>
            <w:pPr>
              <w:spacing w:before="20" w:after="20" w:line="260" w:lineRule="auto"/>
              <w:ind w:firstLine="0"/>
              <w:jc w:val="center"/>
            </w:pPr>
            <w:r>
              <w:rPr>
                <w:sz w:val="20"/>
                <w:szCs w:val="20"/>
              </w:rPr>
              <w:t xml:space="preserve">7</w:t>
            </w:r>
          </w:p>
        </w:tc>
        <w:tc>
          <w:tcPr>
            <w:tcW w:type="dxa" w:w="1246"/>
            <w:vAlign w:val="center"/>
          </w:tcPr>
          <w:p>
            <w:pPr>
              <w:spacing w:before="20" w:after="20" w:line="260" w:lineRule="auto"/>
              <w:ind w:firstLine="0"/>
              <w:jc w:val="left"/>
            </w:pPr>
            <w:r>
              <w:rPr>
                <w:sz w:val="20"/>
                <w:szCs w:val="20"/>
              </w:rPr>
              <w:t xml:space="preserve">Quito</w:t>
            </w:r>
          </w:p>
        </w:tc>
        <w:tc>
          <w:tcPr>
            <w:tcW w:type="dxa" w:w="978"/>
            <w:vAlign w:val="center"/>
          </w:tcPr>
          <w:p>
            <w:pPr>
              <w:spacing w:before="20" w:after="20" w:line="260" w:lineRule="auto"/>
              <w:ind w:firstLine="0"/>
              <w:jc w:val="left"/>
            </w:pPr>
            <w:r>
              <w:rPr>
                <w:sz w:val="20"/>
                <w:szCs w:val="20"/>
              </w:rPr>
              <w:t xml:space="preserve">D</w:t>
            </w:r>
          </w:p>
        </w:tc>
        <w:tc>
          <w:tcPr>
            <w:tcW w:type="dxa" w:w="978"/>
            <w:vAlign w:val="center"/>
          </w:tcPr>
          <w:p>
            <w:pPr>
              <w:spacing w:before="20" w:after="20" w:line="260" w:lineRule="auto"/>
              <w:ind w:firstLine="0"/>
              <w:jc w:val="center"/>
            </w:pPr>
            <w:r>
              <w:rPr>
                <w:sz w:val="20"/>
                <w:szCs w:val="20"/>
              </w:rPr>
              <w:t xml:space="preserve">8</w:t>
            </w:r>
          </w:p>
        </w:tc>
        <w:tc>
          <w:tcPr>
            <w:tcW w:type="dxa" w:w="978"/>
            <w:vAlign w:val="center"/>
          </w:tcPr>
          <w:p>
            <w:pPr>
              <w:spacing w:before="20" w:after="20" w:line="260" w:lineRule="auto"/>
              <w:ind w:firstLine="0"/>
              <w:jc w:val="center"/>
            </w:pPr>
            <w:r>
              <w:rPr>
                <w:sz w:val="20"/>
                <w:szCs w:val="20"/>
              </w:rPr>
              <w:t xml:space="preserve">286.238</w:t>
            </w:r>
          </w:p>
        </w:tc>
        <w:tc>
          <w:tcPr>
            <w:tcW w:type="dxa" w:w="978"/>
            <w:vAlign w:val="center"/>
          </w:tcPr>
          <w:p>
            <w:pPr>
              <w:spacing w:before="20" w:after="20" w:line="260" w:lineRule="auto"/>
              <w:ind w:firstLine="0"/>
              <w:jc w:val="center"/>
            </w:pPr>
            <w:r>
              <w:rPr>
                <w:sz w:val="20"/>
                <w:szCs w:val="20"/>
              </w:rPr>
              <w:t xml:space="preserve">315.185</w:t>
            </w:r>
          </w:p>
        </w:tc>
        <w:tc>
          <w:tcPr>
            <w:tcW w:type="dxa" w:w="978"/>
            <w:vAlign w:val="center"/>
          </w:tcPr>
          <w:p>
            <w:pPr>
              <w:spacing w:before="20" w:after="20" w:line="260" w:lineRule="auto"/>
              <w:ind w:firstLine="0"/>
              <w:jc w:val="center"/>
            </w:pPr>
            <w:r>
              <w:rPr>
                <w:sz w:val="20"/>
                <w:szCs w:val="20"/>
              </w:rPr>
              <w:t xml:space="preserve">12,25%</w:t>
            </w:r>
          </w:p>
        </w:tc>
        <w:tc>
          <w:tcPr>
            <w:tcW w:type="dxa" w:w="978"/>
            <w:vAlign w:val="center"/>
          </w:tcPr>
          <w:p>
            <w:pPr>
              <w:spacing w:before="20" w:after="20" w:line="260" w:lineRule="auto"/>
              <w:ind w:firstLine="0"/>
              <w:jc w:val="center"/>
            </w:pPr>
            <w:r>
              <w:rPr>
                <w:sz w:val="20"/>
                <w:szCs w:val="20"/>
              </w:rPr>
              <w:t xml:space="preserve">−54,82</w:t>
            </w:r>
          </w:p>
        </w:tc>
        <w:tc>
          <w:tcPr>
            <w:tcW w:type="dxa" w:w="979"/>
            <w:vAlign w:val="center"/>
          </w:tcPr>
          <w:p>
            <w:pPr>
              <w:spacing w:before="20" w:after="20" w:line="260" w:lineRule="auto"/>
              <w:ind w:firstLine="0"/>
              <w:jc w:val="center"/>
            </w:pPr>
            <w:r>
              <w:rPr>
                <w:sz w:val="20"/>
                <w:szCs w:val="20"/>
              </w:rPr>
              <w:t xml:space="preserve">75,38%</w:t>
            </w:r>
          </w:p>
        </w:tc>
      </w:tr>
      <w:tr>
        <w:trPr>
          <w:cantSplit/>
        </w:trPr>
        <w:tc>
          <w:tcPr>
            <w:tcW w:type="dxa" w:w="978"/>
            <w:vAlign w:val="center"/>
          </w:tcPr>
          <w:p>
            <w:pPr>
              <w:spacing w:before="20" w:after="20" w:line="260" w:lineRule="auto"/>
              <w:ind w:firstLine="0"/>
              <w:jc w:val="center"/>
            </w:pPr>
            <w:r>
              <w:rPr>
                <w:sz w:val="20"/>
                <w:szCs w:val="20"/>
              </w:rPr>
              <w:t xml:space="preserve">8</w:t>
            </w:r>
          </w:p>
        </w:tc>
        <w:tc>
          <w:tcPr>
            <w:tcW w:type="dxa" w:w="1246"/>
            <w:vAlign w:val="center"/>
          </w:tcPr>
          <w:p>
            <w:pPr>
              <w:spacing w:before="20" w:after="20" w:line="260" w:lineRule="auto"/>
              <w:ind w:firstLine="0"/>
              <w:jc w:val="left"/>
            </w:pPr>
            <w:r>
              <w:rPr>
                <w:sz w:val="20"/>
                <w:szCs w:val="20"/>
              </w:rPr>
              <w:t xml:space="preserve">Quito</w:t>
            </w:r>
          </w:p>
        </w:tc>
        <w:tc>
          <w:tcPr>
            <w:tcW w:type="dxa" w:w="978"/>
            <w:vAlign w:val="center"/>
          </w:tcPr>
          <w:p>
            <w:pPr>
              <w:spacing w:before="20" w:after="20" w:line="260" w:lineRule="auto"/>
              <w:ind w:firstLine="0"/>
              <w:jc w:val="left"/>
            </w:pPr>
            <w:r>
              <w:rPr>
                <w:sz w:val="20"/>
                <w:szCs w:val="20"/>
              </w:rPr>
              <w:t xml:space="preserve">D</w:t>
            </w:r>
          </w:p>
        </w:tc>
        <w:tc>
          <w:tcPr>
            <w:tcW w:type="dxa" w:w="978"/>
            <w:vAlign w:val="center"/>
          </w:tcPr>
          <w:p>
            <w:pPr>
              <w:spacing w:before="20" w:after="20" w:line="260" w:lineRule="auto"/>
              <w:ind w:firstLine="0"/>
              <w:jc w:val="center"/>
            </w:pPr>
            <w:r>
              <w:rPr>
                <w:sz w:val="20"/>
                <w:szCs w:val="20"/>
              </w:rPr>
              <w:t xml:space="preserve">8</w:t>
            </w:r>
          </w:p>
        </w:tc>
        <w:tc>
          <w:tcPr>
            <w:tcW w:type="dxa" w:w="978"/>
            <w:vAlign w:val="center"/>
          </w:tcPr>
          <w:p>
            <w:pPr>
              <w:spacing w:before="20" w:after="20" w:line="260" w:lineRule="auto"/>
              <w:ind w:firstLine="0"/>
              <w:jc w:val="center"/>
            </w:pPr>
            <w:r>
              <w:rPr>
                <w:sz w:val="20"/>
                <w:szCs w:val="20"/>
              </w:rPr>
              <w:t xml:space="preserve">324.826</w:t>
            </w:r>
          </w:p>
        </w:tc>
        <w:tc>
          <w:tcPr>
            <w:tcW w:type="dxa" w:w="978"/>
            <w:vAlign w:val="center"/>
          </w:tcPr>
          <w:p>
            <w:pPr>
              <w:spacing w:before="20" w:after="20" w:line="260" w:lineRule="auto"/>
              <w:ind w:firstLine="0"/>
              <w:jc w:val="center"/>
            </w:pPr>
            <w:r>
              <w:rPr>
                <w:sz w:val="20"/>
                <w:szCs w:val="20"/>
              </w:rPr>
              <w:t xml:space="preserve">351.030</w:t>
            </w:r>
          </w:p>
        </w:tc>
        <w:tc>
          <w:tcPr>
            <w:tcW w:type="dxa" w:w="978"/>
            <w:vAlign w:val="center"/>
          </w:tcPr>
          <w:p>
            <w:pPr>
              <w:spacing w:before="20" w:after="20" w:line="260" w:lineRule="auto"/>
              <w:ind w:firstLine="0"/>
              <w:jc w:val="center"/>
            </w:pPr>
            <w:r>
              <w:rPr>
                <w:sz w:val="20"/>
                <w:szCs w:val="20"/>
              </w:rPr>
              <w:t xml:space="preserve">10,11%</w:t>
            </w:r>
          </w:p>
        </w:tc>
        <w:tc>
          <w:tcPr>
            <w:tcW w:type="dxa" w:w="978"/>
            <w:vAlign w:val="center"/>
          </w:tcPr>
          <w:p>
            <w:pPr>
              <w:spacing w:before="20" w:after="20" w:line="260" w:lineRule="auto"/>
              <w:ind w:firstLine="0"/>
              <w:jc w:val="center"/>
            </w:pPr>
            <w:r>
              <w:rPr>
                <w:sz w:val="20"/>
                <w:szCs w:val="20"/>
              </w:rPr>
              <w:t xml:space="preserve">−49,63</w:t>
            </w:r>
          </w:p>
        </w:tc>
        <w:tc>
          <w:tcPr>
            <w:tcW w:type="dxa" w:w="979"/>
            <w:vAlign w:val="center"/>
          </w:tcPr>
          <w:p>
            <w:pPr>
              <w:spacing w:before="20" w:after="20" w:line="260" w:lineRule="auto"/>
              <w:ind w:firstLine="0"/>
              <w:jc w:val="center"/>
            </w:pPr>
            <w:r>
              <w:rPr>
                <w:sz w:val="20"/>
                <w:szCs w:val="20"/>
              </w:rPr>
              <w:t xml:space="preserve">77,08%</w:t>
            </w:r>
          </w:p>
        </w:tc>
      </w:tr>
      <w:tr>
        <w:trPr>
          <w:cantSplit/>
        </w:trPr>
        <w:tc>
          <w:tcPr>
            <w:tcW w:type="dxa" w:w="978"/>
            <w:vAlign w:val="center"/>
          </w:tcPr>
          <w:p>
            <w:pPr>
              <w:spacing w:before="20" w:after="20" w:line="260" w:lineRule="auto"/>
              <w:ind w:firstLine="0"/>
              <w:jc w:val="center"/>
            </w:pPr>
            <w:r>
              <w:rPr>
                <w:sz w:val="20"/>
                <w:szCs w:val="20"/>
              </w:rPr>
              <w:t xml:space="preserve">9</w:t>
            </w:r>
          </w:p>
        </w:tc>
        <w:tc>
          <w:tcPr>
            <w:tcW w:type="dxa" w:w="1246"/>
            <w:vAlign w:val="center"/>
          </w:tcPr>
          <w:p>
            <w:pPr>
              <w:spacing w:before="20" w:after="20" w:line="260" w:lineRule="auto"/>
              <w:ind w:firstLine="0"/>
              <w:jc w:val="left"/>
            </w:pPr>
            <w:r>
              <w:rPr>
                <w:sz w:val="20"/>
                <w:szCs w:val="20"/>
              </w:rPr>
              <w:t xml:space="preserve">Quito</w:t>
            </w:r>
          </w:p>
        </w:tc>
        <w:tc>
          <w:tcPr>
            <w:tcW w:type="dxa" w:w="978"/>
            <w:vAlign w:val="center"/>
          </w:tcPr>
          <w:p>
            <w:pPr>
              <w:spacing w:before="20" w:after="20" w:line="260" w:lineRule="auto"/>
              <w:ind w:firstLine="0"/>
              <w:jc w:val="left"/>
            </w:pPr>
            <w:r>
              <w:rPr>
                <w:sz w:val="20"/>
                <w:szCs w:val="20"/>
              </w:rPr>
              <w:t xml:space="preserve">B</w:t>
            </w:r>
          </w:p>
        </w:tc>
        <w:tc>
          <w:tcPr>
            <w:tcW w:type="dxa" w:w="978"/>
            <w:vAlign w:val="center"/>
          </w:tcPr>
          <w:p>
            <w:pPr>
              <w:spacing w:before="20" w:after="20" w:line="260" w:lineRule="auto"/>
              <w:ind w:firstLine="0"/>
              <w:jc w:val="center"/>
            </w:pPr>
            <w:r>
              <w:rPr>
                <w:sz w:val="20"/>
                <w:szCs w:val="20"/>
              </w:rPr>
              <w:t xml:space="preserve">6</w:t>
            </w:r>
          </w:p>
        </w:tc>
        <w:tc>
          <w:tcPr>
            <w:tcW w:type="dxa" w:w="978"/>
            <w:vAlign w:val="center"/>
          </w:tcPr>
          <w:p>
            <w:pPr>
              <w:spacing w:before="20" w:after="20" w:line="260" w:lineRule="auto"/>
              <w:ind w:firstLine="0"/>
              <w:jc w:val="center"/>
            </w:pPr>
            <w:r>
              <w:rPr>
                <w:sz w:val="20"/>
                <w:szCs w:val="20"/>
              </w:rPr>
              <w:t xml:space="preserve">303.853</w:t>
            </w:r>
          </w:p>
        </w:tc>
        <w:tc>
          <w:tcPr>
            <w:tcW w:type="dxa" w:w="978"/>
            <w:vAlign w:val="center"/>
          </w:tcPr>
          <w:p>
            <w:pPr>
              <w:spacing w:before="20" w:after="20" w:line="260" w:lineRule="auto"/>
              <w:ind w:firstLine="0"/>
              <w:jc w:val="center"/>
            </w:pPr>
            <w:r>
              <w:rPr>
                <w:sz w:val="20"/>
                <w:szCs w:val="20"/>
              </w:rPr>
              <w:t xml:space="preserve">303.049</w:t>
            </w:r>
          </w:p>
        </w:tc>
        <w:tc>
          <w:tcPr>
            <w:tcW w:type="dxa" w:w="978"/>
            <w:vAlign w:val="center"/>
          </w:tcPr>
          <w:p>
            <w:pPr>
              <w:spacing w:before="20" w:after="20" w:line="260" w:lineRule="auto"/>
              <w:ind w:firstLine="0"/>
              <w:jc w:val="center"/>
            </w:pPr>
            <w:r>
              <w:rPr>
                <w:sz w:val="20"/>
                <w:szCs w:val="20"/>
              </w:rPr>
              <w:t xml:space="preserve">10,24%</w:t>
            </w:r>
          </w:p>
        </w:tc>
        <w:tc>
          <w:tcPr>
            <w:tcW w:type="dxa" w:w="978"/>
            <w:vAlign w:val="center"/>
          </w:tcPr>
          <w:p>
            <w:pPr>
              <w:spacing w:before="20" w:after="20" w:line="260" w:lineRule="auto"/>
              <w:ind w:firstLine="0"/>
              <w:jc w:val="center"/>
            </w:pPr>
            <w:r>
              <w:rPr>
                <w:sz w:val="20"/>
                <w:szCs w:val="20"/>
              </w:rPr>
              <w:t xml:space="preserve">1,52</w:t>
            </w:r>
          </w:p>
        </w:tc>
        <w:tc>
          <w:tcPr>
            <w:tcW w:type="dxa" w:w="979"/>
            <w:vAlign w:val="center"/>
          </w:tcPr>
          <w:p>
            <w:pPr>
              <w:spacing w:before="20" w:after="20" w:line="260" w:lineRule="auto"/>
              <w:ind w:firstLine="0"/>
              <w:jc w:val="center"/>
            </w:pPr>
            <w:r>
              <w:rPr>
                <w:sz w:val="20"/>
                <w:szCs w:val="20"/>
              </w:rPr>
              <w:t xml:space="preserve">76,52%</w:t>
            </w:r>
          </w:p>
        </w:tc>
      </w:tr>
      <w:tr>
        <w:trPr>
          <w:cantSplit/>
        </w:trPr>
        <w:tc>
          <w:tcPr>
            <w:tcW w:type="dxa" w:w="978"/>
            <w:vAlign w:val="center"/>
          </w:tcPr>
          <w:p>
            <w:pPr>
              <w:spacing w:before="20" w:after="20" w:line="260" w:lineRule="auto"/>
              <w:ind w:firstLine="0"/>
              <w:jc w:val="center"/>
            </w:pPr>
            <w:r>
              <w:rPr>
                <w:sz w:val="20"/>
                <w:szCs w:val="20"/>
              </w:rPr>
              <w:t xml:space="preserve">10</w:t>
            </w:r>
          </w:p>
        </w:tc>
        <w:tc>
          <w:tcPr>
            <w:tcW w:type="dxa" w:w="1246"/>
            <w:vAlign w:val="center"/>
          </w:tcPr>
          <w:p>
            <w:pPr>
              <w:spacing w:before="20" w:after="20" w:line="260" w:lineRule="auto"/>
              <w:ind w:firstLine="0"/>
              <w:jc w:val="left"/>
            </w:pPr>
            <w:r>
              <w:rPr>
                <w:sz w:val="20"/>
                <w:szCs w:val="20"/>
              </w:rPr>
              <w:t xml:space="preserve">Quito</w:t>
            </w:r>
          </w:p>
        </w:tc>
        <w:tc>
          <w:tcPr>
            <w:tcW w:type="dxa" w:w="978"/>
            <w:vAlign w:val="center"/>
          </w:tcPr>
          <w:p>
            <w:pPr>
              <w:spacing w:before="20" w:after="20" w:line="260" w:lineRule="auto"/>
              <w:ind w:firstLine="0"/>
              <w:jc w:val="left"/>
            </w:pPr>
            <w:r>
              <w:rPr>
                <w:sz w:val="20"/>
                <w:szCs w:val="20"/>
              </w:rPr>
              <w:t xml:space="preserve">C</w:t>
            </w:r>
          </w:p>
        </w:tc>
        <w:tc>
          <w:tcPr>
            <w:tcW w:type="dxa" w:w="978"/>
            <w:vAlign w:val="center"/>
          </w:tcPr>
          <w:p>
            <w:pPr>
              <w:spacing w:before="20" w:after="20" w:line="260" w:lineRule="auto"/>
              <w:ind w:firstLine="0"/>
              <w:jc w:val="center"/>
            </w:pPr>
            <w:r>
              <w:rPr>
                <w:sz w:val="20"/>
                <w:szCs w:val="20"/>
              </w:rPr>
              <w:t xml:space="preserve">15</w:t>
            </w:r>
          </w:p>
        </w:tc>
        <w:tc>
          <w:tcPr>
            <w:tcW w:type="dxa" w:w="978"/>
            <w:vAlign w:val="center"/>
          </w:tcPr>
          <w:p>
            <w:pPr>
              <w:spacing w:before="20" w:after="20" w:line="260" w:lineRule="auto"/>
              <w:ind w:firstLine="0"/>
              <w:jc w:val="center"/>
            </w:pPr>
            <w:r>
              <w:rPr>
                <w:sz w:val="20"/>
                <w:szCs w:val="20"/>
              </w:rPr>
              <w:t xml:space="preserve">114.856</w:t>
            </w:r>
          </w:p>
        </w:tc>
        <w:tc>
          <w:tcPr>
            <w:tcW w:type="dxa" w:w="978"/>
            <w:vAlign w:val="center"/>
          </w:tcPr>
          <w:p>
            <w:pPr>
              <w:spacing w:before="20" w:after="20" w:line="260" w:lineRule="auto"/>
              <w:ind w:firstLine="0"/>
              <w:jc w:val="center"/>
            </w:pPr>
            <w:r>
              <w:rPr>
                <w:sz w:val="20"/>
                <w:szCs w:val="20"/>
              </w:rPr>
              <w:t xml:space="preserve">104.297</w:t>
            </w:r>
          </w:p>
        </w:tc>
        <w:tc>
          <w:tcPr>
            <w:tcW w:type="dxa" w:w="978"/>
            <w:vAlign w:val="center"/>
          </w:tcPr>
          <w:p>
            <w:pPr>
              <w:spacing w:before="20" w:after="20" w:line="260" w:lineRule="auto"/>
              <w:ind w:firstLine="0"/>
              <w:jc w:val="center"/>
            </w:pPr>
            <w:r>
              <w:rPr>
                <w:sz w:val="20"/>
                <w:szCs w:val="20"/>
              </w:rPr>
              <w:t xml:space="preserve">15,62%</w:t>
            </w:r>
          </w:p>
        </w:tc>
        <w:tc>
          <w:tcPr>
            <w:tcW w:type="dxa" w:w="978"/>
            <w:vAlign w:val="center"/>
          </w:tcPr>
          <w:p>
            <w:pPr>
              <w:spacing w:before="20" w:after="20" w:line="260" w:lineRule="auto"/>
              <w:ind w:firstLine="0"/>
              <w:jc w:val="center"/>
            </w:pPr>
            <w:r>
              <w:rPr>
                <w:sz w:val="20"/>
                <w:szCs w:val="20"/>
              </w:rPr>
              <w:t xml:space="preserve">20,00</w:t>
            </w:r>
          </w:p>
        </w:tc>
        <w:tc>
          <w:tcPr>
            <w:tcW w:type="dxa" w:w="979"/>
            <w:vAlign w:val="center"/>
          </w:tcPr>
          <w:p>
            <w:pPr>
              <w:spacing w:before="20" w:after="20" w:line="260" w:lineRule="auto"/>
              <w:ind w:firstLine="0"/>
              <w:jc w:val="center"/>
            </w:pPr>
            <w:r>
              <w:rPr>
                <w:sz w:val="20"/>
                <w:szCs w:val="20"/>
              </w:rPr>
              <w:t xml:space="preserve">79,36%</w:t>
            </w:r>
          </w:p>
        </w:tc>
      </w:tr>
      <w:tr>
        <w:trPr>
          <w:cantSplit/>
        </w:trPr>
        <w:tc>
          <w:tcPr>
            <w:tcW w:type="dxa" w:w="978"/>
            <w:vAlign w:val="center"/>
          </w:tcPr>
          <w:p>
            <w:pPr>
              <w:spacing w:before="20" w:after="20" w:line="260" w:lineRule="auto"/>
              <w:ind w:firstLine="0"/>
              <w:jc w:val="center"/>
            </w:pPr>
            <w:r>
              <w:rPr>
                <w:sz w:val="20"/>
                <w:szCs w:val="20"/>
              </w:rPr>
              <w:t xml:space="preserve">11</w:t>
            </w:r>
          </w:p>
        </w:tc>
        <w:tc>
          <w:tcPr>
            <w:tcW w:type="dxa" w:w="1246"/>
            <w:vAlign w:val="center"/>
          </w:tcPr>
          <w:p>
            <w:pPr>
              <w:spacing w:before="20" w:after="20" w:line="260" w:lineRule="auto"/>
              <w:ind w:firstLine="0"/>
              <w:jc w:val="left"/>
            </w:pPr>
            <w:r>
              <w:rPr>
                <w:sz w:val="20"/>
                <w:szCs w:val="20"/>
              </w:rPr>
              <w:t xml:space="preserve">Cayambe</w:t>
            </w:r>
          </w:p>
        </w:tc>
        <w:tc>
          <w:tcPr>
            <w:tcW w:type="dxa" w:w="978"/>
            <w:vAlign w:val="center"/>
          </w:tcPr>
          <w:p>
            <w:pPr>
              <w:spacing w:before="20" w:after="20" w:line="260" w:lineRule="auto"/>
              <w:ind w:firstLine="0"/>
              <w:jc w:val="left"/>
            </w:pPr>
            <w:r>
              <w:rPr>
                <w:sz w:val="20"/>
                <w:szCs w:val="20"/>
              </w:rPr>
              <w:t xml:space="preserve">B</w:t>
            </w:r>
          </w:p>
        </w:tc>
        <w:tc>
          <w:tcPr>
            <w:tcW w:type="dxa" w:w="978"/>
            <w:vAlign w:val="center"/>
          </w:tcPr>
          <w:p>
            <w:pPr>
              <w:spacing w:before="20" w:after="20" w:line="260" w:lineRule="auto"/>
              <w:ind w:firstLine="0"/>
              <w:jc w:val="center"/>
            </w:pPr>
            <w:r>
              <w:rPr>
                <w:sz w:val="20"/>
                <w:szCs w:val="20"/>
              </w:rPr>
              <w:t xml:space="preserve">6</w:t>
            </w:r>
          </w:p>
        </w:tc>
        <w:tc>
          <w:tcPr>
            <w:tcW w:type="dxa" w:w="978"/>
            <w:vAlign w:val="center"/>
          </w:tcPr>
          <w:p>
            <w:pPr>
              <w:spacing w:before="20" w:after="20" w:line="260" w:lineRule="auto"/>
              <w:ind w:firstLine="0"/>
              <w:jc w:val="center"/>
            </w:pPr>
            <w:r>
              <w:rPr>
                <w:sz w:val="20"/>
                <w:szCs w:val="20"/>
              </w:rPr>
              <w:t xml:space="preserve">340.284</w:t>
            </w:r>
          </w:p>
        </w:tc>
        <w:tc>
          <w:tcPr>
            <w:tcW w:type="dxa" w:w="978"/>
            <w:vAlign w:val="center"/>
          </w:tcPr>
          <w:p>
            <w:pPr>
              <w:spacing w:before="20" w:after="20" w:line="260" w:lineRule="auto"/>
              <w:ind w:firstLine="0"/>
              <w:jc w:val="center"/>
            </w:pPr>
            <w:r>
              <w:rPr>
                <w:sz w:val="20"/>
                <w:szCs w:val="20"/>
              </w:rPr>
              <w:t xml:space="preserve">335.313</w:t>
            </w:r>
          </w:p>
        </w:tc>
        <w:tc>
          <w:tcPr>
            <w:tcW w:type="dxa" w:w="978"/>
            <w:vAlign w:val="center"/>
          </w:tcPr>
          <w:p>
            <w:pPr>
              <w:spacing w:before="20" w:after="20" w:line="260" w:lineRule="auto"/>
              <w:ind w:firstLine="0"/>
              <w:jc w:val="center"/>
            </w:pPr>
            <w:r>
              <w:rPr>
                <w:sz w:val="20"/>
                <w:szCs w:val="20"/>
              </w:rPr>
              <w:t xml:space="preserve">9,91%</w:t>
            </w:r>
          </w:p>
        </w:tc>
        <w:tc>
          <w:tcPr>
            <w:tcW w:type="dxa" w:w="978"/>
            <w:vAlign w:val="center"/>
          </w:tcPr>
          <w:p>
            <w:pPr>
              <w:spacing w:before="20" w:after="20" w:line="260" w:lineRule="auto"/>
              <w:ind w:firstLine="0"/>
              <w:jc w:val="center"/>
            </w:pPr>
            <w:r>
              <w:rPr>
                <w:sz w:val="20"/>
                <w:szCs w:val="20"/>
              </w:rPr>
              <w:t xml:space="preserve">9,41</w:t>
            </w:r>
          </w:p>
        </w:tc>
        <w:tc>
          <w:tcPr>
            <w:tcW w:type="dxa" w:w="979"/>
            <w:vAlign w:val="center"/>
          </w:tcPr>
          <w:p>
            <w:pPr>
              <w:spacing w:before="20" w:after="20" w:line="260" w:lineRule="auto"/>
              <w:ind w:firstLine="0"/>
              <w:jc w:val="center"/>
            </w:pPr>
            <w:r>
              <w:rPr>
                <w:sz w:val="20"/>
                <w:szCs w:val="20"/>
              </w:rPr>
              <w:t xml:space="preserve">75,00%</w:t>
            </w:r>
          </w:p>
        </w:tc>
      </w:tr>
      <w:tr>
        <w:trPr>
          <w:cantSplit/>
        </w:trPr>
        <w:tc>
          <w:tcPr>
            <w:tcW w:type="dxa" w:w="978"/>
            <w:vAlign w:val="center"/>
          </w:tcPr>
          <w:p>
            <w:pPr>
              <w:spacing w:before="20" w:after="20" w:line="260" w:lineRule="auto"/>
              <w:ind w:firstLine="0"/>
              <w:jc w:val="center"/>
            </w:pPr>
            <w:r>
              <w:rPr>
                <w:sz w:val="20"/>
                <w:szCs w:val="20"/>
              </w:rPr>
              <w:t xml:space="preserve">12</w:t>
            </w:r>
          </w:p>
        </w:tc>
        <w:tc>
          <w:tcPr>
            <w:tcW w:type="dxa" w:w="1246"/>
            <w:vAlign w:val="center"/>
          </w:tcPr>
          <w:p>
            <w:pPr>
              <w:spacing w:before="20" w:after="20" w:line="260" w:lineRule="auto"/>
              <w:ind w:firstLine="0"/>
              <w:jc w:val="left"/>
            </w:pPr>
            <w:r>
              <w:rPr>
                <w:sz w:val="20"/>
                <w:szCs w:val="20"/>
              </w:rPr>
              <w:t xml:space="preserve">Latacunga</w:t>
            </w:r>
          </w:p>
        </w:tc>
        <w:tc>
          <w:tcPr>
            <w:tcW w:type="dxa" w:w="978"/>
            <w:vAlign w:val="center"/>
          </w:tcPr>
          <w:p>
            <w:pPr>
              <w:spacing w:before="20" w:after="20" w:line="260" w:lineRule="auto"/>
              <w:ind w:firstLine="0"/>
              <w:jc w:val="left"/>
            </w:pPr>
            <w:r>
              <w:rPr>
                <w:sz w:val="20"/>
                <w:szCs w:val="20"/>
              </w:rPr>
              <w:t xml:space="preserve">C</w:t>
            </w:r>
          </w:p>
        </w:tc>
        <w:tc>
          <w:tcPr>
            <w:tcW w:type="dxa" w:w="978"/>
            <w:vAlign w:val="center"/>
          </w:tcPr>
          <w:p>
            <w:pPr>
              <w:spacing w:before="20" w:after="20" w:line="260" w:lineRule="auto"/>
              <w:ind w:firstLine="0"/>
              <w:jc w:val="center"/>
            </w:pPr>
            <w:r>
              <w:rPr>
                <w:sz w:val="20"/>
                <w:szCs w:val="20"/>
              </w:rPr>
              <w:t xml:space="preserve">15</w:t>
            </w:r>
          </w:p>
        </w:tc>
        <w:tc>
          <w:tcPr>
            <w:tcW w:type="dxa" w:w="978"/>
            <w:vAlign w:val="center"/>
          </w:tcPr>
          <w:p>
            <w:pPr>
              <w:spacing w:before="20" w:after="20" w:line="260" w:lineRule="auto"/>
              <w:ind w:firstLine="0"/>
              <w:jc w:val="center"/>
            </w:pPr>
            <w:r>
              <w:rPr>
                <w:sz w:val="20"/>
                <w:szCs w:val="20"/>
              </w:rPr>
              <w:t xml:space="preserve">123.828</w:t>
            </w:r>
          </w:p>
        </w:tc>
        <w:tc>
          <w:tcPr>
            <w:tcW w:type="dxa" w:w="978"/>
            <w:vAlign w:val="center"/>
          </w:tcPr>
          <w:p>
            <w:pPr>
              <w:spacing w:before="20" w:after="20" w:line="260" w:lineRule="auto"/>
              <w:ind w:firstLine="0"/>
              <w:jc w:val="center"/>
            </w:pPr>
            <w:r>
              <w:rPr>
                <w:sz w:val="20"/>
                <w:szCs w:val="20"/>
              </w:rPr>
              <w:t xml:space="preserve">126.839</w:t>
            </w:r>
          </w:p>
        </w:tc>
        <w:tc>
          <w:tcPr>
            <w:tcW w:type="dxa" w:w="978"/>
            <w:vAlign w:val="center"/>
          </w:tcPr>
          <w:p>
            <w:pPr>
              <w:spacing w:before="20" w:after="20" w:line="260" w:lineRule="auto"/>
              <w:ind w:firstLine="0"/>
              <w:jc w:val="center"/>
            </w:pPr>
            <w:r>
              <w:rPr>
                <w:sz w:val="20"/>
                <w:szCs w:val="20"/>
              </w:rPr>
              <w:t xml:space="preserve">16,54%</w:t>
            </w:r>
          </w:p>
        </w:tc>
        <w:tc>
          <w:tcPr>
            <w:tcW w:type="dxa" w:w="978"/>
            <w:vAlign w:val="center"/>
          </w:tcPr>
          <w:p>
            <w:pPr>
              <w:spacing w:before="20" w:after="20" w:line="260" w:lineRule="auto"/>
              <w:ind w:firstLine="0"/>
              <w:jc w:val="center"/>
            </w:pPr>
            <w:r>
              <w:rPr>
                <w:sz w:val="20"/>
                <w:szCs w:val="20"/>
              </w:rPr>
              <w:t xml:space="preserve">−5,70</w:t>
            </w:r>
          </w:p>
        </w:tc>
        <w:tc>
          <w:tcPr>
            <w:tcW w:type="dxa" w:w="979"/>
            <w:vAlign w:val="center"/>
          </w:tcPr>
          <w:p>
            <w:pPr>
              <w:spacing w:before="20" w:after="20" w:line="260" w:lineRule="auto"/>
              <w:ind w:firstLine="0"/>
              <w:jc w:val="center"/>
            </w:pPr>
            <w:r>
              <w:rPr>
                <w:sz w:val="20"/>
                <w:szCs w:val="20"/>
              </w:rPr>
              <w:t xml:space="preserve">74,24%</w:t>
            </w:r>
          </w:p>
        </w:tc>
      </w:tr>
      <w:tr>
        <w:trPr>
          <w:cantSplit/>
        </w:trPr>
        <w:tc>
          <w:tcPr>
            <w:tcW w:type="dxa" w:w="978"/>
            <w:vAlign w:val="center"/>
          </w:tcPr>
          <w:p>
            <w:pPr>
              <w:spacing w:before="20" w:after="20" w:line="260" w:lineRule="auto"/>
              <w:ind w:firstLine="0"/>
              <w:jc w:val="center"/>
            </w:pPr>
            <w:r>
              <w:rPr>
                <w:sz w:val="20"/>
                <w:szCs w:val="20"/>
              </w:rPr>
              <w:t xml:space="preserve">13</w:t>
            </w:r>
          </w:p>
        </w:tc>
        <w:tc>
          <w:tcPr>
            <w:tcW w:type="dxa" w:w="1246"/>
            <w:vAlign w:val="center"/>
          </w:tcPr>
          <w:p>
            <w:pPr>
              <w:spacing w:before="20" w:after="20" w:line="260" w:lineRule="auto"/>
              <w:ind w:firstLine="0"/>
              <w:jc w:val="left"/>
            </w:pPr>
            <w:r>
              <w:rPr>
                <w:sz w:val="20"/>
                <w:szCs w:val="20"/>
              </w:rPr>
              <w:t xml:space="preserve">Latacunga</w:t>
            </w:r>
          </w:p>
        </w:tc>
        <w:tc>
          <w:tcPr>
            <w:tcW w:type="dxa" w:w="978"/>
            <w:vAlign w:val="center"/>
          </w:tcPr>
          <w:p>
            <w:pPr>
              <w:spacing w:before="20" w:after="20" w:line="260" w:lineRule="auto"/>
              <w:ind w:firstLine="0"/>
              <w:jc w:val="left"/>
            </w:pPr>
            <w:r>
              <w:rPr>
                <w:sz w:val="20"/>
                <w:szCs w:val="20"/>
              </w:rPr>
              <w:t xml:space="preserve">C</w:t>
            </w:r>
          </w:p>
        </w:tc>
        <w:tc>
          <w:tcPr>
            <w:tcW w:type="dxa" w:w="978"/>
            <w:vAlign w:val="center"/>
          </w:tcPr>
          <w:p>
            <w:pPr>
              <w:spacing w:before="20" w:after="20" w:line="260" w:lineRule="auto"/>
              <w:ind w:firstLine="0"/>
              <w:jc w:val="center"/>
            </w:pPr>
            <w:r>
              <w:rPr>
                <w:sz w:val="20"/>
                <w:szCs w:val="20"/>
              </w:rPr>
              <w:t xml:space="preserve">15</w:t>
            </w:r>
          </w:p>
        </w:tc>
        <w:tc>
          <w:tcPr>
            <w:tcW w:type="dxa" w:w="978"/>
            <w:vAlign w:val="center"/>
          </w:tcPr>
          <w:p>
            <w:pPr>
              <w:spacing w:before="20" w:after="20" w:line="260" w:lineRule="auto"/>
              <w:ind w:firstLine="0"/>
              <w:jc w:val="center"/>
            </w:pPr>
            <w:r>
              <w:rPr>
                <w:sz w:val="20"/>
                <w:szCs w:val="20"/>
              </w:rPr>
              <w:t xml:space="preserve">114.922</w:t>
            </w:r>
          </w:p>
        </w:tc>
        <w:tc>
          <w:tcPr>
            <w:tcW w:type="dxa" w:w="978"/>
            <w:vAlign w:val="center"/>
          </w:tcPr>
          <w:p>
            <w:pPr>
              <w:spacing w:before="20" w:after="20" w:line="260" w:lineRule="auto"/>
              <w:ind w:firstLine="0"/>
              <w:jc w:val="center"/>
            </w:pPr>
            <w:r>
              <w:rPr>
                <w:sz w:val="20"/>
                <w:szCs w:val="20"/>
              </w:rPr>
              <w:t xml:space="preserve">111.254</w:t>
            </w:r>
          </w:p>
        </w:tc>
        <w:tc>
          <w:tcPr>
            <w:tcW w:type="dxa" w:w="978"/>
            <w:vAlign w:val="center"/>
          </w:tcPr>
          <w:p>
            <w:pPr>
              <w:spacing w:before="20" w:after="20" w:line="260" w:lineRule="auto"/>
              <w:ind w:firstLine="0"/>
              <w:jc w:val="center"/>
            </w:pPr>
            <w:r>
              <w:rPr>
                <w:sz w:val="20"/>
                <w:szCs w:val="20"/>
              </w:rPr>
              <w:t xml:space="preserve">15,60%</w:t>
            </w:r>
          </w:p>
        </w:tc>
        <w:tc>
          <w:tcPr>
            <w:tcW w:type="dxa" w:w="978"/>
            <w:vAlign w:val="center"/>
          </w:tcPr>
          <w:p>
            <w:pPr>
              <w:spacing w:before="20" w:after="20" w:line="260" w:lineRule="auto"/>
              <w:ind w:firstLine="0"/>
              <w:jc w:val="center"/>
            </w:pPr>
            <w:r>
              <w:rPr>
                <w:sz w:val="20"/>
                <w:szCs w:val="20"/>
              </w:rPr>
              <w:t xml:space="preserve">6,95</w:t>
            </w:r>
          </w:p>
        </w:tc>
        <w:tc>
          <w:tcPr>
            <w:tcW w:type="dxa" w:w="979"/>
            <w:vAlign w:val="center"/>
          </w:tcPr>
          <w:p>
            <w:pPr>
              <w:spacing w:before="20" w:after="20" w:line="260" w:lineRule="auto"/>
              <w:ind w:firstLine="0"/>
              <w:jc w:val="center"/>
            </w:pPr>
            <w:r>
              <w:rPr>
                <w:sz w:val="20"/>
                <w:szCs w:val="20"/>
              </w:rPr>
              <w:t xml:space="preserve">80,11%</w:t>
            </w:r>
          </w:p>
        </w:tc>
      </w:tr>
      <w:tr>
        <w:trPr>
          <w:cantSplit/>
        </w:trPr>
        <w:tc>
          <w:tcPr>
            <w:tcW w:type="dxa" w:w="978"/>
            <w:vAlign w:val="center"/>
          </w:tcPr>
          <w:p>
            <w:pPr>
              <w:spacing w:before="20" w:after="20" w:line="260" w:lineRule="auto"/>
              <w:ind w:firstLine="0"/>
              <w:jc w:val="center"/>
            </w:pPr>
            <w:r>
              <w:rPr>
                <w:sz w:val="20"/>
                <w:szCs w:val="20"/>
              </w:rPr>
              <w:t xml:space="preserve">14</w:t>
            </w:r>
          </w:p>
        </w:tc>
        <w:tc>
          <w:tcPr>
            <w:tcW w:type="dxa" w:w="1246"/>
            <w:vAlign w:val="center"/>
          </w:tcPr>
          <w:p>
            <w:pPr>
              <w:spacing w:before="20" w:after="20" w:line="260" w:lineRule="auto"/>
              <w:ind w:firstLine="0"/>
              <w:jc w:val="left"/>
            </w:pPr>
            <w:r>
              <w:rPr>
                <w:sz w:val="20"/>
                <w:szCs w:val="20"/>
              </w:rPr>
              <w:t xml:space="preserve">Riobamba</w:t>
            </w:r>
          </w:p>
        </w:tc>
        <w:tc>
          <w:tcPr>
            <w:tcW w:type="dxa" w:w="978"/>
            <w:vAlign w:val="center"/>
          </w:tcPr>
          <w:p>
            <w:pPr>
              <w:spacing w:before="20" w:after="20" w:line="260" w:lineRule="auto"/>
              <w:ind w:firstLine="0"/>
              <w:jc w:val="left"/>
            </w:pPr>
            <w:r>
              <w:rPr>
                <w:sz w:val="20"/>
                <w:szCs w:val="20"/>
              </w:rPr>
              <w:t xml:space="preserve">C</w:t>
            </w:r>
          </w:p>
        </w:tc>
        <w:tc>
          <w:tcPr>
            <w:tcW w:type="dxa" w:w="978"/>
            <w:vAlign w:val="center"/>
          </w:tcPr>
          <w:p>
            <w:pPr>
              <w:spacing w:before="20" w:after="20" w:line="260" w:lineRule="auto"/>
              <w:ind w:firstLine="0"/>
              <w:jc w:val="center"/>
            </w:pPr>
            <w:r>
              <w:rPr>
                <w:sz w:val="20"/>
                <w:szCs w:val="20"/>
              </w:rPr>
              <w:t xml:space="preserve">7</w:t>
            </w:r>
          </w:p>
        </w:tc>
        <w:tc>
          <w:tcPr>
            <w:tcW w:type="dxa" w:w="978"/>
            <w:vAlign w:val="center"/>
          </w:tcPr>
          <w:p>
            <w:pPr>
              <w:spacing w:before="20" w:after="20" w:line="260" w:lineRule="auto"/>
              <w:ind w:firstLine="0"/>
              <w:jc w:val="center"/>
            </w:pPr>
            <w:r>
              <w:rPr>
                <w:sz w:val="20"/>
                <w:szCs w:val="20"/>
              </w:rPr>
              <w:t xml:space="preserve">136.648</w:t>
            </w:r>
          </w:p>
        </w:tc>
        <w:tc>
          <w:tcPr>
            <w:tcW w:type="dxa" w:w="978"/>
            <w:vAlign w:val="center"/>
          </w:tcPr>
          <w:p>
            <w:pPr>
              <w:spacing w:before="20" w:after="20" w:line="260" w:lineRule="auto"/>
              <w:ind w:firstLine="0"/>
              <w:jc w:val="center"/>
            </w:pPr>
            <w:r>
              <w:rPr>
                <w:sz w:val="20"/>
                <w:szCs w:val="20"/>
              </w:rPr>
              <w:t xml:space="preserve">131.168</w:t>
            </w:r>
          </w:p>
        </w:tc>
        <w:tc>
          <w:tcPr>
            <w:tcW w:type="dxa" w:w="978"/>
            <w:vAlign w:val="center"/>
          </w:tcPr>
          <w:p>
            <w:pPr>
              <w:spacing w:before="20" w:after="20" w:line="260" w:lineRule="auto"/>
              <w:ind w:firstLine="0"/>
              <w:jc w:val="center"/>
            </w:pPr>
            <w:r>
              <w:rPr>
                <w:sz w:val="20"/>
                <w:szCs w:val="20"/>
              </w:rPr>
              <w:t xml:space="preserve">19,44%</w:t>
            </w:r>
          </w:p>
        </w:tc>
        <w:tc>
          <w:tcPr>
            <w:tcW w:type="dxa" w:w="978"/>
            <w:vAlign w:val="center"/>
          </w:tcPr>
          <w:p>
            <w:pPr>
              <w:spacing w:before="20" w:after="20" w:line="260" w:lineRule="auto"/>
              <w:ind w:firstLine="0"/>
              <w:jc w:val="center"/>
            </w:pPr>
            <w:r>
              <w:rPr>
                <w:sz w:val="20"/>
                <w:szCs w:val="20"/>
              </w:rPr>
              <w:t xml:space="preserve">10,38</w:t>
            </w:r>
          </w:p>
        </w:tc>
        <w:tc>
          <w:tcPr>
            <w:tcW w:type="dxa" w:w="979"/>
            <w:vAlign w:val="center"/>
          </w:tcPr>
          <w:p>
            <w:pPr>
              <w:spacing w:before="20" w:after="20" w:line="260" w:lineRule="auto"/>
              <w:ind w:firstLine="0"/>
              <w:jc w:val="center"/>
            </w:pPr>
            <w:r>
              <w:rPr>
                <w:sz w:val="20"/>
                <w:szCs w:val="20"/>
              </w:rPr>
              <w:t xml:space="preserve">75,57%</w:t>
            </w:r>
          </w:p>
        </w:tc>
      </w:tr>
      <w:tr>
        <w:trPr>
          <w:cantSplit/>
        </w:trPr>
        <w:tc>
          <w:tcPr>
            <w:tcW w:type="dxa" w:w="978"/>
            <w:vAlign w:val="center"/>
          </w:tcPr>
          <w:p>
            <w:pPr>
              <w:spacing w:before="20" w:after="20" w:line="260" w:lineRule="auto"/>
              <w:ind w:firstLine="0"/>
              <w:jc w:val="center"/>
            </w:pPr>
            <w:r>
              <w:rPr>
                <w:sz w:val="20"/>
                <w:szCs w:val="20"/>
              </w:rPr>
              <w:t xml:space="preserve">15</w:t>
            </w:r>
          </w:p>
        </w:tc>
        <w:tc>
          <w:tcPr>
            <w:tcW w:type="dxa" w:w="1246"/>
            <w:vAlign w:val="center"/>
          </w:tcPr>
          <w:p>
            <w:pPr>
              <w:spacing w:before="20" w:after="20" w:line="260" w:lineRule="auto"/>
              <w:ind w:firstLine="0"/>
              <w:jc w:val="left"/>
            </w:pPr>
            <w:r>
              <w:rPr>
                <w:sz w:val="20"/>
                <w:szCs w:val="20"/>
              </w:rPr>
              <w:t xml:space="preserve">Ibarra</w:t>
            </w:r>
          </w:p>
        </w:tc>
        <w:tc>
          <w:tcPr>
            <w:tcW w:type="dxa" w:w="978"/>
            <w:vAlign w:val="center"/>
          </w:tcPr>
          <w:p>
            <w:pPr>
              <w:spacing w:before="20" w:after="20" w:line="260" w:lineRule="auto"/>
              <w:ind w:firstLine="0"/>
              <w:jc w:val="left"/>
            </w:pPr>
            <w:r>
              <w:rPr>
                <w:sz w:val="20"/>
                <w:szCs w:val="20"/>
              </w:rPr>
              <w:t xml:space="preserve">C</w:t>
            </w:r>
          </w:p>
        </w:tc>
        <w:tc>
          <w:tcPr>
            <w:tcW w:type="dxa" w:w="978"/>
            <w:vAlign w:val="center"/>
          </w:tcPr>
          <w:p>
            <w:pPr>
              <w:spacing w:before="20" w:after="20" w:line="260" w:lineRule="auto"/>
              <w:ind w:firstLine="0"/>
              <w:jc w:val="center"/>
            </w:pPr>
            <w:r>
              <w:rPr>
                <w:sz w:val="20"/>
                <w:szCs w:val="20"/>
              </w:rPr>
              <w:t xml:space="preserve">15</w:t>
            </w:r>
          </w:p>
        </w:tc>
        <w:tc>
          <w:tcPr>
            <w:tcW w:type="dxa" w:w="978"/>
            <w:vAlign w:val="center"/>
          </w:tcPr>
          <w:p>
            <w:pPr>
              <w:spacing w:before="20" w:after="20" w:line="260" w:lineRule="auto"/>
              <w:ind w:firstLine="0"/>
              <w:jc w:val="center"/>
            </w:pPr>
            <w:r>
              <w:rPr>
                <w:sz w:val="20"/>
                <w:szCs w:val="20"/>
              </w:rPr>
              <w:t xml:space="preserve">125.263</w:t>
            </w:r>
          </w:p>
        </w:tc>
        <w:tc>
          <w:tcPr>
            <w:tcW w:type="dxa" w:w="978"/>
            <w:vAlign w:val="center"/>
          </w:tcPr>
          <w:p>
            <w:pPr>
              <w:spacing w:before="20" w:after="20" w:line="260" w:lineRule="auto"/>
              <w:ind w:firstLine="0"/>
              <w:jc w:val="center"/>
            </w:pPr>
            <w:r>
              <w:rPr>
                <w:sz w:val="20"/>
                <w:szCs w:val="20"/>
              </w:rPr>
              <w:t xml:space="preserve">131.328</w:t>
            </w:r>
          </w:p>
        </w:tc>
        <w:tc>
          <w:tcPr>
            <w:tcW w:type="dxa" w:w="978"/>
            <w:vAlign w:val="center"/>
          </w:tcPr>
          <w:p>
            <w:pPr>
              <w:spacing w:before="20" w:after="20" w:line="260" w:lineRule="auto"/>
              <w:ind w:firstLine="0"/>
              <w:jc w:val="center"/>
            </w:pPr>
            <w:r>
              <w:rPr>
                <w:sz w:val="20"/>
                <w:szCs w:val="20"/>
              </w:rPr>
              <w:t xml:space="preserve">14,43%</w:t>
            </w:r>
          </w:p>
        </w:tc>
        <w:tc>
          <w:tcPr>
            <w:tcW w:type="dxa" w:w="978"/>
            <w:vAlign w:val="center"/>
          </w:tcPr>
          <w:p>
            <w:pPr>
              <w:spacing w:before="20" w:after="20" w:line="260" w:lineRule="auto"/>
              <w:ind w:firstLine="0"/>
              <w:jc w:val="center"/>
            </w:pPr>
            <w:r>
              <w:rPr>
                <w:sz w:val="20"/>
                <w:szCs w:val="20"/>
              </w:rPr>
              <w:t xml:space="preserve">−11,49</w:t>
            </w:r>
          </w:p>
        </w:tc>
        <w:tc>
          <w:tcPr>
            <w:tcW w:type="dxa" w:w="979"/>
            <w:vAlign w:val="center"/>
          </w:tcPr>
          <w:p>
            <w:pPr>
              <w:spacing w:before="20" w:after="20" w:line="260" w:lineRule="auto"/>
              <w:ind w:firstLine="0"/>
              <w:jc w:val="center"/>
            </w:pPr>
            <w:r>
              <w:rPr>
                <w:sz w:val="20"/>
                <w:szCs w:val="20"/>
              </w:rPr>
              <w:t xml:space="preserve">75,38%</w:t>
            </w:r>
          </w:p>
        </w:tc>
      </w:tr>
      <w:tr>
        <w:trPr>
          <w:cantSplit/>
        </w:trPr>
        <w:tc>
          <w:tcPr>
            <w:tcW w:type="dxa" w:w="978"/>
            <w:vAlign w:val="center"/>
          </w:tcPr>
          <w:p>
            <w:pPr>
              <w:spacing w:before="20" w:after="20" w:line="260" w:lineRule="auto"/>
              <w:ind w:firstLine="0"/>
              <w:jc w:val="center"/>
            </w:pPr>
            <w:r>
              <w:rPr>
                <w:sz w:val="20"/>
                <w:szCs w:val="20"/>
              </w:rPr>
              <w:t xml:space="preserve">16</w:t>
            </w:r>
          </w:p>
        </w:tc>
        <w:tc>
          <w:tcPr>
            <w:tcW w:type="dxa" w:w="1246"/>
            <w:vAlign w:val="center"/>
          </w:tcPr>
          <w:p>
            <w:pPr>
              <w:spacing w:before="20" w:after="20" w:line="260" w:lineRule="auto"/>
              <w:ind w:firstLine="0"/>
              <w:jc w:val="left"/>
            </w:pPr>
            <w:r>
              <w:rPr>
                <w:sz w:val="20"/>
                <w:szCs w:val="20"/>
              </w:rPr>
              <w:t xml:space="preserve">Santo Domingo</w:t>
            </w:r>
          </w:p>
        </w:tc>
        <w:tc>
          <w:tcPr>
            <w:tcW w:type="dxa" w:w="978"/>
            <w:vAlign w:val="center"/>
          </w:tcPr>
          <w:p>
            <w:pPr>
              <w:spacing w:before="20" w:after="20" w:line="260" w:lineRule="auto"/>
              <w:ind w:firstLine="0"/>
              <w:jc w:val="left"/>
            </w:pPr>
            <w:r>
              <w:rPr>
                <w:sz w:val="20"/>
                <w:szCs w:val="20"/>
              </w:rPr>
              <w:t xml:space="preserve">C</w:t>
            </w:r>
          </w:p>
        </w:tc>
        <w:tc>
          <w:tcPr>
            <w:tcW w:type="dxa" w:w="978"/>
            <w:vAlign w:val="center"/>
          </w:tcPr>
          <w:p>
            <w:pPr>
              <w:spacing w:before="20" w:after="20" w:line="260" w:lineRule="auto"/>
              <w:ind w:firstLine="0"/>
              <w:jc w:val="center"/>
            </w:pPr>
            <w:r>
              <w:rPr>
                <w:sz w:val="20"/>
                <w:szCs w:val="20"/>
              </w:rPr>
              <w:t xml:space="preserve">3</w:t>
            </w:r>
          </w:p>
        </w:tc>
        <w:tc>
          <w:tcPr>
            <w:tcW w:type="dxa" w:w="978"/>
            <w:vAlign w:val="center"/>
          </w:tcPr>
          <w:p>
            <w:pPr>
              <w:spacing w:before="20" w:after="20" w:line="260" w:lineRule="auto"/>
              <w:ind w:firstLine="0"/>
              <w:jc w:val="center"/>
            </w:pPr>
            <w:r>
              <w:rPr>
                <w:sz w:val="20"/>
                <w:szCs w:val="20"/>
              </w:rPr>
              <w:t xml:space="preserve">104.594</w:t>
            </w:r>
          </w:p>
        </w:tc>
        <w:tc>
          <w:tcPr>
            <w:tcW w:type="dxa" w:w="978"/>
            <w:vAlign w:val="center"/>
          </w:tcPr>
          <w:p>
            <w:pPr>
              <w:spacing w:before="20" w:after="20" w:line="260" w:lineRule="auto"/>
              <w:ind w:firstLine="0"/>
              <w:jc w:val="center"/>
            </w:pPr>
            <w:r>
              <w:rPr>
                <w:sz w:val="20"/>
                <w:szCs w:val="20"/>
              </w:rPr>
              <w:t xml:space="preserve">105.888</w:t>
            </w:r>
          </w:p>
        </w:tc>
        <w:tc>
          <w:tcPr>
            <w:tcW w:type="dxa" w:w="978"/>
            <w:vAlign w:val="center"/>
          </w:tcPr>
          <w:p>
            <w:pPr>
              <w:spacing w:before="20" w:after="20" w:line="260" w:lineRule="auto"/>
              <w:ind w:firstLine="0"/>
              <w:jc w:val="center"/>
            </w:pPr>
            <w:r>
              <w:rPr>
                <w:sz w:val="20"/>
                <w:szCs w:val="20"/>
              </w:rPr>
              <w:t xml:space="preserve">17,30%</w:t>
            </w:r>
          </w:p>
        </w:tc>
        <w:tc>
          <w:tcPr>
            <w:tcW w:type="dxa" w:w="978"/>
            <w:vAlign w:val="center"/>
          </w:tcPr>
          <w:p>
            <w:pPr>
              <w:spacing w:before="20" w:after="20" w:line="260" w:lineRule="auto"/>
              <w:ind w:firstLine="0"/>
              <w:jc w:val="center"/>
            </w:pPr>
            <w:r>
              <w:rPr>
                <w:sz w:val="20"/>
                <w:szCs w:val="20"/>
              </w:rPr>
              <w:t xml:space="preserve">−2,45</w:t>
            </w:r>
          </w:p>
        </w:tc>
        <w:tc>
          <w:tcPr>
            <w:tcW w:type="dxa" w:w="979"/>
            <w:vAlign w:val="center"/>
          </w:tcPr>
          <w:p>
            <w:pPr>
              <w:spacing w:before="20" w:after="20" w:line="260" w:lineRule="auto"/>
              <w:ind w:firstLine="0"/>
              <w:jc w:val="center"/>
            </w:pPr>
            <w:r>
              <w:rPr>
                <w:sz w:val="20"/>
                <w:szCs w:val="20"/>
              </w:rPr>
              <w:t xml:space="preserve">78,98%</w:t>
            </w:r>
          </w:p>
        </w:tc>
      </w:tr>
      <w:tr>
        <w:trPr>
          <w:cantSplit/>
        </w:trPr>
        <w:tc>
          <w:tcPr>
            <w:tcW w:type="dxa" w:w="978"/>
            <w:vAlign w:val="center"/>
          </w:tcPr>
          <w:p>
            <w:pPr>
              <w:spacing w:before="20" w:after="20" w:line="260" w:lineRule="auto"/>
              <w:ind w:firstLine="0"/>
              <w:jc w:val="center"/>
            </w:pPr>
            <w:r>
              <w:rPr>
                <w:sz w:val="20"/>
                <w:szCs w:val="20"/>
              </w:rPr>
              <w:t xml:space="preserve">17</w:t>
            </w:r>
          </w:p>
        </w:tc>
        <w:tc>
          <w:tcPr>
            <w:tcW w:type="dxa" w:w="1246"/>
            <w:vAlign w:val="center"/>
          </w:tcPr>
          <w:p>
            <w:pPr>
              <w:spacing w:before="20" w:after="20" w:line="260" w:lineRule="auto"/>
              <w:ind w:firstLine="0"/>
              <w:jc w:val="left"/>
            </w:pPr>
            <w:r>
              <w:rPr>
                <w:sz w:val="20"/>
                <w:szCs w:val="20"/>
              </w:rPr>
              <w:t xml:space="preserve">Quito</w:t>
            </w:r>
          </w:p>
        </w:tc>
        <w:tc>
          <w:tcPr>
            <w:tcW w:type="dxa" w:w="978"/>
            <w:vAlign w:val="center"/>
          </w:tcPr>
          <w:p>
            <w:pPr>
              <w:spacing w:before="20" w:after="20" w:line="260" w:lineRule="auto"/>
              <w:ind w:firstLine="0"/>
              <w:jc w:val="left"/>
            </w:pPr>
            <w:r>
              <w:rPr>
                <w:sz w:val="20"/>
                <w:szCs w:val="20"/>
              </w:rPr>
              <w:t xml:space="preserve">C</w:t>
            </w:r>
          </w:p>
        </w:tc>
        <w:tc>
          <w:tcPr>
            <w:tcW w:type="dxa" w:w="978"/>
            <w:vAlign w:val="center"/>
          </w:tcPr>
          <w:p>
            <w:pPr>
              <w:spacing w:before="20" w:after="20" w:line="260" w:lineRule="auto"/>
              <w:ind w:firstLine="0"/>
              <w:jc w:val="center"/>
            </w:pPr>
            <w:r>
              <w:rPr>
                <w:sz w:val="20"/>
                <w:szCs w:val="20"/>
              </w:rPr>
              <w:t xml:space="preserve">12</w:t>
            </w:r>
          </w:p>
        </w:tc>
        <w:tc>
          <w:tcPr>
            <w:tcW w:type="dxa" w:w="978"/>
            <w:vAlign w:val="center"/>
          </w:tcPr>
          <w:p>
            <w:pPr>
              <w:spacing w:before="20" w:after="20" w:line="260" w:lineRule="auto"/>
              <w:ind w:firstLine="0"/>
              <w:jc w:val="center"/>
            </w:pPr>
            <w:r>
              <w:rPr>
                <w:sz w:val="20"/>
                <w:szCs w:val="20"/>
              </w:rPr>
              <w:t xml:space="preserve">220.880</w:t>
            </w:r>
          </w:p>
        </w:tc>
        <w:tc>
          <w:tcPr>
            <w:tcW w:type="dxa" w:w="978"/>
            <w:vAlign w:val="center"/>
          </w:tcPr>
          <w:p>
            <w:pPr>
              <w:spacing w:before="20" w:after="20" w:line="260" w:lineRule="auto"/>
              <w:ind w:firstLine="0"/>
              <w:jc w:val="center"/>
            </w:pPr>
            <w:r>
              <w:rPr>
                <w:sz w:val="20"/>
                <w:szCs w:val="20"/>
              </w:rPr>
              <w:t xml:space="preserve">231.242</w:t>
            </w:r>
          </w:p>
        </w:tc>
        <w:tc>
          <w:tcPr>
            <w:tcW w:type="dxa" w:w="978"/>
            <w:vAlign w:val="center"/>
          </w:tcPr>
          <w:p>
            <w:pPr>
              <w:spacing w:before="20" w:after="20" w:line="260" w:lineRule="auto"/>
              <w:ind w:firstLine="0"/>
              <w:jc w:val="center"/>
            </w:pPr>
            <w:r>
              <w:rPr>
                <w:sz w:val="20"/>
                <w:szCs w:val="20"/>
              </w:rPr>
              <w:t xml:space="preserve">11,18%</w:t>
            </w:r>
          </w:p>
        </w:tc>
        <w:tc>
          <w:tcPr>
            <w:tcW w:type="dxa" w:w="978"/>
            <w:vAlign w:val="center"/>
          </w:tcPr>
          <w:p>
            <w:pPr>
              <w:spacing w:before="20" w:after="20" w:line="260" w:lineRule="auto"/>
              <w:ind w:firstLine="0"/>
              <w:jc w:val="center"/>
            </w:pPr>
            <w:r>
              <w:rPr>
                <w:sz w:val="20"/>
                <w:szCs w:val="20"/>
              </w:rPr>
              <w:t xml:space="preserve">−19,62</w:t>
            </w:r>
          </w:p>
        </w:tc>
        <w:tc>
          <w:tcPr>
            <w:tcW w:type="dxa" w:w="979"/>
            <w:vAlign w:val="center"/>
          </w:tcPr>
          <w:p>
            <w:pPr>
              <w:spacing w:before="20" w:after="20" w:line="260" w:lineRule="auto"/>
              <w:ind w:firstLine="0"/>
              <w:jc w:val="center"/>
            </w:pPr>
            <w:r>
              <w:rPr>
                <w:sz w:val="20"/>
                <w:szCs w:val="20"/>
              </w:rPr>
              <w:t xml:space="preserve">78,79%</w:t>
            </w:r>
          </w:p>
        </w:tc>
      </w:tr>
      <w:tr>
        <w:trPr>
          <w:cantSplit/>
        </w:trPr>
        <w:tc>
          <w:tcPr>
            <w:tcW w:type="dxa" w:w="978"/>
            <w:vAlign w:val="center"/>
          </w:tcPr>
          <w:p>
            <w:pPr>
              <w:spacing w:before="20" w:after="20" w:line="260" w:lineRule="auto"/>
              <w:ind w:firstLine="0"/>
              <w:jc w:val="center"/>
            </w:pPr>
            <w:r>
              <w:rPr>
                <w:sz w:val="20"/>
                <w:szCs w:val="20"/>
              </w:rPr>
              <w:t xml:space="preserve">18</w:t>
            </w:r>
          </w:p>
        </w:tc>
        <w:tc>
          <w:tcPr>
            <w:tcW w:type="dxa" w:w="1246"/>
            <w:vAlign w:val="center"/>
          </w:tcPr>
          <w:p>
            <w:pPr>
              <w:spacing w:before="20" w:after="20" w:line="260" w:lineRule="auto"/>
              <w:ind w:firstLine="0"/>
              <w:jc w:val="left"/>
            </w:pPr>
            <w:r>
              <w:rPr>
                <w:sz w:val="20"/>
                <w:szCs w:val="20"/>
              </w:rPr>
              <w:t xml:space="preserve">Quito</w:t>
            </w:r>
          </w:p>
        </w:tc>
        <w:tc>
          <w:tcPr>
            <w:tcW w:type="dxa" w:w="978"/>
            <w:vAlign w:val="center"/>
          </w:tcPr>
          <w:p>
            <w:pPr>
              <w:spacing w:before="20" w:after="20" w:line="260" w:lineRule="auto"/>
              <w:ind w:firstLine="0"/>
              <w:jc w:val="left"/>
            </w:pPr>
            <w:r>
              <w:rPr>
                <w:sz w:val="20"/>
                <w:szCs w:val="20"/>
              </w:rPr>
              <w:t xml:space="preserve">B</w:t>
            </w:r>
          </w:p>
        </w:tc>
        <w:tc>
          <w:tcPr>
            <w:tcW w:type="dxa" w:w="978"/>
            <w:vAlign w:val="center"/>
          </w:tcPr>
          <w:p>
            <w:pPr>
              <w:spacing w:before="20" w:after="20" w:line="260" w:lineRule="auto"/>
              <w:ind w:firstLine="0"/>
              <w:jc w:val="center"/>
            </w:pPr>
            <w:r>
              <w:rPr>
                <w:sz w:val="20"/>
                <w:szCs w:val="20"/>
              </w:rPr>
              <w:t xml:space="preserve">16</w:t>
            </w:r>
          </w:p>
        </w:tc>
        <w:tc>
          <w:tcPr>
            <w:tcW w:type="dxa" w:w="978"/>
            <w:vAlign w:val="center"/>
          </w:tcPr>
          <w:p>
            <w:pPr>
              <w:spacing w:before="20" w:after="20" w:line="260" w:lineRule="auto"/>
              <w:ind w:firstLine="0"/>
              <w:jc w:val="center"/>
            </w:pPr>
            <w:r>
              <w:rPr>
                <w:sz w:val="20"/>
                <w:szCs w:val="20"/>
              </w:rPr>
              <w:t xml:space="preserve">162.414</w:t>
            </w:r>
          </w:p>
        </w:tc>
        <w:tc>
          <w:tcPr>
            <w:tcW w:type="dxa" w:w="978"/>
            <w:vAlign w:val="center"/>
          </w:tcPr>
          <w:p>
            <w:pPr>
              <w:spacing w:before="20" w:after="20" w:line="260" w:lineRule="auto"/>
              <w:ind w:firstLine="0"/>
              <w:jc w:val="center"/>
            </w:pPr>
            <w:r>
              <w:rPr>
                <w:sz w:val="20"/>
                <w:szCs w:val="20"/>
              </w:rPr>
              <w:t xml:space="preserve">182.314</w:t>
            </w:r>
          </w:p>
        </w:tc>
        <w:tc>
          <w:tcPr>
            <w:tcW w:type="dxa" w:w="978"/>
            <w:vAlign w:val="center"/>
          </w:tcPr>
          <w:p>
            <w:pPr>
              <w:spacing w:before="20" w:after="20" w:line="260" w:lineRule="auto"/>
              <w:ind w:firstLine="0"/>
              <w:jc w:val="center"/>
            </w:pPr>
            <w:r>
              <w:rPr>
                <w:sz w:val="20"/>
                <w:szCs w:val="20"/>
              </w:rPr>
              <w:t xml:space="preserve">15,89%</w:t>
            </w:r>
          </w:p>
        </w:tc>
        <w:tc>
          <w:tcPr>
            <w:tcW w:type="dxa" w:w="978"/>
            <w:vAlign w:val="center"/>
          </w:tcPr>
          <w:p>
            <w:pPr>
              <w:spacing w:before="20" w:after="20" w:line="260" w:lineRule="auto"/>
              <w:ind w:firstLine="0"/>
              <w:jc w:val="center"/>
            </w:pPr>
            <w:r>
              <w:rPr>
                <w:sz w:val="20"/>
                <w:szCs w:val="20"/>
              </w:rPr>
              <w:t xml:space="preserve">−37,69</w:t>
            </w:r>
          </w:p>
        </w:tc>
        <w:tc>
          <w:tcPr>
            <w:tcW w:type="dxa" w:w="979"/>
            <w:vAlign w:val="center"/>
          </w:tcPr>
          <w:p>
            <w:pPr>
              <w:spacing w:before="20" w:after="20" w:line="260" w:lineRule="auto"/>
              <w:ind w:firstLine="0"/>
              <w:jc w:val="center"/>
            </w:pPr>
            <w:r>
              <w:rPr>
                <w:sz w:val="20"/>
                <w:szCs w:val="20"/>
              </w:rPr>
              <w:t xml:space="preserve">75,57%</w:t>
            </w:r>
          </w:p>
        </w:tc>
      </w:tr>
      <w:tr>
        <w:trPr>
          <w:cantSplit/>
        </w:trPr>
        <w:tc>
          <w:tcPr>
            <w:tcW w:type="dxa" w:w="978"/>
            <w:vAlign w:val="center"/>
          </w:tcPr>
          <w:p>
            <w:pPr>
              <w:spacing w:before="20" w:after="20" w:line="260" w:lineRule="auto"/>
              <w:ind w:firstLine="0"/>
              <w:jc w:val="center"/>
            </w:pPr>
            <w:r>
              <w:rPr>
                <w:sz w:val="20"/>
                <w:szCs w:val="20"/>
              </w:rPr>
              <w:t xml:space="preserve">19</w:t>
            </w:r>
          </w:p>
        </w:tc>
        <w:tc>
          <w:tcPr>
            <w:tcW w:type="dxa" w:w="1246"/>
            <w:vAlign w:val="center"/>
          </w:tcPr>
          <w:p>
            <w:pPr>
              <w:spacing w:before="20" w:after="20" w:line="260" w:lineRule="auto"/>
              <w:ind w:firstLine="0"/>
              <w:jc w:val="left"/>
            </w:pPr>
            <w:r>
              <w:rPr>
                <w:sz w:val="20"/>
                <w:szCs w:val="20"/>
              </w:rPr>
              <w:t xml:space="preserve">Guaranda</w:t>
            </w:r>
          </w:p>
        </w:tc>
        <w:tc>
          <w:tcPr>
            <w:tcW w:type="dxa" w:w="978"/>
            <w:vAlign w:val="center"/>
          </w:tcPr>
          <w:p>
            <w:pPr>
              <w:spacing w:before="20" w:after="20" w:line="260" w:lineRule="auto"/>
              <w:ind w:firstLine="0"/>
              <w:jc w:val="left"/>
            </w:pPr>
            <w:r>
              <w:rPr>
                <w:sz w:val="20"/>
                <w:szCs w:val="20"/>
              </w:rPr>
              <w:t xml:space="preserve">C</w:t>
            </w:r>
          </w:p>
        </w:tc>
        <w:tc>
          <w:tcPr>
            <w:tcW w:type="dxa" w:w="978"/>
            <w:vAlign w:val="center"/>
          </w:tcPr>
          <w:p>
            <w:pPr>
              <w:spacing w:before="20" w:after="20" w:line="260" w:lineRule="auto"/>
              <w:ind w:firstLine="0"/>
              <w:jc w:val="center"/>
            </w:pPr>
            <w:r>
              <w:rPr>
                <w:sz w:val="20"/>
                <w:szCs w:val="20"/>
              </w:rPr>
              <w:t xml:space="preserve">15</w:t>
            </w:r>
          </w:p>
        </w:tc>
        <w:tc>
          <w:tcPr>
            <w:tcW w:type="dxa" w:w="978"/>
            <w:vAlign w:val="center"/>
          </w:tcPr>
          <w:p>
            <w:pPr>
              <w:spacing w:before="20" w:after="20" w:line="260" w:lineRule="auto"/>
              <w:ind w:firstLine="0"/>
              <w:jc w:val="center"/>
            </w:pPr>
            <w:r>
              <w:rPr>
                <w:sz w:val="20"/>
                <w:szCs w:val="20"/>
              </w:rPr>
              <w:t xml:space="preserve">150.509</w:t>
            </w:r>
          </w:p>
        </w:tc>
        <w:tc>
          <w:tcPr>
            <w:tcW w:type="dxa" w:w="978"/>
            <w:vAlign w:val="center"/>
          </w:tcPr>
          <w:p>
            <w:pPr>
              <w:spacing w:before="20" w:after="20" w:line="260" w:lineRule="auto"/>
              <w:ind w:firstLine="0"/>
              <w:jc w:val="center"/>
            </w:pPr>
            <w:r>
              <w:rPr>
                <w:sz w:val="20"/>
                <w:szCs w:val="20"/>
              </w:rPr>
              <w:t xml:space="preserve">152.660</w:t>
            </w:r>
          </w:p>
        </w:tc>
        <w:tc>
          <w:tcPr>
            <w:tcW w:type="dxa" w:w="978"/>
            <w:vAlign w:val="center"/>
          </w:tcPr>
          <w:p>
            <w:pPr>
              <w:spacing w:before="20" w:after="20" w:line="260" w:lineRule="auto"/>
              <w:ind w:firstLine="0"/>
              <w:jc w:val="center"/>
            </w:pPr>
            <w:r>
              <w:rPr>
                <w:sz w:val="20"/>
                <w:szCs w:val="20"/>
              </w:rPr>
              <w:t xml:space="preserve">13,00%</w:t>
            </w:r>
          </w:p>
        </w:tc>
        <w:tc>
          <w:tcPr>
            <w:tcW w:type="dxa" w:w="978"/>
            <w:vAlign w:val="center"/>
          </w:tcPr>
          <w:p>
            <w:pPr>
              <w:spacing w:before="20" w:after="20" w:line="260" w:lineRule="auto"/>
              <w:ind w:firstLine="0"/>
              <w:jc w:val="center"/>
            </w:pPr>
            <w:r>
              <w:rPr>
                <w:sz w:val="20"/>
                <w:szCs w:val="20"/>
              </w:rPr>
              <w:t xml:space="preserve">−4,07</w:t>
            </w:r>
          </w:p>
        </w:tc>
        <w:tc>
          <w:tcPr>
            <w:tcW w:type="dxa" w:w="979"/>
            <w:vAlign w:val="center"/>
          </w:tcPr>
          <w:p>
            <w:pPr>
              <w:spacing w:before="20" w:after="20" w:line="260" w:lineRule="auto"/>
              <w:ind w:firstLine="0"/>
              <w:jc w:val="center"/>
            </w:pPr>
            <w:r>
              <w:rPr>
                <w:sz w:val="20"/>
                <w:szCs w:val="20"/>
              </w:rPr>
              <w:t xml:space="preserve">78,22%</w:t>
            </w:r>
          </w:p>
        </w:tc>
      </w:tr>
      <w:tr>
        <w:trPr>
          <w:cantSplit/>
        </w:trPr>
        <w:tc>
          <w:tcPr>
            <w:tcW w:type="dxa" w:w="978"/>
            <w:vAlign w:val="center"/>
          </w:tcPr>
          <w:p>
            <w:pPr>
              <w:spacing w:before="20" w:after="20" w:line="260" w:lineRule="auto"/>
              <w:ind w:firstLine="0"/>
              <w:jc w:val="center"/>
            </w:pPr>
            <w:r>
              <w:rPr>
                <w:sz w:val="20"/>
                <w:szCs w:val="20"/>
              </w:rPr>
              <w:t xml:space="preserve">20</w:t>
            </w:r>
          </w:p>
        </w:tc>
        <w:tc>
          <w:tcPr>
            <w:tcW w:type="dxa" w:w="1246"/>
            <w:vAlign w:val="center"/>
          </w:tcPr>
          <w:p>
            <w:pPr>
              <w:spacing w:before="20" w:after="20" w:line="260" w:lineRule="auto"/>
              <w:ind w:firstLine="0"/>
              <w:jc w:val="left"/>
            </w:pPr>
            <w:r>
              <w:rPr>
                <w:sz w:val="20"/>
                <w:szCs w:val="20"/>
              </w:rPr>
              <w:t xml:space="preserve">Quito</w:t>
            </w:r>
          </w:p>
        </w:tc>
        <w:tc>
          <w:tcPr>
            <w:tcW w:type="dxa" w:w="978"/>
            <w:vAlign w:val="center"/>
          </w:tcPr>
          <w:p>
            <w:pPr>
              <w:spacing w:before="20" w:after="20" w:line="260" w:lineRule="auto"/>
              <w:ind w:firstLine="0"/>
              <w:jc w:val="left"/>
            </w:pPr>
            <w:r>
              <w:rPr>
                <w:sz w:val="20"/>
                <w:szCs w:val="20"/>
              </w:rPr>
              <w:t xml:space="preserve">B</w:t>
            </w:r>
          </w:p>
        </w:tc>
        <w:tc>
          <w:tcPr>
            <w:tcW w:type="dxa" w:w="978"/>
            <w:vAlign w:val="center"/>
          </w:tcPr>
          <w:p>
            <w:pPr>
              <w:spacing w:before="20" w:after="20" w:line="260" w:lineRule="auto"/>
              <w:ind w:firstLine="0"/>
              <w:jc w:val="center"/>
            </w:pPr>
            <w:r>
              <w:rPr>
                <w:sz w:val="20"/>
                <w:szCs w:val="20"/>
              </w:rPr>
              <w:t xml:space="preserve">6</w:t>
            </w:r>
          </w:p>
        </w:tc>
        <w:tc>
          <w:tcPr>
            <w:tcW w:type="dxa" w:w="978"/>
            <w:vAlign w:val="center"/>
          </w:tcPr>
          <w:p>
            <w:pPr>
              <w:spacing w:before="20" w:after="20" w:line="260" w:lineRule="auto"/>
              <w:ind w:firstLine="0"/>
              <w:jc w:val="center"/>
            </w:pPr>
            <w:r>
              <w:rPr>
                <w:sz w:val="20"/>
                <w:szCs w:val="20"/>
              </w:rPr>
              <w:t xml:space="preserve">288.873</w:t>
            </w:r>
          </w:p>
        </w:tc>
        <w:tc>
          <w:tcPr>
            <w:tcW w:type="dxa" w:w="978"/>
            <w:vAlign w:val="center"/>
          </w:tcPr>
          <w:p>
            <w:pPr>
              <w:spacing w:before="20" w:after="20" w:line="260" w:lineRule="auto"/>
              <w:ind w:firstLine="0"/>
              <w:jc w:val="center"/>
            </w:pPr>
            <w:r>
              <w:rPr>
                <w:sz w:val="20"/>
                <w:szCs w:val="20"/>
              </w:rPr>
              <w:t xml:space="preserve">255.773</w:t>
            </w:r>
          </w:p>
        </w:tc>
        <w:tc>
          <w:tcPr>
            <w:tcW w:type="dxa" w:w="978"/>
            <w:vAlign w:val="center"/>
          </w:tcPr>
          <w:p>
            <w:pPr>
              <w:spacing w:before="20" w:after="20" w:line="260" w:lineRule="auto"/>
              <w:ind w:firstLine="0"/>
              <w:jc w:val="center"/>
            </w:pPr>
            <w:r>
              <w:rPr>
                <w:sz w:val="20"/>
                <w:szCs w:val="20"/>
              </w:rPr>
              <w:t xml:space="preserve">17,53%</w:t>
            </w:r>
          </w:p>
        </w:tc>
        <w:tc>
          <w:tcPr>
            <w:tcW w:type="dxa" w:w="978"/>
            <w:vAlign w:val="center"/>
          </w:tcPr>
          <w:p>
            <w:pPr>
              <w:spacing w:before="20" w:after="20" w:line="260" w:lineRule="auto"/>
              <w:ind w:firstLine="0"/>
              <w:jc w:val="center"/>
            </w:pPr>
            <w:r>
              <w:rPr>
                <w:sz w:val="20"/>
                <w:szCs w:val="20"/>
              </w:rPr>
              <w:t xml:space="preserve">62,69</w:t>
            </w:r>
          </w:p>
        </w:tc>
        <w:tc>
          <w:tcPr>
            <w:tcW w:type="dxa" w:w="979"/>
            <w:vAlign w:val="center"/>
          </w:tcPr>
          <w:p>
            <w:pPr>
              <w:spacing w:before="20" w:after="20" w:line="260" w:lineRule="auto"/>
              <w:ind w:firstLine="0"/>
              <w:jc w:val="center"/>
            </w:pPr>
            <w:r>
              <w:rPr>
                <w:sz w:val="20"/>
                <w:szCs w:val="20"/>
              </w:rPr>
              <w:t xml:space="preserve">72,16%</w:t>
            </w:r>
          </w:p>
        </w:tc>
      </w:tr>
      <w:tr>
        <w:trPr>
          <w:cantSplit/>
        </w:trPr>
        <w:tc>
          <w:tcPr>
            <w:tcW w:type="dxa" w:w="978"/>
            <w:vAlign w:val="center"/>
          </w:tcPr>
          <w:p>
            <w:pPr>
              <w:spacing w:before="20" w:after="20" w:line="260" w:lineRule="auto"/>
              <w:ind w:firstLine="0"/>
              <w:jc w:val="center"/>
            </w:pPr>
            <w:r>
              <w:rPr>
                <w:sz w:val="20"/>
                <w:szCs w:val="20"/>
              </w:rPr>
              <w:t xml:space="preserve">21</w:t>
            </w:r>
          </w:p>
        </w:tc>
        <w:tc>
          <w:tcPr>
            <w:tcW w:type="dxa" w:w="1246"/>
            <w:vAlign w:val="center"/>
          </w:tcPr>
          <w:p>
            <w:pPr>
              <w:spacing w:before="20" w:after="20" w:line="260" w:lineRule="auto"/>
              <w:ind w:firstLine="0"/>
              <w:jc w:val="left"/>
            </w:pPr>
            <w:r>
              <w:rPr>
                <w:sz w:val="20"/>
                <w:szCs w:val="20"/>
              </w:rPr>
              <w:t xml:space="preserve">Santo Domingo</w:t>
            </w:r>
          </w:p>
        </w:tc>
        <w:tc>
          <w:tcPr>
            <w:tcW w:type="dxa" w:w="978"/>
            <w:vAlign w:val="center"/>
          </w:tcPr>
          <w:p>
            <w:pPr>
              <w:spacing w:before="20" w:after="20" w:line="260" w:lineRule="auto"/>
              <w:ind w:firstLine="0"/>
              <w:jc w:val="left"/>
            </w:pPr>
            <w:r>
              <w:rPr>
                <w:sz w:val="20"/>
                <w:szCs w:val="20"/>
              </w:rPr>
              <w:t xml:space="preserve">B</w:t>
            </w:r>
          </w:p>
        </w:tc>
        <w:tc>
          <w:tcPr>
            <w:tcW w:type="dxa" w:w="978"/>
            <w:vAlign w:val="center"/>
          </w:tcPr>
          <w:p>
            <w:pPr>
              <w:spacing w:before="20" w:after="20" w:line="260" w:lineRule="auto"/>
              <w:ind w:firstLine="0"/>
              <w:jc w:val="center"/>
            </w:pPr>
            <w:r>
              <w:rPr>
                <w:sz w:val="20"/>
                <w:szCs w:val="20"/>
              </w:rPr>
              <w:t xml:space="preserve">6</w:t>
            </w:r>
          </w:p>
        </w:tc>
        <w:tc>
          <w:tcPr>
            <w:tcW w:type="dxa" w:w="978"/>
            <w:vAlign w:val="center"/>
          </w:tcPr>
          <w:p>
            <w:pPr>
              <w:spacing w:before="20" w:after="20" w:line="260" w:lineRule="auto"/>
              <w:ind w:firstLine="0"/>
              <w:jc w:val="center"/>
            </w:pPr>
            <w:r>
              <w:rPr>
                <w:sz w:val="20"/>
                <w:szCs w:val="20"/>
              </w:rPr>
              <w:t xml:space="preserve">235.963</w:t>
            </w:r>
          </w:p>
        </w:tc>
        <w:tc>
          <w:tcPr>
            <w:tcW w:type="dxa" w:w="978"/>
            <w:vAlign w:val="center"/>
          </w:tcPr>
          <w:p>
            <w:pPr>
              <w:spacing w:before="20" w:after="20" w:line="260" w:lineRule="auto"/>
              <w:ind w:firstLine="0"/>
              <w:jc w:val="center"/>
            </w:pPr>
            <w:r>
              <w:rPr>
                <w:sz w:val="20"/>
                <w:szCs w:val="20"/>
              </w:rPr>
              <w:t xml:space="preserve">217.075</w:t>
            </w:r>
          </w:p>
        </w:tc>
        <w:tc>
          <w:tcPr>
            <w:tcW w:type="dxa" w:w="978"/>
            <w:vAlign w:val="center"/>
          </w:tcPr>
          <w:p>
            <w:pPr>
              <w:spacing w:before="20" w:after="20" w:line="260" w:lineRule="auto"/>
              <w:ind w:firstLine="0"/>
              <w:jc w:val="center"/>
            </w:pPr>
            <w:r>
              <w:rPr>
                <w:sz w:val="20"/>
                <w:szCs w:val="20"/>
              </w:rPr>
              <w:t xml:space="preserve">14,96%</w:t>
            </w:r>
          </w:p>
        </w:tc>
        <w:tc>
          <w:tcPr>
            <w:tcW w:type="dxa" w:w="978"/>
            <w:vAlign w:val="center"/>
          </w:tcPr>
          <w:p>
            <w:pPr>
              <w:spacing w:before="20" w:after="20" w:line="260" w:lineRule="auto"/>
              <w:ind w:firstLine="0"/>
              <w:jc w:val="center"/>
            </w:pPr>
            <w:r>
              <w:rPr>
                <w:sz w:val="20"/>
                <w:szCs w:val="20"/>
              </w:rPr>
              <w:t xml:space="preserve">35,77</w:t>
            </w:r>
          </w:p>
        </w:tc>
        <w:tc>
          <w:tcPr>
            <w:tcW w:type="dxa" w:w="979"/>
            <w:vAlign w:val="center"/>
          </w:tcPr>
          <w:p>
            <w:pPr>
              <w:spacing w:before="20" w:after="20" w:line="260" w:lineRule="auto"/>
              <w:ind w:firstLine="0"/>
              <w:jc w:val="center"/>
            </w:pPr>
            <w:r>
              <w:rPr>
                <w:sz w:val="20"/>
                <w:szCs w:val="20"/>
              </w:rPr>
              <w:t xml:space="preserve">78,79%</w:t>
            </w:r>
          </w:p>
        </w:tc>
      </w:tr>
      <w:tr>
        <w:trPr>
          <w:cantSplit/>
        </w:trPr>
        <w:tc>
          <w:tcPr>
            <w:tcW w:type="dxa" w:w="978"/>
            <w:vAlign w:val="center"/>
          </w:tcPr>
          <w:p>
            <w:pPr>
              <w:spacing w:before="20" w:after="20" w:line="260" w:lineRule="auto"/>
              <w:ind w:firstLine="0"/>
              <w:jc w:val="center"/>
            </w:pPr>
            <w:r>
              <w:rPr>
                <w:sz w:val="20"/>
                <w:szCs w:val="20"/>
              </w:rPr>
              <w:t xml:space="preserve">22</w:t>
            </w:r>
          </w:p>
        </w:tc>
        <w:tc>
          <w:tcPr>
            <w:tcW w:type="dxa" w:w="1246"/>
            <w:vAlign w:val="center"/>
          </w:tcPr>
          <w:p>
            <w:pPr>
              <w:spacing w:before="20" w:after="20" w:line="260" w:lineRule="auto"/>
              <w:ind w:firstLine="0"/>
              <w:jc w:val="left"/>
            </w:pPr>
            <w:r>
              <w:rPr>
                <w:sz w:val="20"/>
                <w:szCs w:val="20"/>
              </w:rPr>
              <w:t xml:space="preserve">Puyo</w:t>
            </w:r>
          </w:p>
        </w:tc>
        <w:tc>
          <w:tcPr>
            <w:tcW w:type="dxa" w:w="978"/>
            <w:vAlign w:val="center"/>
          </w:tcPr>
          <w:p>
            <w:pPr>
              <w:spacing w:before="20" w:after="20" w:line="260" w:lineRule="auto"/>
              <w:ind w:firstLine="0"/>
              <w:jc w:val="left"/>
            </w:pPr>
            <w:r>
              <w:rPr>
                <w:sz w:val="20"/>
                <w:szCs w:val="20"/>
              </w:rPr>
              <w:t xml:space="preserve">C</w:t>
            </w:r>
          </w:p>
        </w:tc>
        <w:tc>
          <w:tcPr>
            <w:tcW w:type="dxa" w:w="978"/>
            <w:vAlign w:val="center"/>
          </w:tcPr>
          <w:p>
            <w:pPr>
              <w:spacing w:before="20" w:after="20" w:line="260" w:lineRule="auto"/>
              <w:ind w:firstLine="0"/>
              <w:jc w:val="center"/>
            </w:pPr>
            <w:r>
              <w:rPr>
                <w:sz w:val="20"/>
                <w:szCs w:val="20"/>
              </w:rPr>
              <w:t xml:space="preserve">7</w:t>
            </w:r>
          </w:p>
        </w:tc>
        <w:tc>
          <w:tcPr>
            <w:tcW w:type="dxa" w:w="978"/>
            <w:vAlign w:val="center"/>
          </w:tcPr>
          <w:p>
            <w:pPr>
              <w:spacing w:before="20" w:after="20" w:line="260" w:lineRule="auto"/>
              <w:ind w:firstLine="0"/>
              <w:jc w:val="center"/>
            </w:pPr>
            <w:r>
              <w:rPr>
                <w:sz w:val="20"/>
                <w:szCs w:val="20"/>
              </w:rPr>
              <w:t xml:space="preserve">121.738</w:t>
            </w:r>
          </w:p>
        </w:tc>
        <w:tc>
          <w:tcPr>
            <w:tcW w:type="dxa" w:w="978"/>
            <w:vAlign w:val="center"/>
          </w:tcPr>
          <w:p>
            <w:pPr>
              <w:spacing w:before="20" w:after="20" w:line="260" w:lineRule="auto"/>
              <w:ind w:firstLine="0"/>
              <w:jc w:val="center"/>
            </w:pPr>
            <w:r>
              <w:rPr>
                <w:sz w:val="20"/>
                <w:szCs w:val="20"/>
              </w:rPr>
              <w:t xml:space="preserve">113.879</w:t>
            </w:r>
          </w:p>
        </w:tc>
        <w:tc>
          <w:tcPr>
            <w:tcW w:type="dxa" w:w="978"/>
            <w:vAlign w:val="center"/>
          </w:tcPr>
          <w:p>
            <w:pPr>
              <w:spacing w:before="20" w:after="20" w:line="260" w:lineRule="auto"/>
              <w:ind w:firstLine="0"/>
              <w:jc w:val="center"/>
            </w:pPr>
            <w:r>
              <w:rPr>
                <w:sz w:val="20"/>
                <w:szCs w:val="20"/>
              </w:rPr>
              <w:t xml:space="preserve">20,90%</w:t>
            </w:r>
          </w:p>
        </w:tc>
        <w:tc>
          <w:tcPr>
            <w:tcW w:type="dxa" w:w="978"/>
            <w:vAlign w:val="center"/>
          </w:tcPr>
          <w:p>
            <w:pPr>
              <w:spacing w:before="20" w:after="20" w:line="260" w:lineRule="auto"/>
              <w:ind w:firstLine="0"/>
              <w:jc w:val="center"/>
            </w:pPr>
            <w:r>
              <w:rPr>
                <w:sz w:val="20"/>
                <w:szCs w:val="20"/>
              </w:rPr>
              <w:t xml:space="preserve">14,89</w:t>
            </w:r>
          </w:p>
        </w:tc>
        <w:tc>
          <w:tcPr>
            <w:tcW w:type="dxa" w:w="979"/>
            <w:vAlign w:val="center"/>
          </w:tcPr>
          <w:p>
            <w:pPr>
              <w:spacing w:before="20" w:after="20" w:line="260" w:lineRule="auto"/>
              <w:ind w:firstLine="0"/>
              <w:jc w:val="center"/>
            </w:pPr>
            <w:r>
              <w:rPr>
                <w:sz w:val="20"/>
                <w:szCs w:val="20"/>
              </w:rPr>
              <w:t xml:space="preserve">73,67%</w:t>
            </w:r>
          </w:p>
        </w:tc>
      </w:tr>
      <w:tr>
        <w:trPr>
          <w:cantSplit/>
        </w:trPr>
        <w:tc>
          <w:tcPr>
            <w:tcW w:type="dxa" w:w="978"/>
            <w:vAlign w:val="center"/>
          </w:tcPr>
          <w:p>
            <w:pPr>
              <w:spacing w:before="20" w:after="20" w:line="260" w:lineRule="auto"/>
              <w:ind w:firstLine="0"/>
              <w:jc w:val="center"/>
            </w:pPr>
            <w:r>
              <w:rPr>
                <w:sz w:val="20"/>
                <w:szCs w:val="20"/>
              </w:rPr>
              <w:t xml:space="preserve">23</w:t>
            </w:r>
          </w:p>
        </w:tc>
        <w:tc>
          <w:tcPr>
            <w:tcW w:type="dxa" w:w="1246"/>
            <w:vAlign w:val="center"/>
          </w:tcPr>
          <w:p>
            <w:pPr>
              <w:spacing w:before="20" w:after="20" w:line="260" w:lineRule="auto"/>
              <w:ind w:firstLine="0"/>
              <w:jc w:val="left"/>
            </w:pPr>
            <w:r>
              <w:rPr>
                <w:sz w:val="20"/>
                <w:szCs w:val="20"/>
              </w:rPr>
              <w:t xml:space="preserve">Ambato</w:t>
            </w:r>
          </w:p>
        </w:tc>
        <w:tc>
          <w:tcPr>
            <w:tcW w:type="dxa" w:w="978"/>
            <w:vAlign w:val="center"/>
          </w:tcPr>
          <w:p>
            <w:pPr>
              <w:spacing w:before="20" w:after="20" w:line="260" w:lineRule="auto"/>
              <w:ind w:firstLine="0"/>
              <w:jc w:val="left"/>
            </w:pPr>
            <w:r>
              <w:rPr>
                <w:sz w:val="20"/>
                <w:szCs w:val="20"/>
              </w:rPr>
              <w:t xml:space="preserve">D</w:t>
            </w:r>
          </w:p>
        </w:tc>
        <w:tc>
          <w:tcPr>
            <w:tcW w:type="dxa" w:w="978"/>
            <w:vAlign w:val="center"/>
          </w:tcPr>
          <w:p>
            <w:pPr>
              <w:spacing w:before="20" w:after="20" w:line="260" w:lineRule="auto"/>
              <w:ind w:firstLine="0"/>
              <w:jc w:val="center"/>
            </w:pPr>
            <w:r>
              <w:rPr>
                <w:sz w:val="20"/>
                <w:szCs w:val="20"/>
              </w:rPr>
              <w:t xml:space="preserve">9</w:t>
            </w:r>
          </w:p>
        </w:tc>
        <w:tc>
          <w:tcPr>
            <w:tcW w:type="dxa" w:w="978"/>
            <w:vAlign w:val="center"/>
          </w:tcPr>
          <w:p>
            <w:pPr>
              <w:spacing w:before="20" w:after="20" w:line="260" w:lineRule="auto"/>
              <w:ind w:firstLine="0"/>
              <w:jc w:val="center"/>
            </w:pPr>
            <w:r>
              <w:rPr>
                <w:sz w:val="20"/>
                <w:szCs w:val="20"/>
              </w:rPr>
              <w:t xml:space="preserve">120.386</w:t>
            </w:r>
          </w:p>
        </w:tc>
        <w:tc>
          <w:tcPr>
            <w:tcW w:type="dxa" w:w="978"/>
            <w:vAlign w:val="center"/>
          </w:tcPr>
          <w:p>
            <w:pPr>
              <w:spacing w:before="20" w:after="20" w:line="260" w:lineRule="auto"/>
              <w:ind w:firstLine="0"/>
              <w:jc w:val="center"/>
            </w:pPr>
            <w:r>
              <w:rPr>
                <w:sz w:val="20"/>
                <w:szCs w:val="20"/>
              </w:rPr>
              <w:t xml:space="preserve">133.570</w:t>
            </w:r>
          </w:p>
        </w:tc>
        <w:tc>
          <w:tcPr>
            <w:tcW w:type="dxa" w:w="978"/>
            <w:vAlign w:val="center"/>
          </w:tcPr>
          <w:p>
            <w:pPr>
              <w:spacing w:before="20" w:after="20" w:line="260" w:lineRule="auto"/>
              <w:ind w:firstLine="0"/>
              <w:jc w:val="center"/>
            </w:pPr>
            <w:r>
              <w:rPr>
                <w:sz w:val="20"/>
                <w:szCs w:val="20"/>
              </w:rPr>
              <w:t xml:space="preserve">17,71%</w:t>
            </w:r>
          </w:p>
        </w:tc>
        <w:tc>
          <w:tcPr>
            <w:tcW w:type="dxa" w:w="978"/>
            <w:vAlign w:val="center"/>
          </w:tcPr>
          <w:p>
            <w:pPr>
              <w:spacing w:before="20" w:after="20" w:line="260" w:lineRule="auto"/>
              <w:ind w:firstLine="0"/>
              <w:jc w:val="center"/>
            </w:pPr>
            <w:r>
              <w:rPr>
                <w:sz w:val="20"/>
                <w:szCs w:val="20"/>
              </w:rPr>
              <w:t xml:space="preserve">−24,97</w:t>
            </w:r>
          </w:p>
        </w:tc>
        <w:tc>
          <w:tcPr>
            <w:tcW w:type="dxa" w:w="979"/>
            <w:vAlign w:val="center"/>
          </w:tcPr>
          <w:p>
            <w:pPr>
              <w:spacing w:before="20" w:after="20" w:line="260" w:lineRule="auto"/>
              <w:ind w:firstLine="0"/>
              <w:jc w:val="center"/>
            </w:pPr>
            <w:r>
              <w:rPr>
                <w:sz w:val="20"/>
                <w:szCs w:val="20"/>
              </w:rPr>
              <w:t xml:space="preserve">71,78%</w:t>
            </w:r>
          </w:p>
        </w:tc>
      </w:tr>
      <w:tr>
        <w:trPr>
          <w:cantSplit/>
        </w:trPr>
        <w:tc>
          <w:tcPr>
            <w:tcW w:type="dxa" w:w="978"/>
            <w:vAlign w:val="center"/>
          </w:tcPr>
          <w:p>
            <w:pPr>
              <w:spacing w:before="20" w:after="20" w:line="260" w:lineRule="auto"/>
              <w:ind w:firstLine="0"/>
              <w:jc w:val="center"/>
            </w:pPr>
            <w:r>
              <w:rPr>
                <w:sz w:val="20"/>
                <w:szCs w:val="20"/>
              </w:rPr>
              <w:t xml:space="preserve">24</w:t>
            </w:r>
          </w:p>
        </w:tc>
        <w:tc>
          <w:tcPr>
            <w:tcW w:type="dxa" w:w="1246"/>
            <w:vAlign w:val="center"/>
          </w:tcPr>
          <w:p>
            <w:pPr>
              <w:spacing w:before="20" w:after="20" w:line="260" w:lineRule="auto"/>
              <w:ind w:firstLine="0"/>
              <w:jc w:val="left"/>
            </w:pPr>
            <w:r>
              <w:rPr>
                <w:sz w:val="20"/>
                <w:szCs w:val="20"/>
              </w:rPr>
              <w:t xml:space="preserve">Guayaquil</w:t>
            </w:r>
          </w:p>
        </w:tc>
        <w:tc>
          <w:tcPr>
            <w:tcW w:type="dxa" w:w="978"/>
            <w:vAlign w:val="center"/>
          </w:tcPr>
          <w:p>
            <w:pPr>
              <w:spacing w:before="20" w:after="20" w:line="260" w:lineRule="auto"/>
              <w:ind w:firstLine="0"/>
              <w:jc w:val="left"/>
            </w:pPr>
            <w:r>
              <w:rPr>
                <w:sz w:val="20"/>
                <w:szCs w:val="20"/>
              </w:rPr>
              <w:t xml:space="preserve">D</w:t>
            </w:r>
          </w:p>
        </w:tc>
        <w:tc>
          <w:tcPr>
            <w:tcW w:type="dxa" w:w="978"/>
            <w:vAlign w:val="center"/>
          </w:tcPr>
          <w:p>
            <w:pPr>
              <w:spacing w:before="20" w:after="20" w:line="260" w:lineRule="auto"/>
              <w:ind w:firstLine="0"/>
              <w:jc w:val="center"/>
            </w:pPr>
            <w:r>
              <w:rPr>
                <w:sz w:val="20"/>
                <w:szCs w:val="20"/>
              </w:rPr>
              <w:t xml:space="preserve">1</w:t>
            </w:r>
          </w:p>
        </w:tc>
        <w:tc>
          <w:tcPr>
            <w:tcW w:type="dxa" w:w="978"/>
            <w:vAlign w:val="center"/>
          </w:tcPr>
          <w:p>
            <w:pPr>
              <w:spacing w:before="20" w:after="20" w:line="260" w:lineRule="auto"/>
              <w:ind w:firstLine="0"/>
              <w:jc w:val="center"/>
            </w:pPr>
            <w:r>
              <w:rPr>
                <w:sz w:val="20"/>
                <w:szCs w:val="20"/>
              </w:rPr>
              <w:t xml:space="preserve">268.780</w:t>
            </w:r>
          </w:p>
        </w:tc>
        <w:tc>
          <w:tcPr>
            <w:tcW w:type="dxa" w:w="978"/>
            <w:vAlign w:val="center"/>
          </w:tcPr>
          <w:p>
            <w:pPr>
              <w:spacing w:before="20" w:after="20" w:line="260" w:lineRule="auto"/>
              <w:ind w:firstLine="0"/>
              <w:jc w:val="center"/>
            </w:pPr>
            <w:r>
              <w:rPr>
                <w:sz w:val="20"/>
                <w:szCs w:val="20"/>
              </w:rPr>
              <w:t xml:space="preserve">283.646</w:t>
            </w:r>
          </w:p>
        </w:tc>
        <w:tc>
          <w:tcPr>
            <w:tcW w:type="dxa" w:w="978"/>
            <w:vAlign w:val="center"/>
          </w:tcPr>
          <w:p>
            <w:pPr>
              <w:spacing w:before="20" w:after="20" w:line="260" w:lineRule="auto"/>
              <w:ind w:firstLine="0"/>
              <w:jc w:val="center"/>
            </w:pPr>
            <w:r>
              <w:rPr>
                <w:sz w:val="20"/>
                <w:szCs w:val="20"/>
              </w:rPr>
              <w:t xml:space="preserve">9,23%</w:t>
            </w:r>
          </w:p>
        </w:tc>
        <w:tc>
          <w:tcPr>
            <w:tcW w:type="dxa" w:w="978"/>
            <w:vAlign w:val="center"/>
          </w:tcPr>
          <w:p>
            <w:pPr>
              <w:spacing w:before="20" w:after="20" w:line="260" w:lineRule="auto"/>
              <w:ind w:firstLine="0"/>
              <w:jc w:val="center"/>
            </w:pPr>
            <w:r>
              <w:rPr>
                <w:sz w:val="20"/>
                <w:szCs w:val="20"/>
              </w:rPr>
              <w:t xml:space="preserve">−28,16</w:t>
            </w:r>
          </w:p>
        </w:tc>
        <w:tc>
          <w:tcPr>
            <w:tcW w:type="dxa" w:w="979"/>
            <w:vAlign w:val="center"/>
          </w:tcPr>
          <w:p>
            <w:pPr>
              <w:spacing w:before="20" w:after="20" w:line="260" w:lineRule="auto"/>
              <w:ind w:firstLine="0"/>
              <w:jc w:val="center"/>
            </w:pPr>
            <w:r>
              <w:rPr>
                <w:sz w:val="20"/>
                <w:szCs w:val="20"/>
              </w:rPr>
              <w:t xml:space="preserve">80,11%</w:t>
            </w:r>
          </w:p>
        </w:tc>
      </w:tr>
      <w:tr>
        <w:trPr>
          <w:cantSplit/>
        </w:trPr>
        <w:tc>
          <w:tcPr>
            <w:tcW w:type="dxa" w:w="978"/>
            <w:vAlign w:val="center"/>
          </w:tcPr>
          <w:p>
            <w:pPr>
              <w:spacing w:before="20" w:after="20" w:line="260" w:lineRule="auto"/>
              <w:ind w:firstLine="0"/>
              <w:jc w:val="center"/>
            </w:pPr>
            <w:r>
              <w:rPr>
                <w:sz w:val="20"/>
                <w:szCs w:val="20"/>
              </w:rPr>
              <w:t xml:space="preserve">25</w:t>
            </w:r>
          </w:p>
        </w:tc>
        <w:tc>
          <w:tcPr>
            <w:tcW w:type="dxa" w:w="1246"/>
            <w:vAlign w:val="center"/>
          </w:tcPr>
          <w:p>
            <w:pPr>
              <w:spacing w:before="20" w:after="20" w:line="260" w:lineRule="auto"/>
              <w:ind w:firstLine="0"/>
              <w:jc w:val="left"/>
            </w:pPr>
            <w:r>
              <w:rPr>
                <w:sz w:val="20"/>
                <w:szCs w:val="20"/>
              </w:rPr>
              <w:t xml:space="preserve">Salinas</w:t>
            </w:r>
          </w:p>
        </w:tc>
        <w:tc>
          <w:tcPr>
            <w:tcW w:type="dxa" w:w="978"/>
            <w:vAlign w:val="center"/>
          </w:tcPr>
          <w:p>
            <w:pPr>
              <w:spacing w:before="20" w:after="20" w:line="260" w:lineRule="auto"/>
              <w:ind w:firstLine="0"/>
              <w:jc w:val="left"/>
            </w:pPr>
            <w:r>
              <w:rPr>
                <w:sz w:val="20"/>
                <w:szCs w:val="20"/>
              </w:rPr>
              <w:t xml:space="preserve">D</w:t>
            </w:r>
          </w:p>
        </w:tc>
        <w:tc>
          <w:tcPr>
            <w:tcW w:type="dxa" w:w="978"/>
            <w:vAlign w:val="center"/>
          </w:tcPr>
          <w:p>
            <w:pPr>
              <w:spacing w:before="20" w:after="20" w:line="260" w:lineRule="auto"/>
              <w:ind w:firstLine="0"/>
              <w:jc w:val="center"/>
            </w:pPr>
            <w:r>
              <w:rPr>
                <w:sz w:val="20"/>
                <w:szCs w:val="20"/>
              </w:rPr>
              <w:t xml:space="preserve">1</w:t>
            </w:r>
          </w:p>
        </w:tc>
        <w:tc>
          <w:tcPr>
            <w:tcW w:type="dxa" w:w="978"/>
            <w:vAlign w:val="center"/>
          </w:tcPr>
          <w:p>
            <w:pPr>
              <w:spacing w:before="20" w:after="20" w:line="260" w:lineRule="auto"/>
              <w:ind w:firstLine="0"/>
              <w:jc w:val="center"/>
            </w:pPr>
            <w:r>
              <w:rPr>
                <w:sz w:val="20"/>
                <w:szCs w:val="20"/>
              </w:rPr>
              <w:t xml:space="preserve">154.922</w:t>
            </w:r>
          </w:p>
        </w:tc>
        <w:tc>
          <w:tcPr>
            <w:tcW w:type="dxa" w:w="978"/>
            <w:vAlign w:val="center"/>
          </w:tcPr>
          <w:p>
            <w:pPr>
              <w:spacing w:before="20" w:after="20" w:line="260" w:lineRule="auto"/>
              <w:ind w:firstLine="0"/>
              <w:jc w:val="center"/>
            </w:pPr>
            <w:r>
              <w:rPr>
                <w:sz w:val="20"/>
                <w:szCs w:val="20"/>
              </w:rPr>
              <w:t xml:space="preserve">121.653</w:t>
            </w:r>
          </w:p>
        </w:tc>
        <w:tc>
          <w:tcPr>
            <w:tcW w:type="dxa" w:w="978"/>
            <w:vAlign w:val="center"/>
          </w:tcPr>
          <w:p>
            <w:pPr>
              <w:spacing w:before="20" w:after="20" w:line="260" w:lineRule="auto"/>
              <w:ind w:firstLine="0"/>
              <w:jc w:val="center"/>
            </w:pPr>
            <w:r>
              <w:rPr>
                <w:sz w:val="20"/>
                <w:szCs w:val="20"/>
              </w:rPr>
              <w:t xml:space="preserve">23,91%</w:t>
            </w:r>
          </w:p>
        </w:tc>
        <w:tc>
          <w:tcPr>
            <w:tcW w:type="dxa" w:w="978"/>
            <w:vAlign w:val="center"/>
          </w:tcPr>
          <w:p>
            <w:pPr>
              <w:spacing w:before="20" w:after="20" w:line="260" w:lineRule="auto"/>
              <w:ind w:firstLine="0"/>
              <w:jc w:val="center"/>
            </w:pPr>
            <w:r>
              <w:rPr>
                <w:sz w:val="20"/>
                <w:szCs w:val="20"/>
              </w:rPr>
              <w:t xml:space="preserve">63,01</w:t>
            </w:r>
          </w:p>
        </w:tc>
        <w:tc>
          <w:tcPr>
            <w:tcW w:type="dxa" w:w="979"/>
            <w:vAlign w:val="center"/>
          </w:tcPr>
          <w:p>
            <w:pPr>
              <w:spacing w:before="20" w:after="20" w:line="260" w:lineRule="auto"/>
              <w:ind w:firstLine="0"/>
              <w:jc w:val="center"/>
            </w:pPr>
            <w:r>
              <w:rPr>
                <w:sz w:val="20"/>
                <w:szCs w:val="20"/>
              </w:rPr>
              <w:t xml:space="preserve">71,59%</w:t>
            </w:r>
          </w:p>
        </w:tc>
      </w:tr>
      <w:tr>
        <w:trPr>
          <w:cantSplit/>
        </w:trPr>
        <w:tc>
          <w:tcPr>
            <w:tcW w:type="dxa" w:w="978"/>
            <w:vAlign w:val="center"/>
          </w:tcPr>
          <w:p>
            <w:pPr>
              <w:spacing w:before="20" w:after="20" w:line="260" w:lineRule="auto"/>
              <w:ind w:firstLine="0"/>
              <w:jc w:val="center"/>
            </w:pPr>
            <w:r>
              <w:rPr>
                <w:sz w:val="20"/>
                <w:szCs w:val="20"/>
              </w:rPr>
              <w:t xml:space="preserve">26</w:t>
            </w:r>
          </w:p>
        </w:tc>
        <w:tc>
          <w:tcPr>
            <w:tcW w:type="dxa" w:w="1246"/>
            <w:vAlign w:val="center"/>
          </w:tcPr>
          <w:p>
            <w:pPr>
              <w:spacing w:before="20" w:after="20" w:line="260" w:lineRule="auto"/>
              <w:ind w:firstLine="0"/>
              <w:jc w:val="left"/>
            </w:pPr>
            <w:r>
              <w:rPr>
                <w:sz w:val="20"/>
                <w:szCs w:val="20"/>
              </w:rPr>
              <w:t xml:space="preserve">Guayaquil</w:t>
            </w:r>
          </w:p>
        </w:tc>
        <w:tc>
          <w:tcPr>
            <w:tcW w:type="dxa" w:w="978"/>
            <w:vAlign w:val="center"/>
          </w:tcPr>
          <w:p>
            <w:pPr>
              <w:spacing w:before="20" w:after="20" w:line="260" w:lineRule="auto"/>
              <w:ind w:firstLine="0"/>
              <w:jc w:val="left"/>
            </w:pPr>
            <w:r>
              <w:rPr>
                <w:sz w:val="20"/>
                <w:szCs w:val="20"/>
              </w:rPr>
              <w:t xml:space="preserve">D</w:t>
            </w:r>
          </w:p>
        </w:tc>
        <w:tc>
          <w:tcPr>
            <w:tcW w:type="dxa" w:w="978"/>
            <w:vAlign w:val="center"/>
          </w:tcPr>
          <w:p>
            <w:pPr>
              <w:spacing w:before="20" w:after="20" w:line="260" w:lineRule="auto"/>
              <w:ind w:firstLine="0"/>
              <w:jc w:val="center"/>
            </w:pPr>
            <w:r>
              <w:rPr>
                <w:sz w:val="20"/>
                <w:szCs w:val="20"/>
              </w:rPr>
              <w:t xml:space="preserve">10</w:t>
            </w:r>
          </w:p>
        </w:tc>
        <w:tc>
          <w:tcPr>
            <w:tcW w:type="dxa" w:w="978"/>
            <w:vAlign w:val="center"/>
          </w:tcPr>
          <w:p>
            <w:pPr>
              <w:spacing w:before="20" w:after="20" w:line="260" w:lineRule="auto"/>
              <w:ind w:firstLine="0"/>
              <w:jc w:val="center"/>
            </w:pPr>
            <w:r>
              <w:rPr>
                <w:sz w:val="20"/>
                <w:szCs w:val="20"/>
              </w:rPr>
              <w:t xml:space="preserve">74.603</w:t>
            </w:r>
          </w:p>
        </w:tc>
        <w:tc>
          <w:tcPr>
            <w:tcW w:type="dxa" w:w="978"/>
            <w:vAlign w:val="center"/>
          </w:tcPr>
          <w:p>
            <w:pPr>
              <w:spacing w:before="20" w:after="20" w:line="260" w:lineRule="auto"/>
              <w:ind w:firstLine="0"/>
              <w:jc w:val="center"/>
            </w:pPr>
            <w:r>
              <w:rPr>
                <w:sz w:val="20"/>
                <w:szCs w:val="20"/>
              </w:rPr>
              <w:t xml:space="preserve">84.712</w:t>
            </w:r>
          </w:p>
        </w:tc>
        <w:tc>
          <w:tcPr>
            <w:tcW w:type="dxa" w:w="978"/>
            <w:vAlign w:val="center"/>
          </w:tcPr>
          <w:p>
            <w:pPr>
              <w:spacing w:before="20" w:after="20" w:line="260" w:lineRule="auto"/>
              <w:ind w:firstLine="0"/>
              <w:jc w:val="center"/>
            </w:pPr>
            <w:r>
              <w:rPr>
                <w:sz w:val="20"/>
                <w:szCs w:val="20"/>
              </w:rPr>
              <w:t xml:space="preserve">28,61%</w:t>
            </w:r>
          </w:p>
        </w:tc>
        <w:tc>
          <w:tcPr>
            <w:tcW w:type="dxa" w:w="978"/>
            <w:vAlign w:val="center"/>
          </w:tcPr>
          <w:p>
            <w:pPr>
              <w:spacing w:before="20" w:after="20" w:line="260" w:lineRule="auto"/>
              <w:ind w:firstLine="0"/>
              <w:jc w:val="center"/>
            </w:pPr>
            <w:r>
              <w:rPr>
                <w:sz w:val="20"/>
                <w:szCs w:val="20"/>
              </w:rPr>
              <w:t xml:space="preserve">−19,15</w:t>
            </w:r>
          </w:p>
        </w:tc>
        <w:tc>
          <w:tcPr>
            <w:tcW w:type="dxa" w:w="979"/>
            <w:vAlign w:val="center"/>
          </w:tcPr>
          <w:p>
            <w:pPr>
              <w:spacing w:before="20" w:after="20" w:line="260" w:lineRule="auto"/>
              <w:ind w:firstLine="0"/>
              <w:jc w:val="center"/>
            </w:pPr>
            <w:r>
              <w:rPr>
                <w:sz w:val="20"/>
                <w:szCs w:val="20"/>
              </w:rPr>
              <w:t xml:space="preserve">71,40%</w:t>
            </w:r>
          </w:p>
        </w:tc>
      </w:tr>
      <w:tr>
        <w:trPr>
          <w:cantSplit/>
        </w:trPr>
        <w:tc>
          <w:tcPr>
            <w:tcW w:type="dxa" w:w="978"/>
            <w:vAlign w:val="center"/>
          </w:tcPr>
          <w:p>
            <w:pPr>
              <w:spacing w:before="20" w:after="20" w:line="260" w:lineRule="auto"/>
              <w:ind w:firstLine="0"/>
              <w:jc w:val="center"/>
            </w:pPr>
            <w:r>
              <w:rPr>
                <w:sz w:val="20"/>
                <w:szCs w:val="20"/>
              </w:rPr>
              <w:t xml:space="preserve">27</w:t>
            </w:r>
          </w:p>
        </w:tc>
        <w:tc>
          <w:tcPr>
            <w:tcW w:type="dxa" w:w="1246"/>
            <w:vAlign w:val="center"/>
          </w:tcPr>
          <w:p>
            <w:pPr>
              <w:spacing w:before="20" w:after="20" w:line="260" w:lineRule="auto"/>
              <w:ind w:firstLine="0"/>
              <w:jc w:val="left"/>
            </w:pPr>
            <w:r>
              <w:rPr>
                <w:sz w:val="20"/>
                <w:szCs w:val="20"/>
              </w:rPr>
              <w:t xml:space="preserve">Daule</w:t>
            </w:r>
          </w:p>
        </w:tc>
        <w:tc>
          <w:tcPr>
            <w:tcW w:type="dxa" w:w="978"/>
            <w:vAlign w:val="center"/>
          </w:tcPr>
          <w:p>
            <w:pPr>
              <w:spacing w:before="20" w:after="20" w:line="260" w:lineRule="auto"/>
              <w:ind w:firstLine="0"/>
              <w:jc w:val="left"/>
            </w:pPr>
            <w:r>
              <w:rPr>
                <w:sz w:val="20"/>
                <w:szCs w:val="20"/>
              </w:rPr>
              <w:t xml:space="preserve">D</w:t>
            </w:r>
          </w:p>
        </w:tc>
        <w:tc>
          <w:tcPr>
            <w:tcW w:type="dxa" w:w="978"/>
            <w:vAlign w:val="center"/>
          </w:tcPr>
          <w:p>
            <w:pPr>
              <w:spacing w:before="20" w:after="20" w:line="260" w:lineRule="auto"/>
              <w:ind w:firstLine="0"/>
              <w:jc w:val="center"/>
            </w:pPr>
            <w:r>
              <w:rPr>
                <w:sz w:val="20"/>
                <w:szCs w:val="20"/>
              </w:rPr>
              <w:t xml:space="preserve">1</w:t>
            </w:r>
          </w:p>
        </w:tc>
        <w:tc>
          <w:tcPr>
            <w:tcW w:type="dxa" w:w="978"/>
            <w:vAlign w:val="center"/>
          </w:tcPr>
          <w:p>
            <w:pPr>
              <w:spacing w:before="20" w:after="20" w:line="260" w:lineRule="auto"/>
              <w:ind w:firstLine="0"/>
              <w:jc w:val="center"/>
            </w:pPr>
            <w:r>
              <w:rPr>
                <w:sz w:val="20"/>
                <w:szCs w:val="20"/>
              </w:rPr>
              <w:t xml:space="preserve">236.020</w:t>
            </w:r>
          </w:p>
        </w:tc>
        <w:tc>
          <w:tcPr>
            <w:tcW w:type="dxa" w:w="978"/>
            <w:vAlign w:val="center"/>
          </w:tcPr>
          <w:p>
            <w:pPr>
              <w:spacing w:before="20" w:after="20" w:line="260" w:lineRule="auto"/>
              <w:ind w:firstLine="0"/>
              <w:jc w:val="center"/>
            </w:pPr>
            <w:r>
              <w:rPr>
                <w:sz w:val="20"/>
                <w:szCs w:val="20"/>
              </w:rPr>
              <w:t xml:space="preserve">246.024</w:t>
            </w:r>
          </w:p>
        </w:tc>
        <w:tc>
          <w:tcPr>
            <w:tcW w:type="dxa" w:w="978"/>
            <w:vAlign w:val="center"/>
          </w:tcPr>
          <w:p>
            <w:pPr>
              <w:spacing w:before="20" w:after="20" w:line="260" w:lineRule="auto"/>
              <w:ind w:firstLine="0"/>
              <w:jc w:val="center"/>
            </w:pPr>
            <w:r>
              <w:rPr>
                <w:sz w:val="20"/>
                <w:szCs w:val="20"/>
              </w:rPr>
              <w:t xml:space="preserve">10,60%</w:t>
            </w:r>
          </w:p>
        </w:tc>
        <w:tc>
          <w:tcPr>
            <w:tcW w:type="dxa" w:w="978"/>
            <w:vAlign w:val="center"/>
          </w:tcPr>
          <w:p>
            <w:pPr>
              <w:spacing w:before="20" w:after="20" w:line="260" w:lineRule="auto"/>
              <w:ind w:firstLine="0"/>
              <w:jc w:val="center"/>
            </w:pPr>
            <w:r>
              <w:rPr>
                <w:sz w:val="20"/>
                <w:szCs w:val="20"/>
              </w:rPr>
              <w:t xml:space="preserve">−18,95</w:t>
            </w:r>
          </w:p>
        </w:tc>
        <w:tc>
          <w:tcPr>
            <w:tcW w:type="dxa" w:w="979"/>
            <w:vAlign w:val="center"/>
          </w:tcPr>
          <w:p>
            <w:pPr>
              <w:spacing w:before="20" w:after="20" w:line="260" w:lineRule="auto"/>
              <w:ind w:firstLine="0"/>
              <w:jc w:val="center"/>
            </w:pPr>
            <w:r>
              <w:rPr>
                <w:sz w:val="20"/>
                <w:szCs w:val="20"/>
              </w:rPr>
              <w:t xml:space="preserve">79,17%</w:t>
            </w:r>
          </w:p>
        </w:tc>
      </w:tr>
      <w:tr>
        <w:trPr>
          <w:cantSplit/>
        </w:trPr>
        <w:tc>
          <w:tcPr>
            <w:tcW w:type="dxa" w:w="978"/>
            <w:vAlign w:val="center"/>
          </w:tcPr>
          <w:p>
            <w:pPr>
              <w:spacing w:before="20" w:after="20" w:line="260" w:lineRule="auto"/>
              <w:ind w:firstLine="0"/>
              <w:jc w:val="center"/>
            </w:pPr>
            <w:r>
              <w:rPr>
                <w:sz w:val="20"/>
                <w:szCs w:val="20"/>
              </w:rPr>
              <w:t xml:space="preserve">28</w:t>
            </w:r>
          </w:p>
        </w:tc>
        <w:tc>
          <w:tcPr>
            <w:tcW w:type="dxa" w:w="1246"/>
            <w:vAlign w:val="center"/>
          </w:tcPr>
          <w:p>
            <w:pPr>
              <w:spacing w:before="20" w:after="20" w:line="260" w:lineRule="auto"/>
              <w:ind w:firstLine="0"/>
              <w:jc w:val="left"/>
            </w:pPr>
            <w:r>
              <w:rPr>
                <w:sz w:val="20"/>
                <w:szCs w:val="20"/>
              </w:rPr>
              <w:t xml:space="preserve">Guayaquil</w:t>
            </w:r>
          </w:p>
        </w:tc>
        <w:tc>
          <w:tcPr>
            <w:tcW w:type="dxa" w:w="978"/>
            <w:vAlign w:val="center"/>
          </w:tcPr>
          <w:p>
            <w:pPr>
              <w:spacing w:before="20" w:after="20" w:line="260" w:lineRule="auto"/>
              <w:ind w:firstLine="0"/>
              <w:jc w:val="left"/>
            </w:pPr>
            <w:r>
              <w:rPr>
                <w:sz w:val="20"/>
                <w:szCs w:val="20"/>
              </w:rPr>
              <w:t xml:space="preserve">E</w:t>
            </w:r>
          </w:p>
        </w:tc>
        <w:tc>
          <w:tcPr>
            <w:tcW w:type="dxa" w:w="978"/>
            <w:vAlign w:val="center"/>
          </w:tcPr>
          <w:p>
            <w:pPr>
              <w:spacing w:before="20" w:after="20" w:line="260" w:lineRule="auto"/>
              <w:ind w:firstLine="0"/>
              <w:jc w:val="center"/>
            </w:pPr>
            <w:r>
              <w:rPr>
                <w:sz w:val="20"/>
                <w:szCs w:val="20"/>
              </w:rPr>
              <w:t xml:space="preserve">10</w:t>
            </w:r>
          </w:p>
        </w:tc>
        <w:tc>
          <w:tcPr>
            <w:tcW w:type="dxa" w:w="978"/>
            <w:vAlign w:val="center"/>
          </w:tcPr>
          <w:p>
            <w:pPr>
              <w:spacing w:before="20" w:after="20" w:line="260" w:lineRule="auto"/>
              <w:ind w:firstLine="0"/>
              <w:jc w:val="center"/>
            </w:pPr>
            <w:r>
              <w:rPr>
                <w:sz w:val="20"/>
                <w:szCs w:val="20"/>
              </w:rPr>
              <w:t xml:space="preserve">260.468</w:t>
            </w:r>
          </w:p>
        </w:tc>
        <w:tc>
          <w:tcPr>
            <w:tcW w:type="dxa" w:w="978"/>
            <w:vAlign w:val="center"/>
          </w:tcPr>
          <w:p>
            <w:pPr>
              <w:spacing w:before="20" w:after="20" w:line="260" w:lineRule="auto"/>
              <w:ind w:firstLine="0"/>
              <w:jc w:val="center"/>
            </w:pPr>
            <w:r>
              <w:rPr>
                <w:sz w:val="20"/>
                <w:szCs w:val="20"/>
              </w:rPr>
              <w:t xml:space="preserve">252.840</w:t>
            </w:r>
          </w:p>
        </w:tc>
        <w:tc>
          <w:tcPr>
            <w:tcW w:type="dxa" w:w="978"/>
            <w:vAlign w:val="center"/>
          </w:tcPr>
          <w:p>
            <w:pPr>
              <w:spacing w:before="20" w:after="20" w:line="260" w:lineRule="auto"/>
              <w:ind w:firstLine="0"/>
              <w:jc w:val="center"/>
            </w:pPr>
            <w:r>
              <w:rPr>
                <w:sz w:val="20"/>
                <w:szCs w:val="20"/>
              </w:rPr>
              <w:t xml:space="preserve">16,79%</w:t>
            </w:r>
          </w:p>
        </w:tc>
        <w:tc>
          <w:tcPr>
            <w:tcW w:type="dxa" w:w="978"/>
            <w:vAlign w:val="center"/>
          </w:tcPr>
          <w:p>
            <w:pPr>
              <w:spacing w:before="20" w:after="20" w:line="260" w:lineRule="auto"/>
              <w:ind w:firstLine="0"/>
              <w:jc w:val="center"/>
            </w:pPr>
            <w:r>
              <w:rPr>
                <w:sz w:val="20"/>
                <w:szCs w:val="20"/>
              </w:rPr>
              <w:t xml:space="preserve">14,45</w:t>
            </w:r>
          </w:p>
        </w:tc>
        <w:tc>
          <w:tcPr>
            <w:tcW w:type="dxa" w:w="979"/>
            <w:vAlign w:val="center"/>
          </w:tcPr>
          <w:p>
            <w:pPr>
              <w:spacing w:before="20" w:after="20" w:line="260" w:lineRule="auto"/>
              <w:ind w:firstLine="0"/>
              <w:jc w:val="center"/>
            </w:pPr>
            <w:r>
              <w:rPr>
                <w:sz w:val="20"/>
                <w:szCs w:val="20"/>
              </w:rPr>
              <w:t xml:space="preserve">73,67%</w:t>
            </w:r>
          </w:p>
        </w:tc>
      </w:tr>
      <w:tr>
        <w:trPr>
          <w:cantSplit/>
        </w:trPr>
        <w:tc>
          <w:tcPr>
            <w:tcW w:type="dxa" w:w="978"/>
            <w:vAlign w:val="center"/>
          </w:tcPr>
          <w:p>
            <w:pPr>
              <w:spacing w:before="20" w:after="20" w:line="260" w:lineRule="auto"/>
              <w:ind w:firstLine="0"/>
              <w:jc w:val="center"/>
            </w:pPr>
            <w:r>
              <w:rPr>
                <w:sz w:val="20"/>
                <w:szCs w:val="20"/>
              </w:rPr>
              <w:t xml:space="preserve">29</w:t>
            </w:r>
          </w:p>
        </w:tc>
        <w:tc>
          <w:tcPr>
            <w:tcW w:type="dxa" w:w="1246"/>
            <w:vAlign w:val="center"/>
          </w:tcPr>
          <w:p>
            <w:pPr>
              <w:spacing w:before="20" w:after="20" w:line="260" w:lineRule="auto"/>
              <w:ind w:firstLine="0"/>
              <w:jc w:val="left"/>
            </w:pPr>
            <w:r>
              <w:rPr>
                <w:sz w:val="20"/>
                <w:szCs w:val="20"/>
              </w:rPr>
              <w:t xml:space="preserve">Guayaquil</w:t>
            </w:r>
          </w:p>
        </w:tc>
        <w:tc>
          <w:tcPr>
            <w:tcW w:type="dxa" w:w="978"/>
            <w:vAlign w:val="center"/>
          </w:tcPr>
          <w:p>
            <w:pPr>
              <w:spacing w:before="20" w:after="20" w:line="260" w:lineRule="auto"/>
              <w:ind w:firstLine="0"/>
              <w:jc w:val="left"/>
            </w:pPr>
            <w:r>
              <w:rPr>
                <w:sz w:val="20"/>
                <w:szCs w:val="20"/>
              </w:rPr>
              <w:t xml:space="preserve">E</w:t>
            </w:r>
          </w:p>
        </w:tc>
        <w:tc>
          <w:tcPr>
            <w:tcW w:type="dxa" w:w="978"/>
            <w:vAlign w:val="center"/>
          </w:tcPr>
          <w:p>
            <w:pPr>
              <w:spacing w:before="20" w:after="20" w:line="260" w:lineRule="auto"/>
              <w:ind w:firstLine="0"/>
              <w:jc w:val="center"/>
            </w:pPr>
            <w:r>
              <w:rPr>
                <w:sz w:val="20"/>
                <w:szCs w:val="20"/>
              </w:rPr>
              <w:t xml:space="preserve">10</w:t>
            </w:r>
          </w:p>
        </w:tc>
        <w:tc>
          <w:tcPr>
            <w:tcW w:type="dxa" w:w="978"/>
            <w:vAlign w:val="center"/>
          </w:tcPr>
          <w:p>
            <w:pPr>
              <w:spacing w:before="20" w:after="20" w:line="260" w:lineRule="auto"/>
              <w:ind w:firstLine="0"/>
              <w:jc w:val="center"/>
            </w:pPr>
            <w:r>
              <w:rPr>
                <w:sz w:val="20"/>
                <w:szCs w:val="20"/>
              </w:rPr>
              <w:t xml:space="preserve">213.341</w:t>
            </w:r>
          </w:p>
        </w:tc>
        <w:tc>
          <w:tcPr>
            <w:tcW w:type="dxa" w:w="978"/>
            <w:vAlign w:val="center"/>
          </w:tcPr>
          <w:p>
            <w:pPr>
              <w:spacing w:before="20" w:after="20" w:line="260" w:lineRule="auto"/>
              <w:ind w:firstLine="0"/>
              <w:jc w:val="center"/>
            </w:pPr>
            <w:r>
              <w:rPr>
                <w:sz w:val="20"/>
                <w:szCs w:val="20"/>
              </w:rPr>
              <w:t xml:space="preserve">208.211</w:t>
            </w:r>
          </w:p>
        </w:tc>
        <w:tc>
          <w:tcPr>
            <w:tcW w:type="dxa" w:w="978"/>
            <w:vAlign w:val="center"/>
          </w:tcPr>
          <w:p>
            <w:pPr>
              <w:spacing w:before="20" w:after="20" w:line="260" w:lineRule="auto"/>
              <w:ind w:firstLine="0"/>
              <w:jc w:val="center"/>
            </w:pPr>
            <w:r>
              <w:rPr>
                <w:sz w:val="20"/>
                <w:szCs w:val="20"/>
              </w:rPr>
              <w:t xml:space="preserve">10,86%</w:t>
            </w:r>
          </w:p>
        </w:tc>
        <w:tc>
          <w:tcPr>
            <w:tcW w:type="dxa" w:w="978"/>
            <w:vAlign w:val="center"/>
          </w:tcPr>
          <w:p>
            <w:pPr>
              <w:spacing w:before="20" w:after="20" w:line="260" w:lineRule="auto"/>
              <w:ind w:firstLine="0"/>
              <w:jc w:val="center"/>
            </w:pPr>
            <w:r>
              <w:rPr>
                <w:sz w:val="20"/>
                <w:szCs w:val="20"/>
              </w:rPr>
              <w:t xml:space="preserve">9,72</w:t>
            </w:r>
          </w:p>
        </w:tc>
        <w:tc>
          <w:tcPr>
            <w:tcW w:type="dxa" w:w="979"/>
            <w:vAlign w:val="center"/>
          </w:tcPr>
          <w:p>
            <w:pPr>
              <w:spacing w:before="20" w:after="20" w:line="260" w:lineRule="auto"/>
              <w:ind w:firstLine="0"/>
              <w:jc w:val="center"/>
            </w:pPr>
            <w:r>
              <w:rPr>
                <w:sz w:val="20"/>
                <w:szCs w:val="20"/>
              </w:rPr>
              <w:t xml:space="preserve">79,17%</w:t>
            </w:r>
          </w:p>
        </w:tc>
      </w:tr>
      <w:tr>
        <w:trPr>
          <w:cantSplit/>
        </w:trPr>
        <w:tc>
          <w:tcPr>
            <w:tcW w:type="dxa" w:w="978"/>
            <w:vAlign w:val="center"/>
          </w:tcPr>
          <w:p>
            <w:pPr>
              <w:spacing w:before="20" w:after="20" w:line="260" w:lineRule="auto"/>
              <w:ind w:firstLine="0"/>
              <w:jc w:val="center"/>
            </w:pPr>
            <w:r>
              <w:rPr>
                <w:sz w:val="20"/>
                <w:szCs w:val="20"/>
              </w:rPr>
              <w:t xml:space="preserve">30</w:t>
            </w:r>
          </w:p>
        </w:tc>
        <w:tc>
          <w:tcPr>
            <w:tcW w:type="dxa" w:w="1246"/>
            <w:vAlign w:val="center"/>
          </w:tcPr>
          <w:p>
            <w:pPr>
              <w:spacing w:before="20" w:after="20" w:line="260" w:lineRule="auto"/>
              <w:ind w:firstLine="0"/>
              <w:jc w:val="left"/>
            </w:pPr>
            <w:r>
              <w:rPr>
                <w:sz w:val="20"/>
                <w:szCs w:val="20"/>
              </w:rPr>
              <w:t xml:space="preserve">Guayaquil</w:t>
            </w:r>
          </w:p>
        </w:tc>
        <w:tc>
          <w:tcPr>
            <w:tcW w:type="dxa" w:w="978"/>
            <w:vAlign w:val="center"/>
          </w:tcPr>
          <w:p>
            <w:pPr>
              <w:spacing w:before="20" w:after="20" w:line="260" w:lineRule="auto"/>
              <w:ind w:firstLine="0"/>
              <w:jc w:val="left"/>
            </w:pPr>
            <w:r>
              <w:rPr>
                <w:sz w:val="20"/>
                <w:szCs w:val="20"/>
              </w:rPr>
              <w:t xml:space="preserve">C</w:t>
            </w:r>
          </w:p>
        </w:tc>
        <w:tc>
          <w:tcPr>
            <w:tcW w:type="dxa" w:w="978"/>
            <w:vAlign w:val="center"/>
          </w:tcPr>
          <w:p>
            <w:pPr>
              <w:spacing w:before="20" w:after="20" w:line="260" w:lineRule="auto"/>
              <w:ind w:firstLine="0"/>
              <w:jc w:val="center"/>
            </w:pPr>
            <w:r>
              <w:rPr>
                <w:sz w:val="20"/>
                <w:szCs w:val="20"/>
              </w:rPr>
              <w:t xml:space="preserve">3</w:t>
            </w:r>
          </w:p>
        </w:tc>
        <w:tc>
          <w:tcPr>
            <w:tcW w:type="dxa" w:w="978"/>
            <w:vAlign w:val="center"/>
          </w:tcPr>
          <w:p>
            <w:pPr>
              <w:spacing w:before="20" w:after="20" w:line="260" w:lineRule="auto"/>
              <w:ind w:firstLine="0"/>
              <w:jc w:val="center"/>
            </w:pPr>
            <w:r>
              <w:rPr>
                <w:sz w:val="20"/>
                <w:szCs w:val="20"/>
              </w:rPr>
              <w:t xml:space="preserve">105.535</w:t>
            </w:r>
          </w:p>
        </w:tc>
        <w:tc>
          <w:tcPr>
            <w:tcW w:type="dxa" w:w="978"/>
            <w:vAlign w:val="center"/>
          </w:tcPr>
          <w:p>
            <w:pPr>
              <w:spacing w:before="20" w:after="20" w:line="260" w:lineRule="auto"/>
              <w:ind w:firstLine="0"/>
              <w:jc w:val="center"/>
            </w:pPr>
            <w:r>
              <w:rPr>
                <w:sz w:val="20"/>
                <w:szCs w:val="20"/>
              </w:rPr>
              <w:t xml:space="preserve">112.266</w:t>
            </w:r>
          </w:p>
        </w:tc>
        <w:tc>
          <w:tcPr>
            <w:tcW w:type="dxa" w:w="978"/>
            <w:vAlign w:val="center"/>
          </w:tcPr>
          <w:p>
            <w:pPr>
              <w:spacing w:before="20" w:after="20" w:line="260" w:lineRule="auto"/>
              <w:ind w:firstLine="0"/>
              <w:jc w:val="center"/>
            </w:pPr>
            <w:r>
              <w:rPr>
                <w:sz w:val="20"/>
                <w:szCs w:val="20"/>
              </w:rPr>
              <w:t xml:space="preserve">29,18%</w:t>
            </w:r>
          </w:p>
        </w:tc>
        <w:tc>
          <w:tcPr>
            <w:tcW w:type="dxa" w:w="978"/>
            <w:vAlign w:val="center"/>
          </w:tcPr>
          <w:p>
            <w:pPr>
              <w:spacing w:before="20" w:after="20" w:line="260" w:lineRule="auto"/>
              <w:ind w:firstLine="0"/>
              <w:jc w:val="center"/>
            </w:pPr>
            <w:r>
              <w:rPr>
                <w:sz w:val="20"/>
                <w:szCs w:val="20"/>
              </w:rPr>
              <w:t xml:space="preserve">−12,75</w:t>
            </w:r>
          </w:p>
        </w:tc>
        <w:tc>
          <w:tcPr>
            <w:tcW w:type="dxa" w:w="979"/>
            <w:vAlign w:val="center"/>
          </w:tcPr>
          <w:p>
            <w:pPr>
              <w:spacing w:before="20" w:after="20" w:line="260" w:lineRule="auto"/>
              <w:ind w:firstLine="0"/>
              <w:jc w:val="center"/>
            </w:pPr>
            <w:r>
              <w:rPr>
                <w:sz w:val="20"/>
                <w:szCs w:val="20"/>
              </w:rPr>
              <w:t xml:space="preserve">77,65%</w:t>
            </w:r>
          </w:p>
        </w:tc>
      </w:tr>
      <w:tr>
        <w:trPr>
          <w:cantSplit/>
        </w:trPr>
        <w:tc>
          <w:tcPr>
            <w:tcW w:type="dxa" w:w="978"/>
            <w:vAlign w:val="center"/>
          </w:tcPr>
          <w:p>
            <w:pPr>
              <w:spacing w:before="20" w:after="20" w:line="260" w:lineRule="auto"/>
              <w:ind w:firstLine="0"/>
              <w:jc w:val="center"/>
            </w:pPr>
            <w:r>
              <w:rPr>
                <w:sz w:val="20"/>
                <w:szCs w:val="20"/>
              </w:rPr>
              <w:t xml:space="preserve">31</w:t>
            </w:r>
          </w:p>
        </w:tc>
        <w:tc>
          <w:tcPr>
            <w:tcW w:type="dxa" w:w="1246"/>
            <w:vAlign w:val="center"/>
          </w:tcPr>
          <w:p>
            <w:pPr>
              <w:spacing w:before="20" w:after="20" w:line="260" w:lineRule="auto"/>
              <w:ind w:firstLine="0"/>
              <w:jc w:val="left"/>
            </w:pPr>
            <w:r>
              <w:rPr>
                <w:sz w:val="20"/>
                <w:szCs w:val="20"/>
              </w:rPr>
              <w:t xml:space="preserve">Babahoyo</w:t>
            </w:r>
          </w:p>
        </w:tc>
        <w:tc>
          <w:tcPr>
            <w:tcW w:type="dxa" w:w="978"/>
            <w:vAlign w:val="center"/>
          </w:tcPr>
          <w:p>
            <w:pPr>
              <w:spacing w:before="20" w:after="20" w:line="260" w:lineRule="auto"/>
              <w:ind w:firstLine="0"/>
              <w:jc w:val="left"/>
            </w:pPr>
            <w:r>
              <w:rPr>
                <w:sz w:val="20"/>
                <w:szCs w:val="20"/>
              </w:rPr>
              <w:t xml:space="preserve">B</w:t>
            </w:r>
          </w:p>
        </w:tc>
        <w:tc>
          <w:tcPr>
            <w:tcW w:type="dxa" w:w="978"/>
            <w:vAlign w:val="center"/>
          </w:tcPr>
          <w:p>
            <w:pPr>
              <w:spacing w:before="20" w:after="20" w:line="260" w:lineRule="auto"/>
              <w:ind w:firstLine="0"/>
              <w:jc w:val="center"/>
            </w:pPr>
            <w:r>
              <w:rPr>
                <w:sz w:val="20"/>
                <w:szCs w:val="20"/>
              </w:rPr>
              <w:t xml:space="preserve">10</w:t>
            </w:r>
          </w:p>
        </w:tc>
        <w:tc>
          <w:tcPr>
            <w:tcW w:type="dxa" w:w="978"/>
            <w:vAlign w:val="center"/>
          </w:tcPr>
          <w:p>
            <w:pPr>
              <w:spacing w:before="20" w:after="20" w:line="260" w:lineRule="auto"/>
              <w:ind w:firstLine="0"/>
              <w:jc w:val="center"/>
            </w:pPr>
            <w:r>
              <w:rPr>
                <w:sz w:val="20"/>
                <w:szCs w:val="20"/>
              </w:rPr>
              <w:t xml:space="preserve">236.023</w:t>
            </w:r>
          </w:p>
        </w:tc>
        <w:tc>
          <w:tcPr>
            <w:tcW w:type="dxa" w:w="978"/>
            <w:vAlign w:val="center"/>
          </w:tcPr>
          <w:p>
            <w:pPr>
              <w:spacing w:before="20" w:after="20" w:line="260" w:lineRule="auto"/>
              <w:ind w:firstLine="0"/>
              <w:jc w:val="center"/>
            </w:pPr>
            <w:r>
              <w:rPr>
                <w:sz w:val="20"/>
                <w:szCs w:val="20"/>
              </w:rPr>
              <w:t xml:space="preserve">229.161</w:t>
            </w:r>
          </w:p>
        </w:tc>
        <w:tc>
          <w:tcPr>
            <w:tcW w:type="dxa" w:w="978"/>
            <w:vAlign w:val="center"/>
          </w:tcPr>
          <w:p>
            <w:pPr>
              <w:spacing w:before="20" w:after="20" w:line="260" w:lineRule="auto"/>
              <w:ind w:firstLine="0"/>
              <w:jc w:val="center"/>
            </w:pPr>
            <w:r>
              <w:rPr>
                <w:sz w:val="20"/>
                <w:szCs w:val="20"/>
              </w:rPr>
              <w:t xml:space="preserve">13,50%</w:t>
            </w:r>
          </w:p>
        </w:tc>
        <w:tc>
          <w:tcPr>
            <w:tcW w:type="dxa" w:w="978"/>
            <w:vAlign w:val="center"/>
          </w:tcPr>
          <w:p>
            <w:pPr>
              <w:spacing w:before="20" w:after="20" w:line="260" w:lineRule="auto"/>
              <w:ind w:firstLine="0"/>
              <w:jc w:val="center"/>
            </w:pPr>
            <w:r>
              <w:rPr>
                <w:sz w:val="20"/>
                <w:szCs w:val="20"/>
              </w:rPr>
              <w:t xml:space="preserve">13,00</w:t>
            </w:r>
          </w:p>
        </w:tc>
        <w:tc>
          <w:tcPr>
            <w:tcW w:type="dxa" w:w="979"/>
            <w:vAlign w:val="center"/>
          </w:tcPr>
          <w:p>
            <w:pPr>
              <w:spacing w:before="20" w:after="20" w:line="260" w:lineRule="auto"/>
              <w:ind w:firstLine="0"/>
              <w:jc w:val="center"/>
            </w:pPr>
            <w:r>
              <w:rPr>
                <w:sz w:val="20"/>
                <w:szCs w:val="20"/>
              </w:rPr>
              <w:t xml:space="preserve">78,98%</w:t>
            </w:r>
          </w:p>
        </w:tc>
      </w:tr>
      <w:tr>
        <w:trPr>
          <w:cantSplit/>
        </w:trPr>
        <w:tc>
          <w:tcPr>
            <w:tcW w:type="dxa" w:w="978"/>
            <w:vAlign w:val="center"/>
          </w:tcPr>
          <w:p>
            <w:pPr>
              <w:spacing w:before="20" w:after="20" w:line="260" w:lineRule="auto"/>
              <w:ind w:firstLine="0"/>
              <w:jc w:val="center"/>
            </w:pPr>
            <w:r>
              <w:rPr>
                <w:sz w:val="20"/>
                <w:szCs w:val="20"/>
              </w:rPr>
              <w:t xml:space="preserve">32</w:t>
            </w:r>
          </w:p>
        </w:tc>
        <w:tc>
          <w:tcPr>
            <w:tcW w:type="dxa" w:w="1246"/>
            <w:vAlign w:val="center"/>
          </w:tcPr>
          <w:p>
            <w:pPr>
              <w:spacing w:before="20" w:after="20" w:line="260" w:lineRule="auto"/>
              <w:ind w:firstLine="0"/>
              <w:jc w:val="left"/>
            </w:pPr>
            <w:r>
              <w:rPr>
                <w:sz w:val="20"/>
                <w:szCs w:val="20"/>
              </w:rPr>
              <w:t xml:space="preserve">Guayaquil</w:t>
            </w:r>
          </w:p>
        </w:tc>
        <w:tc>
          <w:tcPr>
            <w:tcW w:type="dxa" w:w="978"/>
            <w:vAlign w:val="center"/>
          </w:tcPr>
          <w:p>
            <w:pPr>
              <w:spacing w:before="20" w:after="20" w:line="260" w:lineRule="auto"/>
              <w:ind w:firstLine="0"/>
              <w:jc w:val="left"/>
            </w:pPr>
            <w:r>
              <w:rPr>
                <w:sz w:val="20"/>
                <w:szCs w:val="20"/>
              </w:rPr>
              <w:t xml:space="preserve">C</w:t>
            </w:r>
          </w:p>
        </w:tc>
        <w:tc>
          <w:tcPr>
            <w:tcW w:type="dxa" w:w="978"/>
            <w:vAlign w:val="center"/>
          </w:tcPr>
          <w:p>
            <w:pPr>
              <w:spacing w:before="20" w:after="20" w:line="260" w:lineRule="auto"/>
              <w:ind w:firstLine="0"/>
              <w:jc w:val="center"/>
            </w:pPr>
            <w:r>
              <w:rPr>
                <w:sz w:val="20"/>
                <w:szCs w:val="20"/>
              </w:rPr>
              <w:t xml:space="preserve">3</w:t>
            </w:r>
          </w:p>
        </w:tc>
        <w:tc>
          <w:tcPr>
            <w:tcW w:type="dxa" w:w="978"/>
            <w:vAlign w:val="center"/>
          </w:tcPr>
          <w:p>
            <w:pPr>
              <w:spacing w:before="20" w:after="20" w:line="260" w:lineRule="auto"/>
              <w:ind w:firstLine="0"/>
              <w:jc w:val="center"/>
            </w:pPr>
            <w:r>
              <w:rPr>
                <w:sz w:val="20"/>
                <w:szCs w:val="20"/>
              </w:rPr>
              <w:t xml:space="preserve">83.639</w:t>
            </w:r>
          </w:p>
        </w:tc>
        <w:tc>
          <w:tcPr>
            <w:tcW w:type="dxa" w:w="978"/>
            <w:vAlign w:val="center"/>
          </w:tcPr>
          <w:p>
            <w:pPr>
              <w:spacing w:before="20" w:after="20" w:line="260" w:lineRule="auto"/>
              <w:ind w:firstLine="0"/>
              <w:jc w:val="center"/>
            </w:pPr>
            <w:r>
              <w:rPr>
                <w:sz w:val="20"/>
                <w:szCs w:val="20"/>
              </w:rPr>
              <w:t xml:space="preserve">77.792</w:t>
            </w:r>
          </w:p>
        </w:tc>
        <w:tc>
          <w:tcPr>
            <w:tcW w:type="dxa" w:w="978"/>
            <w:vAlign w:val="center"/>
          </w:tcPr>
          <w:p>
            <w:pPr>
              <w:spacing w:before="20" w:after="20" w:line="260" w:lineRule="auto"/>
              <w:ind w:firstLine="0"/>
              <w:jc w:val="center"/>
            </w:pPr>
            <w:r>
              <w:rPr>
                <w:sz w:val="20"/>
                <w:szCs w:val="20"/>
              </w:rPr>
              <w:t xml:space="preserve">28,73%</w:t>
            </w:r>
          </w:p>
        </w:tc>
        <w:tc>
          <w:tcPr>
            <w:tcW w:type="dxa" w:w="978"/>
            <w:vAlign w:val="center"/>
          </w:tcPr>
          <w:p>
            <w:pPr>
              <w:spacing w:before="20" w:after="20" w:line="260" w:lineRule="auto"/>
              <w:ind w:firstLine="0"/>
              <w:jc w:val="center"/>
            </w:pPr>
            <w:r>
              <w:rPr>
                <w:sz w:val="20"/>
                <w:szCs w:val="20"/>
              </w:rPr>
              <w:t xml:space="preserve">11,07</w:t>
            </w:r>
          </w:p>
        </w:tc>
        <w:tc>
          <w:tcPr>
            <w:tcW w:type="dxa" w:w="979"/>
            <w:vAlign w:val="center"/>
          </w:tcPr>
          <w:p>
            <w:pPr>
              <w:spacing w:before="20" w:after="20" w:line="260" w:lineRule="auto"/>
              <w:ind w:firstLine="0"/>
              <w:jc w:val="center"/>
            </w:pPr>
            <w:r>
              <w:rPr>
                <w:sz w:val="20"/>
                <w:szCs w:val="20"/>
              </w:rPr>
              <w:t xml:space="preserve">77,08%</w:t>
            </w:r>
          </w:p>
        </w:tc>
      </w:tr>
      <w:tr>
        <w:trPr>
          <w:cantSplit/>
        </w:trPr>
        <w:tc>
          <w:tcPr>
            <w:tcW w:type="dxa" w:w="978"/>
            <w:vAlign w:val="center"/>
          </w:tcPr>
          <w:p>
            <w:pPr>
              <w:spacing w:before="20" w:after="20" w:line="260" w:lineRule="auto"/>
              <w:ind w:firstLine="0"/>
              <w:jc w:val="center"/>
            </w:pPr>
            <w:r>
              <w:rPr>
                <w:sz w:val="20"/>
                <w:szCs w:val="20"/>
              </w:rPr>
              <w:t xml:space="preserve">33</w:t>
            </w:r>
          </w:p>
        </w:tc>
        <w:tc>
          <w:tcPr>
            <w:tcW w:type="dxa" w:w="1246"/>
            <w:vAlign w:val="center"/>
          </w:tcPr>
          <w:p>
            <w:pPr>
              <w:spacing w:before="20" w:after="20" w:line="260" w:lineRule="auto"/>
              <w:ind w:firstLine="0"/>
              <w:jc w:val="left"/>
            </w:pPr>
            <w:r>
              <w:rPr>
                <w:sz w:val="20"/>
                <w:szCs w:val="20"/>
              </w:rPr>
              <w:t xml:space="preserve">Quevedo</w:t>
            </w:r>
          </w:p>
        </w:tc>
        <w:tc>
          <w:tcPr>
            <w:tcW w:type="dxa" w:w="978"/>
            <w:vAlign w:val="center"/>
          </w:tcPr>
          <w:p>
            <w:pPr>
              <w:spacing w:before="20" w:after="20" w:line="260" w:lineRule="auto"/>
              <w:ind w:firstLine="0"/>
              <w:jc w:val="left"/>
            </w:pPr>
            <w:r>
              <w:rPr>
                <w:sz w:val="20"/>
                <w:szCs w:val="20"/>
              </w:rPr>
              <w:t xml:space="preserve">C</w:t>
            </w:r>
          </w:p>
        </w:tc>
        <w:tc>
          <w:tcPr>
            <w:tcW w:type="dxa" w:w="978"/>
            <w:vAlign w:val="center"/>
          </w:tcPr>
          <w:p>
            <w:pPr>
              <w:spacing w:before="20" w:after="20" w:line="260" w:lineRule="auto"/>
              <w:ind w:firstLine="0"/>
              <w:jc w:val="center"/>
            </w:pPr>
            <w:r>
              <w:rPr>
                <w:sz w:val="20"/>
                <w:szCs w:val="20"/>
              </w:rPr>
              <w:t xml:space="preserve">3</w:t>
            </w:r>
          </w:p>
        </w:tc>
        <w:tc>
          <w:tcPr>
            <w:tcW w:type="dxa" w:w="978"/>
            <w:vAlign w:val="center"/>
          </w:tcPr>
          <w:p>
            <w:pPr>
              <w:spacing w:before="20" w:after="20" w:line="260" w:lineRule="auto"/>
              <w:ind w:firstLine="0"/>
              <w:jc w:val="center"/>
            </w:pPr>
            <w:r>
              <w:rPr>
                <w:sz w:val="20"/>
                <w:szCs w:val="20"/>
              </w:rPr>
              <w:t xml:space="preserve">164.524</w:t>
            </w:r>
          </w:p>
        </w:tc>
        <w:tc>
          <w:tcPr>
            <w:tcW w:type="dxa" w:w="978"/>
            <w:vAlign w:val="center"/>
          </w:tcPr>
          <w:p>
            <w:pPr>
              <w:spacing w:before="20" w:after="20" w:line="260" w:lineRule="auto"/>
              <w:ind w:firstLine="0"/>
              <w:jc w:val="center"/>
            </w:pPr>
            <w:r>
              <w:rPr>
                <w:sz w:val="20"/>
                <w:szCs w:val="20"/>
              </w:rPr>
              <w:t xml:space="preserve">164.620</w:t>
            </w:r>
          </w:p>
        </w:tc>
        <w:tc>
          <w:tcPr>
            <w:tcW w:type="dxa" w:w="978"/>
            <w:vAlign w:val="center"/>
          </w:tcPr>
          <w:p>
            <w:pPr>
              <w:spacing w:before="20" w:after="20" w:line="260" w:lineRule="auto"/>
              <w:ind w:firstLine="0"/>
              <w:jc w:val="center"/>
            </w:pPr>
            <w:r>
              <w:rPr>
                <w:sz w:val="20"/>
                <w:szCs w:val="20"/>
              </w:rPr>
              <w:t xml:space="preserve">15,46%</w:t>
            </w:r>
          </w:p>
        </w:tc>
        <w:tc>
          <w:tcPr>
            <w:tcW w:type="dxa" w:w="978"/>
            <w:vAlign w:val="center"/>
          </w:tcPr>
          <w:p>
            <w:pPr>
              <w:spacing w:before="20" w:after="20" w:line="260" w:lineRule="auto"/>
              <w:ind w:firstLine="0"/>
              <w:jc w:val="center"/>
            </w:pPr>
            <w:r>
              <w:rPr>
                <w:sz w:val="20"/>
                <w:szCs w:val="20"/>
              </w:rPr>
              <w:t xml:space="preserve">−0,18</w:t>
            </w:r>
          </w:p>
        </w:tc>
        <w:tc>
          <w:tcPr>
            <w:tcW w:type="dxa" w:w="979"/>
            <w:vAlign w:val="center"/>
          </w:tcPr>
          <w:p>
            <w:pPr>
              <w:spacing w:before="20" w:after="20" w:line="260" w:lineRule="auto"/>
              <w:ind w:firstLine="0"/>
              <w:jc w:val="center"/>
            </w:pPr>
            <w:r>
              <w:rPr>
                <w:sz w:val="20"/>
                <w:szCs w:val="20"/>
              </w:rPr>
              <w:t xml:space="preserve">78,22%</w:t>
            </w:r>
          </w:p>
        </w:tc>
      </w:tr>
      <w:tr>
        <w:trPr>
          <w:cantSplit/>
        </w:trPr>
        <w:tc>
          <w:tcPr>
            <w:tcW w:type="dxa" w:w="978"/>
            <w:vAlign w:val="center"/>
          </w:tcPr>
          <w:p>
            <w:pPr>
              <w:spacing w:before="20" w:after="20" w:line="260" w:lineRule="auto"/>
              <w:ind w:firstLine="0"/>
              <w:jc w:val="center"/>
            </w:pPr>
            <w:r>
              <w:rPr>
                <w:sz w:val="20"/>
                <w:szCs w:val="20"/>
              </w:rPr>
              <w:t xml:space="preserve">34</w:t>
            </w:r>
          </w:p>
        </w:tc>
        <w:tc>
          <w:tcPr>
            <w:tcW w:type="dxa" w:w="1246"/>
            <w:vAlign w:val="center"/>
          </w:tcPr>
          <w:p>
            <w:pPr>
              <w:spacing w:before="20" w:after="20" w:line="260" w:lineRule="auto"/>
              <w:ind w:firstLine="0"/>
              <w:jc w:val="left"/>
            </w:pPr>
            <w:r>
              <w:rPr>
                <w:sz w:val="20"/>
                <w:szCs w:val="20"/>
              </w:rPr>
              <w:t xml:space="preserve">Guayaquil</w:t>
            </w:r>
          </w:p>
        </w:tc>
        <w:tc>
          <w:tcPr>
            <w:tcW w:type="dxa" w:w="978"/>
            <w:vAlign w:val="center"/>
          </w:tcPr>
          <w:p>
            <w:pPr>
              <w:spacing w:before="20" w:after="20" w:line="260" w:lineRule="auto"/>
              <w:ind w:firstLine="0"/>
              <w:jc w:val="left"/>
            </w:pPr>
            <w:r>
              <w:rPr>
                <w:sz w:val="20"/>
                <w:szCs w:val="20"/>
              </w:rPr>
              <w:t xml:space="preserve">B</w:t>
            </w:r>
          </w:p>
        </w:tc>
        <w:tc>
          <w:tcPr>
            <w:tcW w:type="dxa" w:w="978"/>
            <w:vAlign w:val="center"/>
          </w:tcPr>
          <w:p>
            <w:pPr>
              <w:spacing w:before="20" w:after="20" w:line="260" w:lineRule="auto"/>
              <w:ind w:firstLine="0"/>
              <w:jc w:val="center"/>
            </w:pPr>
            <w:r>
              <w:rPr>
                <w:sz w:val="20"/>
                <w:szCs w:val="20"/>
              </w:rPr>
              <w:t xml:space="preserve">6</w:t>
            </w:r>
          </w:p>
        </w:tc>
        <w:tc>
          <w:tcPr>
            <w:tcW w:type="dxa" w:w="978"/>
            <w:vAlign w:val="center"/>
          </w:tcPr>
          <w:p>
            <w:pPr>
              <w:spacing w:before="20" w:after="20" w:line="260" w:lineRule="auto"/>
              <w:ind w:firstLine="0"/>
              <w:jc w:val="center"/>
            </w:pPr>
            <w:r>
              <w:rPr>
                <w:sz w:val="20"/>
                <w:szCs w:val="20"/>
              </w:rPr>
              <w:t xml:space="preserve">181.220</w:t>
            </w:r>
          </w:p>
        </w:tc>
        <w:tc>
          <w:tcPr>
            <w:tcW w:type="dxa" w:w="978"/>
            <w:vAlign w:val="center"/>
          </w:tcPr>
          <w:p>
            <w:pPr>
              <w:spacing w:before="20" w:after="20" w:line="260" w:lineRule="auto"/>
              <w:ind w:firstLine="0"/>
              <w:jc w:val="center"/>
            </w:pPr>
            <w:r>
              <w:rPr>
                <w:sz w:val="20"/>
                <w:szCs w:val="20"/>
              </w:rPr>
              <w:t xml:space="preserve">177.666</w:t>
            </w:r>
          </w:p>
        </w:tc>
        <w:tc>
          <w:tcPr>
            <w:tcW w:type="dxa" w:w="978"/>
            <w:vAlign w:val="center"/>
          </w:tcPr>
          <w:p>
            <w:pPr>
              <w:spacing w:before="20" w:after="20" w:line="260" w:lineRule="auto"/>
              <w:ind w:firstLine="0"/>
              <w:jc w:val="center"/>
            </w:pPr>
            <w:r>
              <w:rPr>
                <w:sz w:val="20"/>
                <w:szCs w:val="20"/>
              </w:rPr>
              <w:t xml:space="preserve">12,75%</w:t>
            </w:r>
          </w:p>
        </w:tc>
        <w:tc>
          <w:tcPr>
            <w:tcW w:type="dxa" w:w="978"/>
            <w:vAlign w:val="center"/>
          </w:tcPr>
          <w:p>
            <w:pPr>
              <w:spacing w:before="20" w:after="20" w:line="260" w:lineRule="auto"/>
              <w:ind w:firstLine="0"/>
              <w:jc w:val="center"/>
            </w:pPr>
            <w:r>
              <w:rPr>
                <w:sz w:val="20"/>
                <w:szCs w:val="20"/>
              </w:rPr>
              <w:t xml:space="preserve">6,73</w:t>
            </w:r>
          </w:p>
        </w:tc>
        <w:tc>
          <w:tcPr>
            <w:tcW w:type="dxa" w:w="979"/>
            <w:vAlign w:val="center"/>
          </w:tcPr>
          <w:p>
            <w:pPr>
              <w:spacing w:before="20" w:after="20" w:line="260" w:lineRule="auto"/>
              <w:ind w:firstLine="0"/>
              <w:jc w:val="center"/>
            </w:pPr>
            <w:r>
              <w:rPr>
                <w:sz w:val="20"/>
                <w:szCs w:val="20"/>
              </w:rPr>
              <w:t xml:space="preserve">75,76%</w:t>
            </w:r>
          </w:p>
        </w:tc>
      </w:tr>
      <w:tr>
        <w:trPr>
          <w:cantSplit/>
        </w:trPr>
        <w:tc>
          <w:tcPr>
            <w:tcW w:type="dxa" w:w="978"/>
            <w:vAlign w:val="center"/>
          </w:tcPr>
          <w:p>
            <w:pPr>
              <w:spacing w:before="20" w:after="20" w:line="260" w:lineRule="auto"/>
              <w:ind w:firstLine="0"/>
              <w:jc w:val="center"/>
            </w:pPr>
            <w:r>
              <w:rPr>
                <w:sz w:val="20"/>
                <w:szCs w:val="20"/>
              </w:rPr>
              <w:t xml:space="preserve">35</w:t>
            </w:r>
          </w:p>
        </w:tc>
        <w:tc>
          <w:tcPr>
            <w:tcW w:type="dxa" w:w="1246"/>
            <w:vAlign w:val="center"/>
          </w:tcPr>
          <w:p>
            <w:pPr>
              <w:spacing w:before="20" w:after="20" w:line="260" w:lineRule="auto"/>
              <w:ind w:firstLine="0"/>
              <w:jc w:val="left"/>
            </w:pPr>
            <w:r>
              <w:rPr>
                <w:sz w:val="20"/>
                <w:szCs w:val="20"/>
              </w:rPr>
              <w:t xml:space="preserve">Playas</w:t>
            </w:r>
          </w:p>
        </w:tc>
        <w:tc>
          <w:tcPr>
            <w:tcW w:type="dxa" w:w="978"/>
            <w:vAlign w:val="center"/>
          </w:tcPr>
          <w:p>
            <w:pPr>
              <w:spacing w:before="20" w:after="20" w:line="260" w:lineRule="auto"/>
              <w:ind w:firstLine="0"/>
              <w:jc w:val="left"/>
            </w:pPr>
            <w:r>
              <w:rPr>
                <w:sz w:val="20"/>
                <w:szCs w:val="20"/>
              </w:rPr>
              <w:t xml:space="preserve">C</w:t>
            </w:r>
          </w:p>
        </w:tc>
        <w:tc>
          <w:tcPr>
            <w:tcW w:type="dxa" w:w="978"/>
            <w:vAlign w:val="center"/>
          </w:tcPr>
          <w:p>
            <w:pPr>
              <w:spacing w:before="20" w:after="20" w:line="260" w:lineRule="auto"/>
              <w:ind w:firstLine="0"/>
              <w:jc w:val="center"/>
            </w:pPr>
            <w:r>
              <w:rPr>
                <w:sz w:val="20"/>
                <w:szCs w:val="20"/>
              </w:rPr>
              <w:t xml:space="preserve">3</w:t>
            </w:r>
          </w:p>
        </w:tc>
        <w:tc>
          <w:tcPr>
            <w:tcW w:type="dxa" w:w="978"/>
            <w:vAlign w:val="center"/>
          </w:tcPr>
          <w:p>
            <w:pPr>
              <w:spacing w:before="20" w:after="20" w:line="260" w:lineRule="auto"/>
              <w:ind w:firstLine="0"/>
              <w:jc w:val="center"/>
            </w:pPr>
            <w:r>
              <w:rPr>
                <w:sz w:val="20"/>
                <w:szCs w:val="20"/>
              </w:rPr>
              <w:t xml:space="preserve">91.229</w:t>
            </w:r>
          </w:p>
        </w:tc>
        <w:tc>
          <w:tcPr>
            <w:tcW w:type="dxa" w:w="978"/>
            <w:vAlign w:val="center"/>
          </w:tcPr>
          <w:p>
            <w:pPr>
              <w:spacing w:before="20" w:after="20" w:line="260" w:lineRule="auto"/>
              <w:ind w:firstLine="0"/>
              <w:jc w:val="center"/>
            </w:pPr>
            <w:r>
              <w:rPr>
                <w:sz w:val="20"/>
                <w:szCs w:val="20"/>
              </w:rPr>
              <w:t xml:space="preserve">89.581</w:t>
            </w:r>
          </w:p>
        </w:tc>
        <w:tc>
          <w:tcPr>
            <w:tcW w:type="dxa" w:w="978"/>
            <w:vAlign w:val="center"/>
          </w:tcPr>
          <w:p>
            <w:pPr>
              <w:spacing w:before="20" w:after="20" w:line="260" w:lineRule="auto"/>
              <w:ind w:firstLine="0"/>
              <w:jc w:val="center"/>
            </w:pPr>
            <w:r>
              <w:rPr>
                <w:sz w:val="20"/>
                <w:szCs w:val="20"/>
              </w:rPr>
              <w:t xml:space="preserve">16,35%</w:t>
            </w:r>
          </w:p>
        </w:tc>
        <w:tc>
          <w:tcPr>
            <w:tcW w:type="dxa" w:w="978"/>
            <w:vAlign w:val="center"/>
          </w:tcPr>
          <w:p>
            <w:pPr>
              <w:spacing w:before="20" w:after="20" w:line="260" w:lineRule="auto"/>
              <w:ind w:firstLine="0"/>
              <w:jc w:val="center"/>
            </w:pPr>
            <w:r>
              <w:rPr>
                <w:sz w:val="20"/>
                <w:szCs w:val="20"/>
              </w:rPr>
              <w:t xml:space="preserve">3,12</w:t>
            </w:r>
          </w:p>
        </w:tc>
        <w:tc>
          <w:tcPr>
            <w:tcW w:type="dxa" w:w="979"/>
            <w:vAlign w:val="center"/>
          </w:tcPr>
          <w:p>
            <w:pPr>
              <w:spacing w:before="20" w:after="20" w:line="260" w:lineRule="auto"/>
              <w:ind w:firstLine="0"/>
              <w:jc w:val="center"/>
            </w:pPr>
            <w:r>
              <w:rPr>
                <w:sz w:val="20"/>
                <w:szCs w:val="20"/>
              </w:rPr>
              <w:t xml:space="preserve">79,73%</w:t>
            </w:r>
          </w:p>
        </w:tc>
      </w:tr>
      <w:tr>
        <w:trPr>
          <w:cantSplit/>
        </w:trPr>
        <w:tc>
          <w:tcPr>
            <w:tcW w:type="dxa" w:w="978"/>
            <w:vAlign w:val="center"/>
          </w:tcPr>
          <w:p>
            <w:pPr>
              <w:spacing w:before="20" w:after="20" w:line="260" w:lineRule="auto"/>
              <w:ind w:firstLine="0"/>
              <w:jc w:val="center"/>
            </w:pPr>
            <w:r>
              <w:rPr>
                <w:sz w:val="20"/>
                <w:szCs w:val="20"/>
              </w:rPr>
              <w:t xml:space="preserve">36</w:t>
            </w:r>
          </w:p>
        </w:tc>
        <w:tc>
          <w:tcPr>
            <w:tcW w:type="dxa" w:w="1246"/>
            <w:vAlign w:val="center"/>
          </w:tcPr>
          <w:p>
            <w:pPr>
              <w:spacing w:before="20" w:after="20" w:line="260" w:lineRule="auto"/>
              <w:ind w:firstLine="0"/>
              <w:jc w:val="left"/>
            </w:pPr>
            <w:r>
              <w:rPr>
                <w:sz w:val="20"/>
                <w:szCs w:val="20"/>
              </w:rPr>
              <w:t xml:space="preserve">Libertad</w:t>
            </w:r>
          </w:p>
        </w:tc>
        <w:tc>
          <w:tcPr>
            <w:tcW w:type="dxa" w:w="978"/>
            <w:vAlign w:val="center"/>
          </w:tcPr>
          <w:p>
            <w:pPr>
              <w:spacing w:before="20" w:after="20" w:line="260" w:lineRule="auto"/>
              <w:ind w:firstLine="0"/>
              <w:jc w:val="left"/>
            </w:pPr>
            <w:r>
              <w:rPr>
                <w:sz w:val="20"/>
                <w:szCs w:val="20"/>
              </w:rPr>
              <w:t xml:space="preserve">E</w:t>
            </w:r>
          </w:p>
        </w:tc>
        <w:tc>
          <w:tcPr>
            <w:tcW w:type="dxa" w:w="978"/>
            <w:vAlign w:val="center"/>
          </w:tcPr>
          <w:p>
            <w:pPr>
              <w:spacing w:before="20" w:after="20" w:line="260" w:lineRule="auto"/>
              <w:ind w:firstLine="0"/>
              <w:jc w:val="center"/>
            </w:pPr>
            <w:r>
              <w:rPr>
                <w:sz w:val="20"/>
                <w:szCs w:val="20"/>
              </w:rPr>
              <w:t xml:space="preserve">10</w:t>
            </w:r>
          </w:p>
        </w:tc>
        <w:tc>
          <w:tcPr>
            <w:tcW w:type="dxa" w:w="978"/>
            <w:vAlign w:val="center"/>
          </w:tcPr>
          <w:p>
            <w:pPr>
              <w:spacing w:before="20" w:after="20" w:line="260" w:lineRule="auto"/>
              <w:ind w:firstLine="0"/>
              <w:jc w:val="center"/>
            </w:pPr>
            <w:r>
              <w:rPr>
                <w:sz w:val="20"/>
                <w:szCs w:val="20"/>
              </w:rPr>
              <w:t xml:space="preserve">213.441</w:t>
            </w:r>
          </w:p>
        </w:tc>
        <w:tc>
          <w:tcPr>
            <w:tcW w:type="dxa" w:w="978"/>
            <w:vAlign w:val="center"/>
          </w:tcPr>
          <w:p>
            <w:pPr>
              <w:spacing w:before="20" w:after="20" w:line="260" w:lineRule="auto"/>
              <w:ind w:firstLine="0"/>
              <w:jc w:val="center"/>
            </w:pPr>
            <w:r>
              <w:rPr>
                <w:sz w:val="20"/>
                <w:szCs w:val="20"/>
              </w:rPr>
              <w:t xml:space="preserve">188.454</w:t>
            </w:r>
          </w:p>
        </w:tc>
        <w:tc>
          <w:tcPr>
            <w:tcW w:type="dxa" w:w="978"/>
            <w:vAlign w:val="center"/>
          </w:tcPr>
          <w:p>
            <w:pPr>
              <w:spacing w:before="20" w:after="20" w:line="260" w:lineRule="auto"/>
              <w:ind w:firstLine="0"/>
              <w:jc w:val="center"/>
            </w:pPr>
            <w:r>
              <w:rPr>
                <w:sz w:val="20"/>
                <w:szCs w:val="20"/>
              </w:rPr>
              <w:t xml:space="preserve">17,20%</w:t>
            </w:r>
          </w:p>
        </w:tc>
        <w:tc>
          <w:tcPr>
            <w:tcW w:type="dxa" w:w="978"/>
            <w:vAlign w:val="center"/>
          </w:tcPr>
          <w:p>
            <w:pPr>
              <w:spacing w:before="20" w:after="20" w:line="260" w:lineRule="auto"/>
              <w:ind w:firstLine="0"/>
              <w:jc w:val="center"/>
            </w:pPr>
            <w:r>
              <w:rPr>
                <w:sz w:val="20"/>
                <w:szCs w:val="20"/>
              </w:rPr>
              <w:t xml:space="preserve">47,32</w:t>
            </w:r>
          </w:p>
        </w:tc>
        <w:tc>
          <w:tcPr>
            <w:tcW w:type="dxa" w:w="979"/>
            <w:vAlign w:val="center"/>
          </w:tcPr>
          <w:p>
            <w:pPr>
              <w:spacing w:before="20" w:after="20" w:line="260" w:lineRule="auto"/>
              <w:ind w:firstLine="0"/>
              <w:jc w:val="center"/>
            </w:pPr>
            <w:r>
              <w:rPr>
                <w:sz w:val="20"/>
                <w:szCs w:val="20"/>
              </w:rPr>
              <w:t xml:space="preserve">72,16%</w:t>
            </w:r>
          </w:p>
        </w:tc>
      </w:tr>
      <w:tr>
        <w:trPr>
          <w:cantSplit/>
        </w:trPr>
        <w:tc>
          <w:tcPr>
            <w:tcW w:type="dxa" w:w="978"/>
            <w:vAlign w:val="center"/>
          </w:tcPr>
          <w:p>
            <w:pPr>
              <w:spacing w:before="20" w:after="20" w:line="260" w:lineRule="auto"/>
              <w:ind w:firstLine="0"/>
              <w:jc w:val="center"/>
            </w:pPr>
            <w:r>
              <w:rPr>
                <w:sz w:val="20"/>
                <w:szCs w:val="20"/>
              </w:rPr>
              <w:t xml:space="preserve">37</w:t>
            </w:r>
          </w:p>
        </w:tc>
        <w:tc>
          <w:tcPr>
            <w:tcW w:type="dxa" w:w="1246"/>
            <w:vAlign w:val="center"/>
          </w:tcPr>
          <w:p>
            <w:pPr>
              <w:spacing w:before="20" w:after="20" w:line="260" w:lineRule="auto"/>
              <w:ind w:firstLine="0"/>
              <w:jc w:val="left"/>
            </w:pPr>
            <w:r>
              <w:rPr>
                <w:sz w:val="20"/>
                <w:szCs w:val="20"/>
              </w:rPr>
              <w:t xml:space="preserve">Cuenca</w:t>
            </w:r>
          </w:p>
        </w:tc>
        <w:tc>
          <w:tcPr>
            <w:tcW w:type="dxa" w:w="978"/>
            <w:vAlign w:val="center"/>
          </w:tcPr>
          <w:p>
            <w:pPr>
              <w:spacing w:before="20" w:after="20" w:line="260" w:lineRule="auto"/>
              <w:ind w:firstLine="0"/>
              <w:jc w:val="left"/>
            </w:pPr>
            <w:r>
              <w:rPr>
                <w:sz w:val="20"/>
                <w:szCs w:val="20"/>
              </w:rPr>
              <w:t xml:space="preserve">D</w:t>
            </w:r>
          </w:p>
        </w:tc>
        <w:tc>
          <w:tcPr>
            <w:tcW w:type="dxa" w:w="978"/>
            <w:vAlign w:val="center"/>
          </w:tcPr>
          <w:p>
            <w:pPr>
              <w:spacing w:before="20" w:after="20" w:line="260" w:lineRule="auto"/>
              <w:ind w:firstLine="0"/>
              <w:jc w:val="center"/>
            </w:pPr>
            <w:r>
              <w:rPr>
                <w:sz w:val="20"/>
                <w:szCs w:val="20"/>
              </w:rPr>
              <w:t xml:space="preserve">2</w:t>
            </w:r>
          </w:p>
        </w:tc>
        <w:tc>
          <w:tcPr>
            <w:tcW w:type="dxa" w:w="978"/>
            <w:vAlign w:val="center"/>
          </w:tcPr>
          <w:p>
            <w:pPr>
              <w:spacing w:before="20" w:after="20" w:line="260" w:lineRule="auto"/>
              <w:ind w:firstLine="0"/>
              <w:jc w:val="center"/>
            </w:pPr>
            <w:r>
              <w:rPr>
                <w:sz w:val="20"/>
                <w:szCs w:val="20"/>
              </w:rPr>
              <w:t xml:space="preserve">196.513</w:t>
            </w:r>
          </w:p>
        </w:tc>
        <w:tc>
          <w:tcPr>
            <w:tcW w:type="dxa" w:w="978"/>
            <w:vAlign w:val="center"/>
          </w:tcPr>
          <w:p>
            <w:pPr>
              <w:spacing w:before="20" w:after="20" w:line="260" w:lineRule="auto"/>
              <w:ind w:firstLine="0"/>
              <w:jc w:val="center"/>
            </w:pPr>
            <w:r>
              <w:rPr>
                <w:sz w:val="20"/>
                <w:szCs w:val="20"/>
              </w:rPr>
              <w:t xml:space="preserve">226.851</w:t>
            </w:r>
          </w:p>
        </w:tc>
        <w:tc>
          <w:tcPr>
            <w:tcW w:type="dxa" w:w="978"/>
            <w:vAlign w:val="center"/>
          </w:tcPr>
          <w:p>
            <w:pPr>
              <w:spacing w:before="20" w:after="20" w:line="260" w:lineRule="auto"/>
              <w:ind w:firstLine="0"/>
              <w:jc w:val="center"/>
            </w:pPr>
            <w:r>
              <w:rPr>
                <w:sz w:val="20"/>
                <w:szCs w:val="20"/>
              </w:rPr>
              <w:t xml:space="preserve">19,15%</w:t>
            </w:r>
          </w:p>
        </w:tc>
        <w:tc>
          <w:tcPr>
            <w:tcW w:type="dxa" w:w="978"/>
            <w:vAlign w:val="center"/>
          </w:tcPr>
          <w:p>
            <w:pPr>
              <w:spacing w:before="20" w:after="20" w:line="260" w:lineRule="auto"/>
              <w:ind w:firstLine="0"/>
              <w:jc w:val="center"/>
            </w:pPr>
            <w:r>
              <w:rPr>
                <w:sz w:val="20"/>
                <w:szCs w:val="20"/>
              </w:rPr>
              <w:t xml:space="preserve">−57,46</w:t>
            </w:r>
          </w:p>
        </w:tc>
        <w:tc>
          <w:tcPr>
            <w:tcW w:type="dxa" w:w="979"/>
            <w:vAlign w:val="center"/>
          </w:tcPr>
          <w:p>
            <w:pPr>
              <w:spacing w:before="20" w:after="20" w:line="260" w:lineRule="auto"/>
              <w:ind w:firstLine="0"/>
              <w:jc w:val="center"/>
            </w:pPr>
            <w:r>
              <w:rPr>
                <w:sz w:val="20"/>
                <w:szCs w:val="20"/>
              </w:rPr>
              <w:t xml:space="preserve">72,16%</w:t>
            </w:r>
          </w:p>
        </w:tc>
      </w:tr>
      <w:tr>
        <w:trPr>
          <w:cantSplit/>
        </w:trPr>
        <w:tc>
          <w:tcPr>
            <w:tcW w:type="dxa" w:w="978"/>
            <w:vAlign w:val="center"/>
          </w:tcPr>
          <w:p>
            <w:pPr>
              <w:spacing w:before="20" w:after="20" w:line="260" w:lineRule="auto"/>
              <w:ind w:firstLine="0"/>
              <w:jc w:val="center"/>
            </w:pPr>
            <w:r>
              <w:rPr>
                <w:sz w:val="20"/>
                <w:szCs w:val="20"/>
              </w:rPr>
              <w:t xml:space="preserve">38</w:t>
            </w:r>
          </w:p>
        </w:tc>
        <w:tc>
          <w:tcPr>
            <w:tcW w:type="dxa" w:w="1246"/>
            <w:vAlign w:val="center"/>
          </w:tcPr>
          <w:p>
            <w:pPr>
              <w:spacing w:before="20" w:after="20" w:line="260" w:lineRule="auto"/>
              <w:ind w:firstLine="0"/>
              <w:jc w:val="left"/>
            </w:pPr>
            <w:r>
              <w:rPr>
                <w:sz w:val="20"/>
                <w:szCs w:val="20"/>
              </w:rPr>
              <w:t xml:space="preserve">Loja</w:t>
            </w:r>
          </w:p>
        </w:tc>
        <w:tc>
          <w:tcPr>
            <w:tcW w:type="dxa" w:w="978"/>
            <w:vAlign w:val="center"/>
          </w:tcPr>
          <w:p>
            <w:pPr>
              <w:spacing w:before="20" w:after="20" w:line="260" w:lineRule="auto"/>
              <w:ind w:firstLine="0"/>
              <w:jc w:val="left"/>
            </w:pPr>
            <w:r>
              <w:rPr>
                <w:sz w:val="20"/>
                <w:szCs w:val="20"/>
              </w:rPr>
              <w:t xml:space="preserve">D</w:t>
            </w:r>
          </w:p>
        </w:tc>
        <w:tc>
          <w:tcPr>
            <w:tcW w:type="dxa" w:w="978"/>
            <w:vAlign w:val="center"/>
          </w:tcPr>
          <w:p>
            <w:pPr>
              <w:spacing w:before="20" w:after="20" w:line="260" w:lineRule="auto"/>
              <w:ind w:firstLine="0"/>
              <w:jc w:val="center"/>
            </w:pPr>
            <w:r>
              <w:rPr>
                <w:sz w:val="20"/>
                <w:szCs w:val="20"/>
              </w:rPr>
              <w:t xml:space="preserve">4</w:t>
            </w:r>
          </w:p>
        </w:tc>
        <w:tc>
          <w:tcPr>
            <w:tcW w:type="dxa" w:w="978"/>
            <w:vAlign w:val="center"/>
          </w:tcPr>
          <w:p>
            <w:pPr>
              <w:spacing w:before="20" w:after="20" w:line="260" w:lineRule="auto"/>
              <w:ind w:firstLine="0"/>
              <w:jc w:val="center"/>
            </w:pPr>
            <w:r>
              <w:rPr>
                <w:sz w:val="20"/>
                <w:szCs w:val="20"/>
              </w:rPr>
              <w:t xml:space="preserve">197.783</w:t>
            </w:r>
          </w:p>
        </w:tc>
        <w:tc>
          <w:tcPr>
            <w:tcW w:type="dxa" w:w="978"/>
            <w:vAlign w:val="center"/>
          </w:tcPr>
          <w:p>
            <w:pPr>
              <w:spacing w:before="20" w:after="20" w:line="260" w:lineRule="auto"/>
              <w:ind w:firstLine="0"/>
              <w:jc w:val="center"/>
            </w:pPr>
            <w:r>
              <w:rPr>
                <w:sz w:val="20"/>
                <w:szCs w:val="20"/>
              </w:rPr>
              <w:t xml:space="preserve">216.238</w:t>
            </w:r>
          </w:p>
        </w:tc>
        <w:tc>
          <w:tcPr>
            <w:tcW w:type="dxa" w:w="978"/>
            <w:vAlign w:val="center"/>
          </w:tcPr>
          <w:p>
            <w:pPr>
              <w:spacing w:before="20" w:after="20" w:line="260" w:lineRule="auto"/>
              <w:ind w:firstLine="0"/>
              <w:jc w:val="center"/>
            </w:pPr>
            <w:r>
              <w:rPr>
                <w:sz w:val="20"/>
                <w:szCs w:val="20"/>
              </w:rPr>
              <w:t xml:space="preserve">23,84%</w:t>
            </w:r>
          </w:p>
        </w:tc>
        <w:tc>
          <w:tcPr>
            <w:tcW w:type="dxa" w:w="978"/>
            <w:vAlign w:val="center"/>
          </w:tcPr>
          <w:p>
            <w:pPr>
              <w:spacing w:before="20" w:after="20" w:line="260" w:lineRule="auto"/>
              <w:ind w:firstLine="0"/>
              <w:jc w:val="center"/>
            </w:pPr>
            <w:r>
              <w:rPr>
                <w:sz w:val="20"/>
                <w:szCs w:val="20"/>
              </w:rPr>
              <w:t xml:space="preserve">−34,95</w:t>
            </w:r>
          </w:p>
        </w:tc>
        <w:tc>
          <w:tcPr>
            <w:tcW w:type="dxa" w:w="979"/>
            <w:vAlign w:val="center"/>
          </w:tcPr>
          <w:p>
            <w:pPr>
              <w:spacing w:before="20" w:after="20" w:line="260" w:lineRule="auto"/>
              <w:ind w:firstLine="0"/>
              <w:jc w:val="center"/>
            </w:pPr>
            <w:r>
              <w:rPr>
                <w:sz w:val="20"/>
                <w:szCs w:val="20"/>
              </w:rPr>
              <w:t xml:space="preserve">71,97%</w:t>
            </w:r>
          </w:p>
        </w:tc>
      </w:tr>
      <w:tr>
        <w:trPr>
          <w:cantSplit/>
        </w:trPr>
        <w:tc>
          <w:tcPr>
            <w:tcW w:type="dxa" w:w="978"/>
            <w:vAlign w:val="center"/>
          </w:tcPr>
          <w:p>
            <w:pPr>
              <w:spacing w:before="20" w:after="20" w:line="260" w:lineRule="auto"/>
              <w:ind w:firstLine="0"/>
              <w:jc w:val="center"/>
            </w:pPr>
            <w:r>
              <w:rPr>
                <w:sz w:val="20"/>
                <w:szCs w:val="20"/>
              </w:rPr>
              <w:t xml:space="preserve">39</w:t>
            </w:r>
          </w:p>
        </w:tc>
        <w:tc>
          <w:tcPr>
            <w:tcW w:type="dxa" w:w="1246"/>
            <w:vAlign w:val="center"/>
          </w:tcPr>
          <w:p>
            <w:pPr>
              <w:spacing w:before="20" w:after="20" w:line="260" w:lineRule="auto"/>
              <w:ind w:firstLine="0"/>
              <w:jc w:val="left"/>
            </w:pPr>
            <w:r>
              <w:rPr>
                <w:sz w:val="20"/>
                <w:szCs w:val="20"/>
              </w:rPr>
              <w:t xml:space="preserve">Cuenca</w:t>
            </w:r>
          </w:p>
        </w:tc>
        <w:tc>
          <w:tcPr>
            <w:tcW w:type="dxa" w:w="978"/>
            <w:vAlign w:val="center"/>
          </w:tcPr>
          <w:p>
            <w:pPr>
              <w:spacing w:before="20" w:after="20" w:line="260" w:lineRule="auto"/>
              <w:ind w:firstLine="0"/>
              <w:jc w:val="left"/>
            </w:pPr>
            <w:r>
              <w:rPr>
                <w:sz w:val="20"/>
                <w:szCs w:val="20"/>
              </w:rPr>
              <w:t xml:space="preserve">B</w:t>
            </w:r>
          </w:p>
        </w:tc>
        <w:tc>
          <w:tcPr>
            <w:tcW w:type="dxa" w:w="978"/>
            <w:vAlign w:val="center"/>
          </w:tcPr>
          <w:p>
            <w:pPr>
              <w:spacing w:before="20" w:after="20" w:line="260" w:lineRule="auto"/>
              <w:ind w:firstLine="0"/>
              <w:jc w:val="center"/>
            </w:pPr>
            <w:r>
              <w:rPr>
                <w:sz w:val="20"/>
                <w:szCs w:val="20"/>
              </w:rPr>
              <w:t xml:space="preserve">6</w:t>
            </w:r>
          </w:p>
        </w:tc>
        <w:tc>
          <w:tcPr>
            <w:tcW w:type="dxa" w:w="978"/>
            <w:vAlign w:val="center"/>
          </w:tcPr>
          <w:p>
            <w:pPr>
              <w:spacing w:before="20" w:after="20" w:line="260" w:lineRule="auto"/>
              <w:ind w:firstLine="0"/>
              <w:jc w:val="center"/>
            </w:pPr>
            <w:r>
              <w:rPr>
                <w:sz w:val="20"/>
                <w:szCs w:val="20"/>
              </w:rPr>
              <w:t xml:space="preserve">261.722</w:t>
            </w:r>
          </w:p>
        </w:tc>
        <w:tc>
          <w:tcPr>
            <w:tcW w:type="dxa" w:w="978"/>
            <w:vAlign w:val="center"/>
          </w:tcPr>
          <w:p>
            <w:pPr>
              <w:spacing w:before="20" w:after="20" w:line="260" w:lineRule="auto"/>
              <w:ind w:firstLine="0"/>
              <w:jc w:val="center"/>
            </w:pPr>
            <w:r>
              <w:rPr>
                <w:sz w:val="20"/>
                <w:szCs w:val="20"/>
              </w:rPr>
              <w:t xml:space="preserve">275.940</w:t>
            </w:r>
          </w:p>
        </w:tc>
        <w:tc>
          <w:tcPr>
            <w:tcW w:type="dxa" w:w="978"/>
            <w:vAlign w:val="center"/>
          </w:tcPr>
          <w:p>
            <w:pPr>
              <w:spacing w:before="20" w:after="20" w:line="260" w:lineRule="auto"/>
              <w:ind w:firstLine="0"/>
              <w:jc w:val="center"/>
            </w:pPr>
            <w:r>
              <w:rPr>
                <w:sz w:val="20"/>
                <w:szCs w:val="20"/>
              </w:rPr>
              <w:t xml:space="preserve">20,52%</w:t>
            </w:r>
          </w:p>
        </w:tc>
        <w:tc>
          <w:tcPr>
            <w:tcW w:type="dxa" w:w="978"/>
            <w:vAlign w:val="center"/>
          </w:tcPr>
          <w:p>
            <w:pPr>
              <w:spacing w:before="20" w:after="20" w:line="260" w:lineRule="auto"/>
              <w:ind w:firstLine="0"/>
              <w:jc w:val="center"/>
            </w:pPr>
            <w:r>
              <w:rPr>
                <w:sz w:val="20"/>
                <w:szCs w:val="20"/>
              </w:rPr>
              <w:t xml:space="preserve">−26,93</w:t>
            </w:r>
          </w:p>
        </w:tc>
        <w:tc>
          <w:tcPr>
            <w:tcW w:type="dxa" w:w="979"/>
            <w:vAlign w:val="center"/>
          </w:tcPr>
          <w:p>
            <w:pPr>
              <w:spacing w:before="20" w:after="20" w:line="260" w:lineRule="auto"/>
              <w:ind w:firstLine="0"/>
              <w:jc w:val="center"/>
            </w:pPr>
            <w:r>
              <w:rPr>
                <w:sz w:val="20"/>
                <w:szCs w:val="20"/>
              </w:rPr>
              <w:t xml:space="preserve">69,89%</w:t>
            </w:r>
          </w:p>
        </w:tc>
      </w:tr>
      <w:tr>
        <w:trPr>
          <w:cantSplit/>
        </w:trPr>
        <w:tc>
          <w:tcPr>
            <w:tcW w:type="dxa" w:w="978"/>
            <w:vAlign w:val="center"/>
          </w:tcPr>
          <w:p>
            <w:pPr>
              <w:spacing w:before="20" w:after="20" w:line="260" w:lineRule="auto"/>
              <w:ind w:firstLine="0"/>
              <w:jc w:val="center"/>
            </w:pPr>
            <w:r>
              <w:rPr>
                <w:sz w:val="20"/>
                <w:szCs w:val="20"/>
              </w:rPr>
              <w:t xml:space="preserve">40</w:t>
            </w:r>
          </w:p>
        </w:tc>
        <w:tc>
          <w:tcPr>
            <w:tcW w:type="dxa" w:w="1246"/>
            <w:vAlign w:val="center"/>
          </w:tcPr>
          <w:p>
            <w:pPr>
              <w:spacing w:before="20" w:after="20" w:line="260" w:lineRule="auto"/>
              <w:ind w:firstLine="0"/>
              <w:jc w:val="left"/>
            </w:pPr>
            <w:r>
              <w:rPr>
                <w:sz w:val="20"/>
                <w:szCs w:val="20"/>
              </w:rPr>
              <w:t xml:space="preserve">Machala</w:t>
            </w:r>
          </w:p>
        </w:tc>
        <w:tc>
          <w:tcPr>
            <w:tcW w:type="dxa" w:w="978"/>
            <w:vAlign w:val="center"/>
          </w:tcPr>
          <w:p>
            <w:pPr>
              <w:spacing w:before="20" w:after="20" w:line="260" w:lineRule="auto"/>
              <w:ind w:firstLine="0"/>
              <w:jc w:val="left"/>
            </w:pPr>
            <w:r>
              <w:rPr>
                <w:sz w:val="20"/>
                <w:szCs w:val="20"/>
              </w:rPr>
              <w:t xml:space="preserve">C</w:t>
            </w:r>
          </w:p>
        </w:tc>
        <w:tc>
          <w:tcPr>
            <w:tcW w:type="dxa" w:w="978"/>
            <w:vAlign w:val="center"/>
          </w:tcPr>
          <w:p>
            <w:pPr>
              <w:spacing w:before="20" w:after="20" w:line="260" w:lineRule="auto"/>
              <w:ind w:firstLine="0"/>
              <w:jc w:val="center"/>
            </w:pPr>
            <w:r>
              <w:rPr>
                <w:sz w:val="20"/>
                <w:szCs w:val="20"/>
              </w:rPr>
              <w:t xml:space="preserve">3</w:t>
            </w:r>
          </w:p>
        </w:tc>
        <w:tc>
          <w:tcPr>
            <w:tcW w:type="dxa" w:w="978"/>
            <w:vAlign w:val="center"/>
          </w:tcPr>
          <w:p>
            <w:pPr>
              <w:spacing w:before="20" w:after="20" w:line="260" w:lineRule="auto"/>
              <w:ind w:firstLine="0"/>
              <w:jc w:val="center"/>
            </w:pPr>
            <w:r>
              <w:rPr>
                <w:sz w:val="20"/>
                <w:szCs w:val="20"/>
              </w:rPr>
              <w:t xml:space="preserve">287.751</w:t>
            </w:r>
          </w:p>
        </w:tc>
        <w:tc>
          <w:tcPr>
            <w:tcW w:type="dxa" w:w="978"/>
            <w:vAlign w:val="center"/>
          </w:tcPr>
          <w:p>
            <w:pPr>
              <w:spacing w:before="20" w:after="20" w:line="260" w:lineRule="auto"/>
              <w:ind w:firstLine="0"/>
              <w:jc w:val="center"/>
            </w:pPr>
            <w:r>
              <w:rPr>
                <w:sz w:val="20"/>
                <w:szCs w:val="20"/>
              </w:rPr>
              <w:t xml:space="preserve">254.981</w:t>
            </w:r>
          </w:p>
        </w:tc>
        <w:tc>
          <w:tcPr>
            <w:tcW w:type="dxa" w:w="978"/>
            <w:vAlign w:val="center"/>
          </w:tcPr>
          <w:p>
            <w:pPr>
              <w:spacing w:before="20" w:after="20" w:line="260" w:lineRule="auto"/>
              <w:ind w:firstLine="0"/>
              <w:jc w:val="center"/>
            </w:pPr>
            <w:r>
              <w:rPr>
                <w:sz w:val="20"/>
                <w:szCs w:val="20"/>
              </w:rPr>
              <w:t xml:space="preserve">18,75%</w:t>
            </w:r>
          </w:p>
        </w:tc>
        <w:tc>
          <w:tcPr>
            <w:tcW w:type="dxa" w:w="978"/>
            <w:vAlign w:val="center"/>
          </w:tcPr>
          <w:p>
            <w:pPr>
              <w:spacing w:before="20" w:after="20" w:line="260" w:lineRule="auto"/>
              <w:ind w:firstLine="0"/>
              <w:jc w:val="center"/>
            </w:pPr>
            <w:r>
              <w:rPr>
                <w:sz w:val="20"/>
                <w:szCs w:val="20"/>
              </w:rPr>
              <w:t xml:space="preserve">62,06</w:t>
            </w:r>
          </w:p>
        </w:tc>
        <w:tc>
          <w:tcPr>
            <w:tcW w:type="dxa" w:w="979"/>
            <w:vAlign w:val="center"/>
          </w:tcPr>
          <w:p>
            <w:pPr>
              <w:spacing w:before="20" w:after="20" w:line="260" w:lineRule="auto"/>
              <w:ind w:firstLine="0"/>
              <w:jc w:val="center"/>
            </w:pPr>
            <w:r>
              <w:rPr>
                <w:sz w:val="20"/>
                <w:szCs w:val="20"/>
              </w:rPr>
              <w:t xml:space="preserve">74,24%</w:t>
            </w:r>
          </w:p>
        </w:tc>
      </w:tr>
      <w:tr>
        <w:trPr>
          <w:cantSplit/>
        </w:trPr>
        <w:tc>
          <w:tcPr>
            <w:tcW w:type="dxa" w:w="978"/>
            <w:vAlign w:val="center"/>
          </w:tcPr>
          <w:p>
            <w:pPr>
              <w:spacing w:before="20" w:after="20" w:line="260" w:lineRule="auto"/>
              <w:ind w:firstLine="0"/>
              <w:jc w:val="center"/>
            </w:pPr>
            <w:r>
              <w:rPr>
                <w:sz w:val="20"/>
                <w:szCs w:val="20"/>
              </w:rPr>
              <w:t xml:space="preserve">41</w:t>
            </w:r>
          </w:p>
        </w:tc>
        <w:tc>
          <w:tcPr>
            <w:tcW w:type="dxa" w:w="1246"/>
            <w:vAlign w:val="center"/>
          </w:tcPr>
          <w:p>
            <w:pPr>
              <w:spacing w:before="20" w:after="20" w:line="260" w:lineRule="auto"/>
              <w:ind w:firstLine="0"/>
              <w:jc w:val="left"/>
            </w:pPr>
            <w:r>
              <w:rPr>
                <w:sz w:val="20"/>
                <w:szCs w:val="20"/>
              </w:rPr>
              <w:t xml:space="preserve">Machala</w:t>
            </w:r>
          </w:p>
        </w:tc>
        <w:tc>
          <w:tcPr>
            <w:tcW w:type="dxa" w:w="978"/>
            <w:vAlign w:val="center"/>
          </w:tcPr>
          <w:p>
            <w:pPr>
              <w:spacing w:before="20" w:after="20" w:line="260" w:lineRule="auto"/>
              <w:ind w:firstLine="0"/>
              <w:jc w:val="left"/>
            </w:pPr>
            <w:r>
              <w:rPr>
                <w:sz w:val="20"/>
                <w:szCs w:val="20"/>
              </w:rPr>
              <w:t xml:space="preserve">D</w:t>
            </w:r>
          </w:p>
        </w:tc>
        <w:tc>
          <w:tcPr>
            <w:tcW w:type="dxa" w:w="978"/>
            <w:vAlign w:val="center"/>
          </w:tcPr>
          <w:p>
            <w:pPr>
              <w:spacing w:before="20" w:after="20" w:line="260" w:lineRule="auto"/>
              <w:ind w:firstLine="0"/>
              <w:jc w:val="center"/>
            </w:pPr>
            <w:r>
              <w:rPr>
                <w:sz w:val="20"/>
                <w:szCs w:val="20"/>
              </w:rPr>
              <w:t xml:space="preserve">4</w:t>
            </w:r>
          </w:p>
        </w:tc>
        <w:tc>
          <w:tcPr>
            <w:tcW w:type="dxa" w:w="978"/>
            <w:vAlign w:val="center"/>
          </w:tcPr>
          <w:p>
            <w:pPr>
              <w:spacing w:before="20" w:after="20" w:line="260" w:lineRule="auto"/>
              <w:ind w:firstLine="0"/>
              <w:jc w:val="center"/>
            </w:pPr>
            <w:r>
              <w:rPr>
                <w:sz w:val="20"/>
                <w:szCs w:val="20"/>
              </w:rPr>
              <w:t xml:space="preserve">200.790</w:t>
            </w:r>
          </w:p>
        </w:tc>
        <w:tc>
          <w:tcPr>
            <w:tcW w:type="dxa" w:w="978"/>
            <w:vAlign w:val="center"/>
          </w:tcPr>
          <w:p>
            <w:pPr>
              <w:spacing w:before="20" w:after="20" w:line="260" w:lineRule="auto"/>
              <w:ind w:firstLine="0"/>
              <w:jc w:val="center"/>
            </w:pPr>
            <w:r>
              <w:rPr>
                <w:sz w:val="20"/>
                <w:szCs w:val="20"/>
              </w:rPr>
              <w:t xml:space="preserve">224.125</w:t>
            </w:r>
          </w:p>
        </w:tc>
        <w:tc>
          <w:tcPr>
            <w:tcW w:type="dxa" w:w="978"/>
            <w:vAlign w:val="center"/>
          </w:tcPr>
          <w:p>
            <w:pPr>
              <w:spacing w:before="20" w:after="20" w:line="260" w:lineRule="auto"/>
              <w:ind w:firstLine="0"/>
              <w:jc w:val="center"/>
            </w:pPr>
            <w:r>
              <w:rPr>
                <w:sz w:val="20"/>
                <w:szCs w:val="20"/>
              </w:rPr>
              <w:t xml:space="preserve">21,32%</w:t>
            </w:r>
          </w:p>
        </w:tc>
        <w:tc>
          <w:tcPr>
            <w:tcW w:type="dxa" w:w="978"/>
            <w:vAlign w:val="center"/>
          </w:tcPr>
          <w:p>
            <w:pPr>
              <w:spacing w:before="20" w:after="20" w:line="260" w:lineRule="auto"/>
              <w:ind w:firstLine="0"/>
              <w:jc w:val="center"/>
            </w:pPr>
            <w:r>
              <w:rPr>
                <w:sz w:val="20"/>
                <w:szCs w:val="20"/>
              </w:rPr>
              <w:t xml:space="preserve">−44,19</w:t>
            </w:r>
          </w:p>
        </w:tc>
        <w:tc>
          <w:tcPr>
            <w:tcW w:type="dxa" w:w="979"/>
            <w:vAlign w:val="center"/>
          </w:tcPr>
          <w:p>
            <w:pPr>
              <w:spacing w:before="20" w:after="20" w:line="260" w:lineRule="auto"/>
              <w:ind w:firstLine="0"/>
              <w:jc w:val="center"/>
            </w:pPr>
            <w:r>
              <w:rPr>
                <w:sz w:val="20"/>
                <w:szCs w:val="20"/>
              </w:rPr>
              <w:t xml:space="preserve">72,54%</w:t>
            </w:r>
          </w:p>
        </w:tc>
      </w:tr>
      <w:tr>
        <w:trPr>
          <w:cantSplit/>
        </w:trPr>
        <w:tc>
          <w:tcPr>
            <w:tcW w:type="dxa" w:w="978"/>
            <w:vAlign w:val="center"/>
          </w:tcPr>
          <w:p>
            <w:pPr>
              <w:spacing w:before="20" w:after="20" w:line="260" w:lineRule="auto"/>
              <w:ind w:firstLine="0"/>
              <w:jc w:val="center"/>
            </w:pPr>
            <w:r>
              <w:rPr>
                <w:sz w:val="20"/>
                <w:szCs w:val="20"/>
              </w:rPr>
              <w:t xml:space="preserve">42</w:t>
            </w:r>
          </w:p>
        </w:tc>
        <w:tc>
          <w:tcPr>
            <w:tcW w:type="dxa" w:w="1246"/>
            <w:vAlign w:val="center"/>
          </w:tcPr>
          <w:p>
            <w:pPr>
              <w:spacing w:before="20" w:after="20" w:line="260" w:lineRule="auto"/>
              <w:ind w:firstLine="0"/>
              <w:jc w:val="left"/>
            </w:pPr>
            <w:r>
              <w:rPr>
                <w:sz w:val="20"/>
                <w:szCs w:val="20"/>
              </w:rPr>
              <w:t xml:space="preserve">Cuenca</w:t>
            </w:r>
          </w:p>
        </w:tc>
        <w:tc>
          <w:tcPr>
            <w:tcW w:type="dxa" w:w="978"/>
            <w:vAlign w:val="center"/>
          </w:tcPr>
          <w:p>
            <w:pPr>
              <w:spacing w:before="20" w:after="20" w:line="260" w:lineRule="auto"/>
              <w:ind w:firstLine="0"/>
              <w:jc w:val="left"/>
            </w:pPr>
            <w:r>
              <w:rPr>
                <w:sz w:val="20"/>
                <w:szCs w:val="20"/>
              </w:rPr>
              <w:t xml:space="preserve">D</w:t>
            </w:r>
          </w:p>
        </w:tc>
        <w:tc>
          <w:tcPr>
            <w:tcW w:type="dxa" w:w="978"/>
            <w:vAlign w:val="center"/>
          </w:tcPr>
          <w:p>
            <w:pPr>
              <w:spacing w:before="20" w:after="20" w:line="260" w:lineRule="auto"/>
              <w:ind w:firstLine="0"/>
              <w:jc w:val="center"/>
            </w:pPr>
            <w:r>
              <w:rPr>
                <w:sz w:val="20"/>
                <w:szCs w:val="20"/>
              </w:rPr>
              <w:t xml:space="preserve">2</w:t>
            </w:r>
          </w:p>
        </w:tc>
        <w:tc>
          <w:tcPr>
            <w:tcW w:type="dxa" w:w="978"/>
            <w:vAlign w:val="center"/>
          </w:tcPr>
          <w:p>
            <w:pPr>
              <w:spacing w:before="20" w:after="20" w:line="260" w:lineRule="auto"/>
              <w:ind w:firstLine="0"/>
              <w:jc w:val="center"/>
            </w:pPr>
            <w:r>
              <w:rPr>
                <w:sz w:val="20"/>
                <w:szCs w:val="20"/>
              </w:rPr>
              <w:t xml:space="preserve">181.668</w:t>
            </w:r>
          </w:p>
        </w:tc>
        <w:tc>
          <w:tcPr>
            <w:tcW w:type="dxa" w:w="978"/>
            <w:vAlign w:val="center"/>
          </w:tcPr>
          <w:p>
            <w:pPr>
              <w:spacing w:before="20" w:after="20" w:line="260" w:lineRule="auto"/>
              <w:ind w:firstLine="0"/>
              <w:jc w:val="center"/>
            </w:pPr>
            <w:r>
              <w:rPr>
                <w:sz w:val="20"/>
                <w:szCs w:val="20"/>
              </w:rPr>
              <w:t xml:space="preserve">215.273</w:t>
            </w:r>
          </w:p>
        </w:tc>
        <w:tc>
          <w:tcPr>
            <w:tcW w:type="dxa" w:w="978"/>
            <w:vAlign w:val="center"/>
          </w:tcPr>
          <w:p>
            <w:pPr>
              <w:spacing w:before="20" w:after="20" w:line="260" w:lineRule="auto"/>
              <w:ind w:firstLine="0"/>
              <w:jc w:val="center"/>
            </w:pPr>
            <w:r>
              <w:rPr>
                <w:sz w:val="20"/>
                <w:szCs w:val="20"/>
              </w:rPr>
              <w:t xml:space="preserve">23,57%</w:t>
            </w:r>
          </w:p>
        </w:tc>
        <w:tc>
          <w:tcPr>
            <w:tcW w:type="dxa" w:w="978"/>
            <w:vAlign w:val="center"/>
          </w:tcPr>
          <w:p>
            <w:pPr>
              <w:spacing w:before="20" w:after="20" w:line="260" w:lineRule="auto"/>
              <w:ind w:firstLine="0"/>
              <w:jc w:val="center"/>
            </w:pPr>
            <w:r>
              <w:rPr>
                <w:sz w:val="20"/>
                <w:szCs w:val="20"/>
              </w:rPr>
              <w:t xml:space="preserve">−63,65</w:t>
            </w:r>
          </w:p>
        </w:tc>
        <w:tc>
          <w:tcPr>
            <w:tcW w:type="dxa" w:w="979"/>
            <w:vAlign w:val="center"/>
          </w:tcPr>
          <w:p>
            <w:pPr>
              <w:spacing w:before="20" w:after="20" w:line="260" w:lineRule="auto"/>
              <w:ind w:firstLine="0"/>
              <w:jc w:val="center"/>
            </w:pPr>
            <w:r>
              <w:rPr>
                <w:sz w:val="20"/>
                <w:szCs w:val="20"/>
              </w:rPr>
              <w:t xml:space="preserve">71,21%</w:t>
            </w:r>
          </w:p>
        </w:tc>
      </w:tr>
      <w:tr>
        <w:trPr>
          <w:cantSplit/>
        </w:trPr>
        <w:tc>
          <w:tcPr>
            <w:tcW w:type="dxa" w:w="978"/>
            <w:vAlign w:val="center"/>
          </w:tcPr>
          <w:p>
            <w:pPr>
              <w:spacing w:before="20" w:after="20" w:line="260" w:lineRule="auto"/>
              <w:ind w:firstLine="0"/>
              <w:jc w:val="center"/>
            </w:pPr>
            <w:r>
              <w:rPr>
                <w:sz w:val="20"/>
                <w:szCs w:val="20"/>
              </w:rPr>
              <w:t xml:space="preserve">43</w:t>
            </w:r>
          </w:p>
        </w:tc>
        <w:tc>
          <w:tcPr>
            <w:tcW w:type="dxa" w:w="1246"/>
            <w:vAlign w:val="center"/>
          </w:tcPr>
          <w:p>
            <w:pPr>
              <w:spacing w:before="20" w:after="20" w:line="260" w:lineRule="auto"/>
              <w:ind w:firstLine="0"/>
              <w:jc w:val="left"/>
            </w:pPr>
            <w:r>
              <w:rPr>
                <w:sz w:val="20"/>
                <w:szCs w:val="20"/>
              </w:rPr>
              <w:t xml:space="preserve">Esmeraldas</w:t>
            </w:r>
          </w:p>
        </w:tc>
        <w:tc>
          <w:tcPr>
            <w:tcW w:type="dxa" w:w="978"/>
            <w:vAlign w:val="center"/>
          </w:tcPr>
          <w:p>
            <w:pPr>
              <w:spacing w:before="20" w:after="20" w:line="260" w:lineRule="auto"/>
              <w:ind w:firstLine="0"/>
              <w:jc w:val="left"/>
            </w:pPr>
            <w:r>
              <w:rPr>
                <w:sz w:val="20"/>
                <w:szCs w:val="20"/>
              </w:rPr>
              <w:t xml:space="preserve">E</w:t>
            </w:r>
          </w:p>
        </w:tc>
        <w:tc>
          <w:tcPr>
            <w:tcW w:type="dxa" w:w="978"/>
            <w:vAlign w:val="center"/>
          </w:tcPr>
          <w:p>
            <w:pPr>
              <w:spacing w:before="20" w:after="20" w:line="260" w:lineRule="auto"/>
              <w:ind w:firstLine="0"/>
              <w:jc w:val="center"/>
            </w:pPr>
            <w:r>
              <w:rPr>
                <w:sz w:val="20"/>
                <w:szCs w:val="20"/>
              </w:rPr>
              <w:t xml:space="preserve">10</w:t>
            </w:r>
          </w:p>
        </w:tc>
        <w:tc>
          <w:tcPr>
            <w:tcW w:type="dxa" w:w="978"/>
            <w:vAlign w:val="center"/>
          </w:tcPr>
          <w:p>
            <w:pPr>
              <w:spacing w:before="20" w:after="20" w:line="260" w:lineRule="auto"/>
              <w:ind w:firstLine="0"/>
              <w:jc w:val="center"/>
            </w:pPr>
            <w:r>
              <w:rPr>
                <w:sz w:val="20"/>
                <w:szCs w:val="20"/>
              </w:rPr>
              <w:t xml:space="preserve">264.232</w:t>
            </w:r>
          </w:p>
        </w:tc>
        <w:tc>
          <w:tcPr>
            <w:tcW w:type="dxa" w:w="978"/>
            <w:vAlign w:val="center"/>
          </w:tcPr>
          <w:p>
            <w:pPr>
              <w:spacing w:before="20" w:after="20" w:line="260" w:lineRule="auto"/>
              <w:ind w:firstLine="0"/>
              <w:jc w:val="center"/>
            </w:pPr>
            <w:r>
              <w:rPr>
                <w:sz w:val="20"/>
                <w:szCs w:val="20"/>
              </w:rPr>
              <w:t xml:space="preserve">259.606</w:t>
            </w:r>
          </w:p>
        </w:tc>
        <w:tc>
          <w:tcPr>
            <w:tcW w:type="dxa" w:w="978"/>
            <w:vAlign w:val="center"/>
          </w:tcPr>
          <w:p>
            <w:pPr>
              <w:spacing w:before="20" w:after="20" w:line="260" w:lineRule="auto"/>
              <w:ind w:firstLine="0"/>
              <w:jc w:val="center"/>
            </w:pPr>
            <w:r>
              <w:rPr>
                <w:sz w:val="20"/>
                <w:szCs w:val="20"/>
              </w:rPr>
              <w:t xml:space="preserve">12,28%</w:t>
            </w:r>
          </w:p>
        </w:tc>
        <w:tc>
          <w:tcPr>
            <w:tcW w:type="dxa" w:w="978"/>
            <w:vAlign w:val="center"/>
          </w:tcPr>
          <w:p>
            <w:pPr>
              <w:spacing w:before="20" w:after="20" w:line="260" w:lineRule="auto"/>
              <w:ind w:firstLine="0"/>
              <w:jc w:val="center"/>
            </w:pPr>
            <w:r>
              <w:rPr>
                <w:sz w:val="20"/>
                <w:szCs w:val="20"/>
              </w:rPr>
              <w:t xml:space="preserve">8,76</w:t>
            </w:r>
          </w:p>
        </w:tc>
        <w:tc>
          <w:tcPr>
            <w:tcW w:type="dxa" w:w="979"/>
            <w:vAlign w:val="center"/>
          </w:tcPr>
          <w:p>
            <w:pPr>
              <w:spacing w:before="20" w:after="20" w:line="260" w:lineRule="auto"/>
              <w:ind w:firstLine="0"/>
              <w:jc w:val="center"/>
            </w:pPr>
            <w:r>
              <w:rPr>
                <w:sz w:val="20"/>
                <w:szCs w:val="20"/>
              </w:rPr>
              <w:t xml:space="preserve">70,64%</w:t>
            </w:r>
          </w:p>
        </w:tc>
      </w:tr>
      <w:tr>
        <w:trPr>
          <w:cantSplit/>
        </w:trPr>
        <w:tc>
          <w:tcPr>
            <w:tcW w:type="dxa" w:w="978"/>
            <w:vAlign w:val="center"/>
          </w:tcPr>
          <w:p>
            <w:pPr>
              <w:spacing w:before="20" w:after="20" w:line="260" w:lineRule="auto"/>
              <w:ind w:firstLine="0"/>
              <w:jc w:val="center"/>
            </w:pPr>
            <w:r>
              <w:rPr>
                <w:sz w:val="20"/>
                <w:szCs w:val="20"/>
              </w:rPr>
              <w:t xml:space="preserve">44</w:t>
            </w:r>
          </w:p>
        </w:tc>
        <w:tc>
          <w:tcPr>
            <w:tcW w:type="dxa" w:w="1246"/>
            <w:vAlign w:val="center"/>
          </w:tcPr>
          <w:p>
            <w:pPr>
              <w:spacing w:before="20" w:after="20" w:line="260" w:lineRule="auto"/>
              <w:ind w:firstLine="0"/>
              <w:jc w:val="left"/>
            </w:pPr>
            <w:r>
              <w:rPr>
                <w:sz w:val="20"/>
                <w:szCs w:val="20"/>
              </w:rPr>
              <w:t xml:space="preserve">Quito</w:t>
            </w:r>
          </w:p>
        </w:tc>
        <w:tc>
          <w:tcPr>
            <w:tcW w:type="dxa" w:w="978"/>
            <w:vAlign w:val="center"/>
          </w:tcPr>
          <w:p>
            <w:pPr>
              <w:spacing w:before="20" w:after="20" w:line="260" w:lineRule="auto"/>
              <w:ind w:firstLine="0"/>
              <w:jc w:val="left"/>
            </w:pPr>
            <w:r>
              <w:rPr>
                <w:sz w:val="20"/>
                <w:szCs w:val="20"/>
              </w:rPr>
              <w:t xml:space="preserve">A</w:t>
            </w:r>
          </w:p>
        </w:tc>
        <w:tc>
          <w:tcPr>
            <w:tcW w:type="dxa" w:w="978"/>
            <w:vAlign w:val="center"/>
          </w:tcPr>
          <w:p>
            <w:pPr>
              <w:spacing w:before="20" w:after="20" w:line="260" w:lineRule="auto"/>
              <w:ind w:firstLine="0"/>
              <w:jc w:val="center"/>
            </w:pPr>
            <w:r>
              <w:rPr>
                <w:sz w:val="20"/>
                <w:szCs w:val="20"/>
              </w:rPr>
              <w:t xml:space="preserve">5</w:t>
            </w:r>
          </w:p>
        </w:tc>
        <w:tc>
          <w:tcPr>
            <w:tcW w:type="dxa" w:w="978"/>
            <w:vAlign w:val="center"/>
          </w:tcPr>
          <w:p>
            <w:pPr>
              <w:spacing w:before="20" w:after="20" w:line="260" w:lineRule="auto"/>
              <w:ind w:firstLine="0"/>
              <w:jc w:val="center"/>
            </w:pPr>
            <w:r>
              <w:rPr>
                <w:sz w:val="20"/>
                <w:szCs w:val="20"/>
              </w:rPr>
              <w:t xml:space="preserve">656.651</w:t>
            </w:r>
          </w:p>
        </w:tc>
        <w:tc>
          <w:tcPr>
            <w:tcW w:type="dxa" w:w="978"/>
            <w:vAlign w:val="center"/>
          </w:tcPr>
          <w:p>
            <w:pPr>
              <w:spacing w:before="20" w:after="20" w:line="260" w:lineRule="auto"/>
              <w:ind w:firstLine="0"/>
              <w:jc w:val="center"/>
            </w:pPr>
            <w:r>
              <w:rPr>
                <w:sz w:val="20"/>
                <w:szCs w:val="20"/>
              </w:rPr>
              <w:t xml:space="preserve">727.178</w:t>
            </w:r>
          </w:p>
        </w:tc>
        <w:tc>
          <w:tcPr>
            <w:tcW w:type="dxa" w:w="978"/>
            <w:vAlign w:val="center"/>
          </w:tcPr>
          <w:p>
            <w:pPr>
              <w:spacing w:before="20" w:after="20" w:line="260" w:lineRule="auto"/>
              <w:ind w:firstLine="0"/>
              <w:jc w:val="center"/>
            </w:pPr>
            <w:r>
              <w:rPr>
                <w:sz w:val="20"/>
                <w:szCs w:val="20"/>
              </w:rPr>
              <w:t xml:space="preserve">14,32%</w:t>
            </w:r>
          </w:p>
        </w:tc>
        <w:tc>
          <w:tcPr>
            <w:tcW w:type="dxa" w:w="978"/>
            <w:vAlign w:val="center"/>
          </w:tcPr>
          <w:p>
            <w:pPr>
              <w:spacing w:before="20" w:after="20" w:line="260" w:lineRule="auto"/>
              <w:ind w:firstLine="0"/>
              <w:jc w:val="center"/>
            </w:pPr>
            <w:r>
              <w:rPr>
                <w:sz w:val="20"/>
                <w:szCs w:val="20"/>
              </w:rPr>
              <w:t xml:space="preserve">−133,57</w:t>
            </w:r>
          </w:p>
        </w:tc>
        <w:tc>
          <w:tcPr>
            <w:tcW w:type="dxa" w:w="979"/>
            <w:vAlign w:val="center"/>
          </w:tcPr>
          <w:p>
            <w:pPr>
              <w:spacing w:before="20" w:after="20" w:line="260" w:lineRule="auto"/>
              <w:ind w:firstLine="0"/>
              <w:jc w:val="center"/>
            </w:pPr>
            <w:r>
              <w:rPr>
                <w:sz w:val="20"/>
                <w:szCs w:val="20"/>
              </w:rPr>
              <w:t xml:space="preserve">68,37%</w:t>
            </w:r>
          </w:p>
        </w:tc>
      </w:tr>
      <w:tr>
        <w:trPr>
          <w:cantSplit/>
        </w:trPr>
        <w:tc>
          <w:tcPr>
            <w:tcW w:type="dxa" w:w="978"/>
            <w:vAlign w:val="center"/>
          </w:tcPr>
          <w:p>
            <w:pPr>
              <w:spacing w:before="20" w:after="20" w:line="260" w:lineRule="auto"/>
              <w:ind w:firstLine="0"/>
              <w:jc w:val="center"/>
            </w:pPr>
            <w:r>
              <w:rPr>
                <w:sz w:val="20"/>
                <w:szCs w:val="20"/>
              </w:rPr>
              <w:t xml:space="preserve">45</w:t>
            </w:r>
          </w:p>
        </w:tc>
        <w:tc>
          <w:tcPr>
            <w:tcW w:type="dxa" w:w="1246"/>
            <w:vAlign w:val="center"/>
          </w:tcPr>
          <w:p>
            <w:pPr>
              <w:spacing w:before="20" w:after="20" w:line="260" w:lineRule="auto"/>
              <w:ind w:firstLine="0"/>
              <w:jc w:val="left"/>
            </w:pPr>
            <w:r>
              <w:rPr>
                <w:sz w:val="20"/>
                <w:szCs w:val="20"/>
              </w:rPr>
              <w:t xml:space="preserve">Quito</w:t>
            </w:r>
          </w:p>
        </w:tc>
        <w:tc>
          <w:tcPr>
            <w:tcW w:type="dxa" w:w="978"/>
            <w:vAlign w:val="center"/>
          </w:tcPr>
          <w:p>
            <w:pPr>
              <w:spacing w:before="20" w:after="20" w:line="260" w:lineRule="auto"/>
              <w:ind w:firstLine="0"/>
              <w:jc w:val="left"/>
            </w:pPr>
            <w:r>
              <w:rPr>
                <w:sz w:val="20"/>
                <w:szCs w:val="20"/>
              </w:rPr>
              <w:t xml:space="preserve">A</w:t>
            </w:r>
          </w:p>
        </w:tc>
        <w:tc>
          <w:tcPr>
            <w:tcW w:type="dxa" w:w="978"/>
            <w:vAlign w:val="center"/>
          </w:tcPr>
          <w:p>
            <w:pPr>
              <w:spacing w:before="20" w:after="20" w:line="260" w:lineRule="auto"/>
              <w:ind w:firstLine="0"/>
              <w:jc w:val="center"/>
            </w:pPr>
            <w:r>
              <w:rPr>
                <w:sz w:val="20"/>
                <w:szCs w:val="20"/>
              </w:rPr>
              <w:t xml:space="preserve">11</w:t>
            </w:r>
          </w:p>
        </w:tc>
        <w:tc>
          <w:tcPr>
            <w:tcW w:type="dxa" w:w="978"/>
            <w:vAlign w:val="center"/>
          </w:tcPr>
          <w:p>
            <w:pPr>
              <w:spacing w:before="20" w:after="20" w:line="260" w:lineRule="auto"/>
              <w:ind w:firstLine="0"/>
              <w:jc w:val="center"/>
            </w:pPr>
            <w:r>
              <w:rPr>
                <w:sz w:val="20"/>
                <w:szCs w:val="20"/>
              </w:rPr>
              <w:t xml:space="preserve">631.269</w:t>
            </w:r>
          </w:p>
        </w:tc>
        <w:tc>
          <w:tcPr>
            <w:tcW w:type="dxa" w:w="978"/>
            <w:vAlign w:val="center"/>
          </w:tcPr>
          <w:p>
            <w:pPr>
              <w:spacing w:before="20" w:after="20" w:line="260" w:lineRule="auto"/>
              <w:ind w:firstLine="0"/>
              <w:jc w:val="center"/>
            </w:pPr>
            <w:r>
              <w:rPr>
                <w:sz w:val="20"/>
                <w:szCs w:val="20"/>
              </w:rPr>
              <w:t xml:space="preserve">663.275</w:t>
            </w:r>
          </w:p>
        </w:tc>
        <w:tc>
          <w:tcPr>
            <w:tcW w:type="dxa" w:w="978"/>
            <w:vAlign w:val="center"/>
          </w:tcPr>
          <w:p>
            <w:pPr>
              <w:spacing w:before="20" w:after="20" w:line="260" w:lineRule="auto"/>
              <w:ind w:firstLine="0"/>
              <w:jc w:val="center"/>
            </w:pPr>
            <w:r>
              <w:rPr>
                <w:sz w:val="20"/>
                <w:szCs w:val="20"/>
              </w:rPr>
              <w:t xml:space="preserve">11,32%</w:t>
            </w:r>
          </w:p>
        </w:tc>
        <w:tc>
          <w:tcPr>
            <w:tcW w:type="dxa" w:w="978"/>
            <w:vAlign w:val="center"/>
          </w:tcPr>
          <w:p>
            <w:pPr>
              <w:spacing w:before="20" w:after="20" w:line="260" w:lineRule="auto"/>
              <w:ind w:firstLine="0"/>
              <w:jc w:val="center"/>
            </w:pPr>
            <w:r>
              <w:rPr>
                <w:sz w:val="20"/>
                <w:szCs w:val="20"/>
              </w:rPr>
              <w:t xml:space="preserve">−60,62</w:t>
            </w:r>
          </w:p>
        </w:tc>
        <w:tc>
          <w:tcPr>
            <w:tcW w:type="dxa" w:w="979"/>
            <w:vAlign w:val="center"/>
          </w:tcPr>
          <w:p>
            <w:pPr>
              <w:spacing w:before="20" w:after="20" w:line="260" w:lineRule="auto"/>
              <w:ind w:firstLine="0"/>
              <w:jc w:val="center"/>
            </w:pPr>
            <w:r>
              <w:rPr>
                <w:sz w:val="20"/>
                <w:szCs w:val="20"/>
              </w:rPr>
              <w:t xml:space="preserve">73,86%</w:t>
            </w:r>
          </w:p>
        </w:tc>
      </w:tr>
      <w:tr>
        <w:trPr>
          <w:cantSplit/>
        </w:trPr>
        <w:tc>
          <w:tcPr>
            <w:tcW w:type="dxa" w:w="978"/>
            <w:vAlign w:val="center"/>
          </w:tcPr>
          <w:p>
            <w:pPr>
              <w:spacing w:before="20" w:after="20" w:line="260" w:lineRule="auto"/>
              <w:ind w:firstLine="0"/>
              <w:jc w:val="center"/>
            </w:pPr>
            <w:r>
              <w:rPr>
                <w:sz w:val="20"/>
                <w:szCs w:val="20"/>
              </w:rPr>
              <w:t xml:space="preserve">46</w:t>
            </w:r>
          </w:p>
        </w:tc>
        <w:tc>
          <w:tcPr>
            <w:tcW w:type="dxa" w:w="1246"/>
            <w:vAlign w:val="center"/>
          </w:tcPr>
          <w:p>
            <w:pPr>
              <w:spacing w:before="20" w:after="20" w:line="260" w:lineRule="auto"/>
              <w:ind w:firstLine="0"/>
              <w:jc w:val="left"/>
            </w:pPr>
            <w:r>
              <w:rPr>
                <w:sz w:val="20"/>
                <w:szCs w:val="20"/>
              </w:rPr>
              <w:t xml:space="preserve">Quito</w:t>
            </w:r>
          </w:p>
        </w:tc>
        <w:tc>
          <w:tcPr>
            <w:tcW w:type="dxa" w:w="978"/>
            <w:vAlign w:val="center"/>
          </w:tcPr>
          <w:p>
            <w:pPr>
              <w:spacing w:before="20" w:after="20" w:line="260" w:lineRule="auto"/>
              <w:ind w:firstLine="0"/>
              <w:jc w:val="left"/>
            </w:pPr>
            <w:r>
              <w:rPr>
                <w:sz w:val="20"/>
                <w:szCs w:val="20"/>
              </w:rPr>
              <w:t xml:space="preserve">A</w:t>
            </w:r>
          </w:p>
        </w:tc>
        <w:tc>
          <w:tcPr>
            <w:tcW w:type="dxa" w:w="978"/>
            <w:vAlign w:val="center"/>
          </w:tcPr>
          <w:p>
            <w:pPr>
              <w:spacing w:before="20" w:after="20" w:line="260" w:lineRule="auto"/>
              <w:ind w:firstLine="0"/>
              <w:jc w:val="center"/>
            </w:pPr>
            <w:r>
              <w:rPr>
                <w:sz w:val="20"/>
                <w:szCs w:val="20"/>
              </w:rPr>
              <w:t xml:space="preserve">14</w:t>
            </w:r>
          </w:p>
        </w:tc>
        <w:tc>
          <w:tcPr>
            <w:tcW w:type="dxa" w:w="978"/>
            <w:vAlign w:val="center"/>
          </w:tcPr>
          <w:p>
            <w:pPr>
              <w:spacing w:before="20" w:after="20" w:line="260" w:lineRule="auto"/>
              <w:ind w:firstLine="0"/>
              <w:jc w:val="center"/>
            </w:pPr>
            <w:r>
              <w:rPr>
                <w:sz w:val="20"/>
                <w:szCs w:val="20"/>
              </w:rPr>
              <w:t xml:space="preserve">456.762</w:t>
            </w:r>
          </w:p>
        </w:tc>
        <w:tc>
          <w:tcPr>
            <w:tcW w:type="dxa" w:w="978"/>
            <w:vAlign w:val="center"/>
          </w:tcPr>
          <w:p>
            <w:pPr>
              <w:spacing w:before="20" w:after="20" w:line="260" w:lineRule="auto"/>
              <w:ind w:firstLine="0"/>
              <w:jc w:val="center"/>
            </w:pPr>
            <w:r>
              <w:rPr>
                <w:sz w:val="20"/>
                <w:szCs w:val="20"/>
              </w:rPr>
              <w:t xml:space="preserve">496.358</w:t>
            </w:r>
          </w:p>
        </w:tc>
        <w:tc>
          <w:tcPr>
            <w:tcW w:type="dxa" w:w="978"/>
            <w:vAlign w:val="center"/>
          </w:tcPr>
          <w:p>
            <w:pPr>
              <w:spacing w:before="20" w:after="20" w:line="260" w:lineRule="auto"/>
              <w:ind w:firstLine="0"/>
              <w:jc w:val="center"/>
            </w:pPr>
            <w:r>
              <w:rPr>
                <w:sz w:val="20"/>
                <w:szCs w:val="20"/>
              </w:rPr>
              <w:t xml:space="preserve">13,66%</w:t>
            </w:r>
          </w:p>
        </w:tc>
        <w:tc>
          <w:tcPr>
            <w:tcW w:type="dxa" w:w="978"/>
            <w:vAlign w:val="center"/>
          </w:tcPr>
          <w:p>
            <w:pPr>
              <w:spacing w:before="20" w:after="20" w:line="260" w:lineRule="auto"/>
              <w:ind w:firstLine="0"/>
              <w:jc w:val="center"/>
            </w:pPr>
            <w:r>
              <w:rPr>
                <w:sz w:val="20"/>
                <w:szCs w:val="20"/>
              </w:rPr>
              <w:t xml:space="preserve">−74,99</w:t>
            </w:r>
          </w:p>
        </w:tc>
        <w:tc>
          <w:tcPr>
            <w:tcW w:type="dxa" w:w="979"/>
            <w:vAlign w:val="center"/>
          </w:tcPr>
          <w:p>
            <w:pPr>
              <w:spacing w:before="20" w:after="20" w:line="260" w:lineRule="auto"/>
              <w:ind w:firstLine="0"/>
              <w:jc w:val="center"/>
            </w:pPr>
            <w:r>
              <w:rPr>
                <w:sz w:val="20"/>
                <w:szCs w:val="20"/>
              </w:rPr>
              <w:t xml:space="preserve">74,62%</w:t>
            </w:r>
          </w:p>
        </w:tc>
      </w:tr>
      <w:tr>
        <w:trPr>
          <w:cantSplit/>
        </w:trPr>
        <w:tc>
          <w:tcPr>
            <w:tcW w:type="dxa" w:w="978"/>
            <w:vAlign w:val="center"/>
          </w:tcPr>
          <w:p>
            <w:pPr>
              <w:spacing w:before="20" w:after="20" w:line="260" w:lineRule="auto"/>
              <w:ind w:firstLine="0"/>
              <w:jc w:val="center"/>
            </w:pPr>
            <w:r>
              <w:rPr>
                <w:sz w:val="20"/>
                <w:szCs w:val="20"/>
              </w:rPr>
              <w:t xml:space="preserve">47</w:t>
            </w:r>
          </w:p>
        </w:tc>
        <w:tc>
          <w:tcPr>
            <w:tcW w:type="dxa" w:w="1246"/>
            <w:vAlign w:val="center"/>
          </w:tcPr>
          <w:p>
            <w:pPr>
              <w:spacing w:before="20" w:after="20" w:line="260" w:lineRule="auto"/>
              <w:ind w:firstLine="0"/>
              <w:jc w:val="left"/>
            </w:pPr>
            <w:r>
              <w:rPr>
                <w:sz w:val="20"/>
                <w:szCs w:val="20"/>
              </w:rPr>
              <w:t xml:space="preserve">Quito</w:t>
            </w:r>
          </w:p>
        </w:tc>
        <w:tc>
          <w:tcPr>
            <w:tcW w:type="dxa" w:w="978"/>
            <w:vAlign w:val="center"/>
          </w:tcPr>
          <w:p>
            <w:pPr>
              <w:spacing w:before="20" w:after="20" w:line="260" w:lineRule="auto"/>
              <w:ind w:firstLine="0"/>
              <w:jc w:val="left"/>
            </w:pPr>
            <w:r>
              <w:rPr>
                <w:sz w:val="20"/>
                <w:szCs w:val="20"/>
              </w:rPr>
              <w:t xml:space="preserve">A</w:t>
            </w:r>
          </w:p>
        </w:tc>
        <w:tc>
          <w:tcPr>
            <w:tcW w:type="dxa" w:w="978"/>
            <w:vAlign w:val="center"/>
          </w:tcPr>
          <w:p>
            <w:pPr>
              <w:spacing w:before="20" w:after="20" w:line="260" w:lineRule="auto"/>
              <w:ind w:firstLine="0"/>
              <w:jc w:val="center"/>
            </w:pPr>
            <w:r>
              <w:rPr>
                <w:sz w:val="20"/>
                <w:szCs w:val="20"/>
              </w:rPr>
              <w:t xml:space="preserve">14</w:t>
            </w:r>
          </w:p>
        </w:tc>
        <w:tc>
          <w:tcPr>
            <w:tcW w:type="dxa" w:w="978"/>
            <w:vAlign w:val="center"/>
          </w:tcPr>
          <w:p>
            <w:pPr>
              <w:spacing w:before="20" w:after="20" w:line="260" w:lineRule="auto"/>
              <w:ind w:firstLine="0"/>
              <w:jc w:val="center"/>
            </w:pPr>
            <w:r>
              <w:rPr>
                <w:sz w:val="20"/>
                <w:szCs w:val="20"/>
              </w:rPr>
              <w:t xml:space="preserve">581.797</w:t>
            </w:r>
          </w:p>
        </w:tc>
        <w:tc>
          <w:tcPr>
            <w:tcW w:type="dxa" w:w="978"/>
            <w:vAlign w:val="center"/>
          </w:tcPr>
          <w:p>
            <w:pPr>
              <w:spacing w:before="20" w:after="20" w:line="260" w:lineRule="auto"/>
              <w:ind w:firstLine="0"/>
              <w:jc w:val="center"/>
            </w:pPr>
            <w:r>
              <w:rPr>
                <w:sz w:val="20"/>
                <w:szCs w:val="20"/>
              </w:rPr>
              <w:t xml:space="preserve">615.662</w:t>
            </w:r>
          </w:p>
        </w:tc>
        <w:tc>
          <w:tcPr>
            <w:tcW w:type="dxa" w:w="978"/>
            <w:vAlign w:val="center"/>
          </w:tcPr>
          <w:p>
            <w:pPr>
              <w:spacing w:before="20" w:after="20" w:line="260" w:lineRule="auto"/>
              <w:ind w:firstLine="0"/>
              <w:jc w:val="center"/>
            </w:pPr>
            <w:r>
              <w:rPr>
                <w:sz w:val="20"/>
                <w:szCs w:val="20"/>
              </w:rPr>
              <w:t xml:space="preserve">12,50%</w:t>
            </w:r>
          </w:p>
        </w:tc>
        <w:tc>
          <w:tcPr>
            <w:tcW w:type="dxa" w:w="978"/>
            <w:vAlign w:val="center"/>
          </w:tcPr>
          <w:p>
            <w:pPr>
              <w:spacing w:before="20" w:after="20" w:line="260" w:lineRule="auto"/>
              <w:ind w:firstLine="0"/>
              <w:jc w:val="center"/>
            </w:pPr>
            <w:r>
              <w:rPr>
                <w:sz w:val="20"/>
                <w:szCs w:val="20"/>
              </w:rPr>
              <w:t xml:space="preserve">−64,14</w:t>
            </w:r>
          </w:p>
        </w:tc>
        <w:tc>
          <w:tcPr>
            <w:tcW w:type="dxa" w:w="979"/>
            <w:vAlign w:val="center"/>
          </w:tcPr>
          <w:p>
            <w:pPr>
              <w:spacing w:before="20" w:after="20" w:line="260" w:lineRule="auto"/>
              <w:ind w:firstLine="0"/>
              <w:jc w:val="center"/>
            </w:pPr>
            <w:r>
              <w:rPr>
                <w:sz w:val="20"/>
                <w:szCs w:val="20"/>
              </w:rPr>
              <w:t xml:space="preserve">75,38%</w:t>
            </w:r>
          </w:p>
        </w:tc>
      </w:tr>
      <w:tr>
        <w:trPr>
          <w:cantSplit/>
        </w:trPr>
        <w:tc>
          <w:tcPr>
            <w:tcW w:type="dxa" w:w="978"/>
            <w:vAlign w:val="center"/>
          </w:tcPr>
          <w:p>
            <w:pPr>
              <w:spacing w:before="20" w:after="20" w:line="260" w:lineRule="auto"/>
              <w:ind w:firstLine="0"/>
              <w:jc w:val="center"/>
            </w:pPr>
            <w:r>
              <w:rPr>
                <w:sz w:val="20"/>
                <w:szCs w:val="20"/>
              </w:rPr>
              <w:t xml:space="preserve">48</w:t>
            </w:r>
          </w:p>
        </w:tc>
        <w:tc>
          <w:tcPr>
            <w:tcW w:type="dxa" w:w="1246"/>
            <w:vAlign w:val="center"/>
          </w:tcPr>
          <w:p>
            <w:pPr>
              <w:spacing w:before="20" w:after="20" w:line="260" w:lineRule="auto"/>
              <w:ind w:firstLine="0"/>
              <w:jc w:val="left"/>
            </w:pPr>
            <w:r>
              <w:rPr>
                <w:sz w:val="20"/>
                <w:szCs w:val="20"/>
              </w:rPr>
              <w:t xml:space="preserve">Quito</w:t>
            </w:r>
          </w:p>
        </w:tc>
        <w:tc>
          <w:tcPr>
            <w:tcW w:type="dxa" w:w="978"/>
            <w:vAlign w:val="center"/>
          </w:tcPr>
          <w:p>
            <w:pPr>
              <w:spacing w:before="20" w:after="20" w:line="260" w:lineRule="auto"/>
              <w:ind w:firstLine="0"/>
              <w:jc w:val="left"/>
            </w:pPr>
            <w:r>
              <w:rPr>
                <w:sz w:val="20"/>
                <w:szCs w:val="20"/>
              </w:rPr>
              <w:t xml:space="preserve">A</w:t>
            </w:r>
          </w:p>
        </w:tc>
        <w:tc>
          <w:tcPr>
            <w:tcW w:type="dxa" w:w="978"/>
            <w:vAlign w:val="center"/>
          </w:tcPr>
          <w:p>
            <w:pPr>
              <w:spacing w:before="20" w:after="20" w:line="260" w:lineRule="auto"/>
              <w:ind w:firstLine="0"/>
              <w:jc w:val="center"/>
            </w:pPr>
            <w:r>
              <w:rPr>
                <w:sz w:val="20"/>
                <w:szCs w:val="20"/>
              </w:rPr>
              <w:t xml:space="preserve">14</w:t>
            </w:r>
          </w:p>
        </w:tc>
        <w:tc>
          <w:tcPr>
            <w:tcW w:type="dxa" w:w="978"/>
            <w:vAlign w:val="center"/>
          </w:tcPr>
          <w:p>
            <w:pPr>
              <w:spacing w:before="20" w:after="20" w:line="260" w:lineRule="auto"/>
              <w:ind w:firstLine="0"/>
              <w:jc w:val="center"/>
            </w:pPr>
            <w:r>
              <w:rPr>
                <w:sz w:val="20"/>
                <w:szCs w:val="20"/>
              </w:rPr>
              <w:t xml:space="preserve">403.741</w:t>
            </w:r>
          </w:p>
        </w:tc>
        <w:tc>
          <w:tcPr>
            <w:tcW w:type="dxa" w:w="978"/>
            <w:vAlign w:val="center"/>
          </w:tcPr>
          <w:p>
            <w:pPr>
              <w:spacing w:before="20" w:after="20" w:line="260" w:lineRule="auto"/>
              <w:ind w:firstLine="0"/>
              <w:jc w:val="center"/>
            </w:pPr>
            <w:r>
              <w:rPr>
                <w:sz w:val="20"/>
                <w:szCs w:val="20"/>
              </w:rPr>
              <w:t xml:space="preserve">408.444</w:t>
            </w:r>
          </w:p>
        </w:tc>
        <w:tc>
          <w:tcPr>
            <w:tcW w:type="dxa" w:w="978"/>
            <w:vAlign w:val="center"/>
          </w:tcPr>
          <w:p>
            <w:pPr>
              <w:spacing w:before="20" w:after="20" w:line="260" w:lineRule="auto"/>
              <w:ind w:firstLine="0"/>
              <w:jc w:val="center"/>
            </w:pPr>
            <w:r>
              <w:rPr>
                <w:sz w:val="20"/>
                <w:szCs w:val="20"/>
              </w:rPr>
              <w:t xml:space="preserve">12,54%</w:t>
            </w:r>
          </w:p>
        </w:tc>
        <w:tc>
          <w:tcPr>
            <w:tcW w:type="dxa" w:w="978"/>
            <w:vAlign w:val="center"/>
          </w:tcPr>
          <w:p>
            <w:pPr>
              <w:spacing w:before="20" w:after="20" w:line="260" w:lineRule="auto"/>
              <w:ind w:firstLine="0"/>
              <w:jc w:val="center"/>
            </w:pPr>
            <w:r>
              <w:rPr>
                <w:sz w:val="20"/>
                <w:szCs w:val="20"/>
              </w:rPr>
              <w:t xml:space="preserve">−8,91</w:t>
            </w:r>
          </w:p>
        </w:tc>
        <w:tc>
          <w:tcPr>
            <w:tcW w:type="dxa" w:w="979"/>
            <w:vAlign w:val="center"/>
          </w:tcPr>
          <w:p>
            <w:pPr>
              <w:spacing w:before="20" w:after="20" w:line="260" w:lineRule="auto"/>
              <w:ind w:firstLine="0"/>
              <w:jc w:val="center"/>
            </w:pPr>
            <w:r>
              <w:rPr>
                <w:sz w:val="20"/>
                <w:szCs w:val="20"/>
              </w:rPr>
              <w:t xml:space="preserve">74,81%</w:t>
            </w:r>
          </w:p>
        </w:tc>
      </w:tr>
      <w:tr>
        <w:trPr>
          <w:cantSplit/>
        </w:trPr>
        <w:tc>
          <w:tcPr>
            <w:tcW w:type="dxa" w:w="978"/>
            <w:vAlign w:val="center"/>
          </w:tcPr>
          <w:p>
            <w:pPr>
              <w:spacing w:before="20" w:after="20" w:line="260" w:lineRule="auto"/>
              <w:ind w:firstLine="0"/>
              <w:jc w:val="center"/>
            </w:pPr>
            <w:r>
              <w:rPr>
                <w:sz w:val="20"/>
                <w:szCs w:val="20"/>
              </w:rPr>
              <w:t xml:space="preserve">49</w:t>
            </w:r>
          </w:p>
        </w:tc>
        <w:tc>
          <w:tcPr>
            <w:tcW w:type="dxa" w:w="1246"/>
            <w:vAlign w:val="center"/>
          </w:tcPr>
          <w:p>
            <w:pPr>
              <w:spacing w:before="20" w:after="20" w:line="260" w:lineRule="auto"/>
              <w:ind w:firstLine="0"/>
              <w:jc w:val="left"/>
            </w:pPr>
            <w:r>
              <w:rPr>
                <w:sz w:val="20"/>
                <w:szCs w:val="20"/>
              </w:rPr>
              <w:t xml:space="preserve">Quito</w:t>
            </w:r>
          </w:p>
        </w:tc>
        <w:tc>
          <w:tcPr>
            <w:tcW w:type="dxa" w:w="978"/>
            <w:vAlign w:val="center"/>
          </w:tcPr>
          <w:p>
            <w:pPr>
              <w:spacing w:before="20" w:after="20" w:line="260" w:lineRule="auto"/>
              <w:ind w:firstLine="0"/>
              <w:jc w:val="left"/>
            </w:pPr>
            <w:r>
              <w:rPr>
                <w:sz w:val="20"/>
                <w:szCs w:val="20"/>
              </w:rPr>
              <w:t xml:space="preserve">A</w:t>
            </w:r>
          </w:p>
        </w:tc>
        <w:tc>
          <w:tcPr>
            <w:tcW w:type="dxa" w:w="978"/>
            <w:vAlign w:val="center"/>
          </w:tcPr>
          <w:p>
            <w:pPr>
              <w:spacing w:before="20" w:after="20" w:line="260" w:lineRule="auto"/>
              <w:ind w:firstLine="0"/>
              <w:jc w:val="center"/>
            </w:pPr>
            <w:r>
              <w:rPr>
                <w:sz w:val="20"/>
                <w:szCs w:val="20"/>
              </w:rPr>
              <w:t xml:space="preserve">11</w:t>
            </w:r>
          </w:p>
        </w:tc>
        <w:tc>
          <w:tcPr>
            <w:tcW w:type="dxa" w:w="978"/>
            <w:vAlign w:val="center"/>
          </w:tcPr>
          <w:p>
            <w:pPr>
              <w:spacing w:before="20" w:after="20" w:line="260" w:lineRule="auto"/>
              <w:ind w:firstLine="0"/>
              <w:jc w:val="center"/>
            </w:pPr>
            <w:r>
              <w:rPr>
                <w:sz w:val="20"/>
                <w:szCs w:val="20"/>
              </w:rPr>
              <w:t xml:space="preserve">518.239</w:t>
            </w:r>
          </w:p>
        </w:tc>
        <w:tc>
          <w:tcPr>
            <w:tcW w:type="dxa" w:w="978"/>
            <w:vAlign w:val="center"/>
          </w:tcPr>
          <w:p>
            <w:pPr>
              <w:spacing w:before="20" w:after="20" w:line="260" w:lineRule="auto"/>
              <w:ind w:firstLine="0"/>
              <w:jc w:val="center"/>
            </w:pPr>
            <w:r>
              <w:rPr>
                <w:sz w:val="20"/>
                <w:szCs w:val="20"/>
              </w:rPr>
              <w:t xml:space="preserve">568.033</w:t>
            </w:r>
          </w:p>
        </w:tc>
        <w:tc>
          <w:tcPr>
            <w:tcW w:type="dxa" w:w="978"/>
            <w:vAlign w:val="center"/>
          </w:tcPr>
          <w:p>
            <w:pPr>
              <w:spacing w:before="20" w:after="20" w:line="260" w:lineRule="auto"/>
              <w:ind w:firstLine="0"/>
              <w:jc w:val="center"/>
            </w:pPr>
            <w:r>
              <w:rPr>
                <w:sz w:val="20"/>
                <w:szCs w:val="20"/>
              </w:rPr>
              <w:t xml:space="preserve">12,58%</w:t>
            </w:r>
          </w:p>
        </w:tc>
        <w:tc>
          <w:tcPr>
            <w:tcW w:type="dxa" w:w="978"/>
            <w:vAlign w:val="center"/>
          </w:tcPr>
          <w:p>
            <w:pPr>
              <w:spacing w:before="20" w:after="20" w:line="260" w:lineRule="auto"/>
              <w:ind w:firstLine="0"/>
              <w:jc w:val="center"/>
            </w:pPr>
            <w:r>
              <w:rPr>
                <w:sz w:val="20"/>
                <w:szCs w:val="20"/>
              </w:rPr>
              <w:t xml:space="preserve">−94,31</w:t>
            </w:r>
          </w:p>
        </w:tc>
        <w:tc>
          <w:tcPr>
            <w:tcW w:type="dxa" w:w="979"/>
            <w:vAlign w:val="center"/>
          </w:tcPr>
          <w:p>
            <w:pPr>
              <w:spacing w:before="20" w:after="20" w:line="260" w:lineRule="auto"/>
              <w:ind w:firstLine="0"/>
              <w:jc w:val="center"/>
            </w:pPr>
            <w:r>
              <w:rPr>
                <w:sz w:val="20"/>
                <w:szCs w:val="20"/>
              </w:rPr>
              <w:t xml:space="preserve">69,70%</w:t>
            </w:r>
          </w:p>
        </w:tc>
      </w:tr>
      <w:tr>
        <w:trPr>
          <w:cantSplit/>
        </w:trPr>
        <w:tc>
          <w:tcPr>
            <w:tcW w:type="dxa" w:w="978"/>
            <w:vAlign w:val="center"/>
          </w:tcPr>
          <w:p>
            <w:pPr>
              <w:spacing w:before="20" w:after="20" w:line="260" w:lineRule="auto"/>
              <w:ind w:firstLine="0"/>
              <w:jc w:val="center"/>
            </w:pPr>
            <w:r>
              <w:rPr>
                <w:sz w:val="20"/>
                <w:szCs w:val="20"/>
              </w:rPr>
              <w:t xml:space="preserve">50</w:t>
            </w:r>
          </w:p>
        </w:tc>
        <w:tc>
          <w:tcPr>
            <w:tcW w:type="dxa" w:w="1246"/>
            <w:vAlign w:val="center"/>
          </w:tcPr>
          <w:p>
            <w:pPr>
              <w:spacing w:before="20" w:after="20" w:line="260" w:lineRule="auto"/>
              <w:ind w:firstLine="0"/>
              <w:jc w:val="left"/>
            </w:pPr>
            <w:r>
              <w:rPr>
                <w:sz w:val="20"/>
                <w:szCs w:val="20"/>
              </w:rPr>
              <w:t xml:space="preserve">Ambato</w:t>
            </w:r>
          </w:p>
        </w:tc>
        <w:tc>
          <w:tcPr>
            <w:tcW w:type="dxa" w:w="978"/>
            <w:vAlign w:val="center"/>
          </w:tcPr>
          <w:p>
            <w:pPr>
              <w:spacing w:before="20" w:after="20" w:line="260" w:lineRule="auto"/>
              <w:ind w:firstLine="0"/>
              <w:jc w:val="left"/>
            </w:pPr>
            <w:r>
              <w:rPr>
                <w:sz w:val="20"/>
                <w:szCs w:val="20"/>
              </w:rPr>
              <w:t xml:space="preserve">A</w:t>
            </w:r>
          </w:p>
        </w:tc>
        <w:tc>
          <w:tcPr>
            <w:tcW w:type="dxa" w:w="978"/>
            <w:vAlign w:val="center"/>
          </w:tcPr>
          <w:p>
            <w:pPr>
              <w:spacing w:before="20" w:after="20" w:line="260" w:lineRule="auto"/>
              <w:ind w:firstLine="0"/>
              <w:jc w:val="center"/>
            </w:pPr>
            <w:r>
              <w:rPr>
                <w:sz w:val="20"/>
                <w:szCs w:val="20"/>
              </w:rPr>
              <w:t xml:space="preserve">14</w:t>
            </w:r>
          </w:p>
        </w:tc>
        <w:tc>
          <w:tcPr>
            <w:tcW w:type="dxa" w:w="978"/>
            <w:vAlign w:val="center"/>
          </w:tcPr>
          <w:p>
            <w:pPr>
              <w:spacing w:before="20" w:after="20" w:line="260" w:lineRule="auto"/>
              <w:ind w:firstLine="0"/>
              <w:jc w:val="center"/>
            </w:pPr>
            <w:r>
              <w:rPr>
                <w:sz w:val="20"/>
                <w:szCs w:val="20"/>
              </w:rPr>
              <w:t xml:space="preserve">326.493</w:t>
            </w:r>
          </w:p>
        </w:tc>
        <w:tc>
          <w:tcPr>
            <w:tcW w:type="dxa" w:w="978"/>
            <w:vAlign w:val="center"/>
          </w:tcPr>
          <w:p>
            <w:pPr>
              <w:spacing w:before="20" w:after="20" w:line="260" w:lineRule="auto"/>
              <w:ind w:firstLine="0"/>
              <w:jc w:val="center"/>
            </w:pPr>
            <w:r>
              <w:rPr>
                <w:sz w:val="20"/>
                <w:szCs w:val="20"/>
              </w:rPr>
              <w:t xml:space="preserve">345.824</w:t>
            </w:r>
          </w:p>
        </w:tc>
        <w:tc>
          <w:tcPr>
            <w:tcW w:type="dxa" w:w="978"/>
            <w:vAlign w:val="center"/>
          </w:tcPr>
          <w:p>
            <w:pPr>
              <w:spacing w:before="20" w:after="20" w:line="260" w:lineRule="auto"/>
              <w:ind w:firstLine="0"/>
              <w:jc w:val="center"/>
            </w:pPr>
            <w:r>
              <w:rPr>
                <w:sz w:val="20"/>
                <w:szCs w:val="20"/>
              </w:rPr>
              <w:t xml:space="preserve">13,66%</w:t>
            </w:r>
          </w:p>
        </w:tc>
        <w:tc>
          <w:tcPr>
            <w:tcW w:type="dxa" w:w="978"/>
            <w:vAlign w:val="center"/>
          </w:tcPr>
          <w:p>
            <w:pPr>
              <w:spacing w:before="20" w:after="20" w:line="260" w:lineRule="auto"/>
              <w:ind w:firstLine="0"/>
              <w:jc w:val="center"/>
            </w:pPr>
            <w:r>
              <w:rPr>
                <w:sz w:val="20"/>
                <w:szCs w:val="20"/>
              </w:rPr>
              <w:t xml:space="preserve">−36,61</w:t>
            </w:r>
          </w:p>
        </w:tc>
        <w:tc>
          <w:tcPr>
            <w:tcW w:type="dxa" w:w="979"/>
            <w:vAlign w:val="center"/>
          </w:tcPr>
          <w:p>
            <w:pPr>
              <w:spacing w:before="20" w:after="20" w:line="260" w:lineRule="auto"/>
              <w:ind w:firstLine="0"/>
              <w:jc w:val="center"/>
            </w:pPr>
            <w:r>
              <w:rPr>
                <w:sz w:val="20"/>
                <w:szCs w:val="20"/>
              </w:rPr>
              <w:t xml:space="preserve">70,64%</w:t>
            </w:r>
          </w:p>
        </w:tc>
      </w:tr>
      <w:tr>
        <w:trPr>
          <w:cantSplit/>
        </w:trPr>
        <w:tc>
          <w:tcPr>
            <w:tcW w:type="dxa" w:w="978"/>
            <w:vAlign w:val="center"/>
          </w:tcPr>
          <w:p>
            <w:pPr>
              <w:spacing w:before="20" w:after="20" w:line="260" w:lineRule="auto"/>
              <w:ind w:firstLine="0"/>
              <w:jc w:val="center"/>
            </w:pPr>
            <w:r>
              <w:rPr>
                <w:sz w:val="20"/>
                <w:szCs w:val="20"/>
              </w:rPr>
              <w:t xml:space="preserve">51</w:t>
            </w:r>
          </w:p>
        </w:tc>
        <w:tc>
          <w:tcPr>
            <w:tcW w:type="dxa" w:w="1246"/>
            <w:vAlign w:val="center"/>
          </w:tcPr>
          <w:p>
            <w:pPr>
              <w:spacing w:before="20" w:after="20" w:line="260" w:lineRule="auto"/>
              <w:ind w:firstLine="0"/>
              <w:jc w:val="left"/>
            </w:pPr>
            <w:r>
              <w:rPr>
                <w:sz w:val="20"/>
                <w:szCs w:val="20"/>
              </w:rPr>
              <w:t xml:space="preserve">Guayaquil</w:t>
            </w:r>
          </w:p>
        </w:tc>
        <w:tc>
          <w:tcPr>
            <w:tcW w:type="dxa" w:w="978"/>
            <w:vAlign w:val="center"/>
          </w:tcPr>
          <w:p>
            <w:pPr>
              <w:spacing w:before="20" w:after="20" w:line="260" w:lineRule="auto"/>
              <w:ind w:firstLine="0"/>
              <w:jc w:val="left"/>
            </w:pPr>
            <w:r>
              <w:rPr>
                <w:sz w:val="20"/>
                <w:szCs w:val="20"/>
              </w:rPr>
              <w:t xml:space="preserve">A</w:t>
            </w:r>
          </w:p>
        </w:tc>
        <w:tc>
          <w:tcPr>
            <w:tcW w:type="dxa" w:w="978"/>
            <w:vAlign w:val="center"/>
          </w:tcPr>
          <w:p>
            <w:pPr>
              <w:spacing w:before="20" w:after="20" w:line="260" w:lineRule="auto"/>
              <w:ind w:firstLine="0"/>
              <w:jc w:val="center"/>
            </w:pPr>
            <w:r>
              <w:rPr>
                <w:sz w:val="20"/>
                <w:szCs w:val="20"/>
              </w:rPr>
              <w:t xml:space="preserve">17</w:t>
            </w:r>
          </w:p>
        </w:tc>
        <w:tc>
          <w:tcPr>
            <w:tcW w:type="dxa" w:w="978"/>
            <w:vAlign w:val="center"/>
          </w:tcPr>
          <w:p>
            <w:pPr>
              <w:spacing w:before="20" w:after="20" w:line="260" w:lineRule="auto"/>
              <w:ind w:firstLine="0"/>
              <w:jc w:val="center"/>
            </w:pPr>
            <w:r>
              <w:rPr>
                <w:sz w:val="20"/>
                <w:szCs w:val="20"/>
              </w:rPr>
              <w:t xml:space="preserve">364.629</w:t>
            </w:r>
          </w:p>
        </w:tc>
        <w:tc>
          <w:tcPr>
            <w:tcW w:type="dxa" w:w="978"/>
            <w:vAlign w:val="center"/>
          </w:tcPr>
          <w:p>
            <w:pPr>
              <w:spacing w:before="20" w:after="20" w:line="260" w:lineRule="auto"/>
              <w:ind w:firstLine="0"/>
              <w:jc w:val="center"/>
            </w:pPr>
            <w:r>
              <w:rPr>
                <w:sz w:val="20"/>
                <w:szCs w:val="20"/>
              </w:rPr>
              <w:t xml:space="preserve">380.308</w:t>
            </w:r>
          </w:p>
        </w:tc>
        <w:tc>
          <w:tcPr>
            <w:tcW w:type="dxa" w:w="978"/>
            <w:vAlign w:val="center"/>
          </w:tcPr>
          <w:p>
            <w:pPr>
              <w:spacing w:before="20" w:after="20" w:line="260" w:lineRule="auto"/>
              <w:ind w:firstLine="0"/>
              <w:jc w:val="center"/>
            </w:pPr>
            <w:r>
              <w:rPr>
                <w:sz w:val="20"/>
                <w:szCs w:val="20"/>
              </w:rPr>
              <w:t xml:space="preserve">9,94%</w:t>
            </w:r>
          </w:p>
        </w:tc>
        <w:tc>
          <w:tcPr>
            <w:tcW w:type="dxa" w:w="978"/>
            <w:vAlign w:val="center"/>
          </w:tcPr>
          <w:p>
            <w:pPr>
              <w:spacing w:before="20" w:after="20" w:line="260" w:lineRule="auto"/>
              <w:ind w:firstLine="0"/>
              <w:jc w:val="center"/>
            </w:pPr>
            <w:r>
              <w:rPr>
                <w:sz w:val="20"/>
                <w:szCs w:val="20"/>
              </w:rPr>
              <w:t xml:space="preserve">−29,70</w:t>
            </w:r>
          </w:p>
        </w:tc>
        <w:tc>
          <w:tcPr>
            <w:tcW w:type="dxa" w:w="979"/>
            <w:vAlign w:val="center"/>
          </w:tcPr>
          <w:p>
            <w:pPr>
              <w:spacing w:before="20" w:after="20" w:line="260" w:lineRule="auto"/>
              <w:ind w:firstLine="0"/>
              <w:jc w:val="center"/>
            </w:pPr>
            <w:r>
              <w:rPr>
                <w:sz w:val="20"/>
                <w:szCs w:val="20"/>
              </w:rPr>
              <w:t xml:space="preserve">77,08%</w:t>
            </w:r>
          </w:p>
        </w:tc>
      </w:tr>
      <w:tr>
        <w:trPr>
          <w:cantSplit/>
        </w:trPr>
        <w:tc>
          <w:tcPr>
            <w:tcW w:type="dxa" w:w="978"/>
            <w:vAlign w:val="center"/>
          </w:tcPr>
          <w:p>
            <w:pPr>
              <w:spacing w:before="20" w:after="20" w:line="260" w:lineRule="auto"/>
              <w:ind w:firstLine="0"/>
              <w:jc w:val="center"/>
            </w:pPr>
            <w:r>
              <w:rPr>
                <w:sz w:val="20"/>
                <w:szCs w:val="20"/>
              </w:rPr>
              <w:t xml:space="preserve">52</w:t>
            </w:r>
          </w:p>
        </w:tc>
        <w:tc>
          <w:tcPr>
            <w:tcW w:type="dxa" w:w="1246"/>
            <w:vAlign w:val="center"/>
          </w:tcPr>
          <w:p>
            <w:pPr>
              <w:spacing w:before="20" w:after="20" w:line="260" w:lineRule="auto"/>
              <w:ind w:firstLine="0"/>
              <w:jc w:val="left"/>
            </w:pPr>
            <w:r>
              <w:rPr>
                <w:sz w:val="20"/>
                <w:szCs w:val="20"/>
              </w:rPr>
              <w:t xml:space="preserve">Manta</w:t>
            </w:r>
          </w:p>
        </w:tc>
        <w:tc>
          <w:tcPr>
            <w:tcW w:type="dxa" w:w="978"/>
            <w:vAlign w:val="center"/>
          </w:tcPr>
          <w:p>
            <w:pPr>
              <w:spacing w:before="20" w:after="20" w:line="260" w:lineRule="auto"/>
              <w:ind w:firstLine="0"/>
              <w:jc w:val="left"/>
            </w:pPr>
            <w:r>
              <w:rPr>
                <w:sz w:val="20"/>
                <w:szCs w:val="20"/>
              </w:rPr>
              <w:t xml:space="preserve">A</w:t>
            </w:r>
          </w:p>
        </w:tc>
        <w:tc>
          <w:tcPr>
            <w:tcW w:type="dxa" w:w="978"/>
            <w:vAlign w:val="center"/>
          </w:tcPr>
          <w:p>
            <w:pPr>
              <w:spacing w:before="20" w:after="20" w:line="260" w:lineRule="auto"/>
              <w:ind w:firstLine="0"/>
              <w:jc w:val="center"/>
            </w:pPr>
            <w:r>
              <w:rPr>
                <w:sz w:val="20"/>
                <w:szCs w:val="20"/>
              </w:rPr>
              <w:t xml:space="preserve">11</w:t>
            </w:r>
          </w:p>
        </w:tc>
        <w:tc>
          <w:tcPr>
            <w:tcW w:type="dxa" w:w="978"/>
            <w:vAlign w:val="center"/>
          </w:tcPr>
          <w:p>
            <w:pPr>
              <w:spacing w:before="20" w:after="20" w:line="260" w:lineRule="auto"/>
              <w:ind w:firstLine="0"/>
              <w:jc w:val="center"/>
            </w:pPr>
            <w:r>
              <w:rPr>
                <w:sz w:val="20"/>
                <w:szCs w:val="20"/>
              </w:rPr>
              <w:t xml:space="preserve">365.488</w:t>
            </w:r>
          </w:p>
        </w:tc>
        <w:tc>
          <w:tcPr>
            <w:tcW w:type="dxa" w:w="978"/>
            <w:vAlign w:val="center"/>
          </w:tcPr>
          <w:p>
            <w:pPr>
              <w:spacing w:before="20" w:after="20" w:line="260" w:lineRule="auto"/>
              <w:ind w:firstLine="0"/>
              <w:jc w:val="center"/>
            </w:pPr>
            <w:r>
              <w:rPr>
                <w:sz w:val="20"/>
                <w:szCs w:val="20"/>
              </w:rPr>
              <w:t xml:space="preserve">357.418</w:t>
            </w:r>
          </w:p>
        </w:tc>
        <w:tc>
          <w:tcPr>
            <w:tcW w:type="dxa" w:w="978"/>
            <w:vAlign w:val="center"/>
          </w:tcPr>
          <w:p>
            <w:pPr>
              <w:spacing w:before="20" w:after="20" w:line="260" w:lineRule="auto"/>
              <w:ind w:firstLine="0"/>
              <w:jc w:val="center"/>
            </w:pPr>
            <w:r>
              <w:rPr>
                <w:sz w:val="20"/>
                <w:szCs w:val="20"/>
              </w:rPr>
              <w:t xml:space="preserve">8,81%</w:t>
            </w:r>
          </w:p>
        </w:tc>
        <w:tc>
          <w:tcPr>
            <w:tcW w:type="dxa" w:w="978"/>
            <w:vAlign w:val="center"/>
          </w:tcPr>
          <w:p>
            <w:pPr>
              <w:spacing w:before="20" w:after="20" w:line="260" w:lineRule="auto"/>
              <w:ind w:firstLine="0"/>
              <w:jc w:val="center"/>
            </w:pPr>
            <w:r>
              <w:rPr>
                <w:sz w:val="20"/>
                <w:szCs w:val="20"/>
              </w:rPr>
              <w:t xml:space="preserve">15,28</w:t>
            </w:r>
          </w:p>
        </w:tc>
        <w:tc>
          <w:tcPr>
            <w:tcW w:type="dxa" w:w="979"/>
            <w:vAlign w:val="center"/>
          </w:tcPr>
          <w:p>
            <w:pPr>
              <w:spacing w:before="20" w:after="20" w:line="260" w:lineRule="auto"/>
              <w:ind w:firstLine="0"/>
              <w:jc w:val="center"/>
            </w:pPr>
            <w:r>
              <w:rPr>
                <w:sz w:val="20"/>
                <w:szCs w:val="20"/>
              </w:rPr>
              <w:t xml:space="preserve">76,33%</w:t>
            </w:r>
          </w:p>
        </w:tc>
      </w:tr>
      <w:tr>
        <w:trPr>
          <w:cantSplit/>
        </w:trPr>
        <w:tc>
          <w:tcPr>
            <w:tcW w:type="dxa" w:w="978"/>
            <w:vAlign w:val="center"/>
          </w:tcPr>
          <w:p>
            <w:pPr>
              <w:spacing w:before="20" w:after="20" w:line="260" w:lineRule="auto"/>
              <w:ind w:firstLine="0"/>
              <w:jc w:val="center"/>
            </w:pPr>
            <w:r>
              <w:rPr>
                <w:sz w:val="20"/>
                <w:szCs w:val="20"/>
              </w:rPr>
              <w:t xml:space="preserve">53</w:t>
            </w:r>
          </w:p>
        </w:tc>
        <w:tc>
          <w:tcPr>
            <w:tcW w:type="dxa" w:w="1246"/>
            <w:vAlign w:val="center"/>
          </w:tcPr>
          <w:p>
            <w:pPr>
              <w:spacing w:before="20" w:after="20" w:line="260" w:lineRule="auto"/>
              <w:ind w:firstLine="0"/>
              <w:jc w:val="left"/>
            </w:pPr>
            <w:r>
              <w:rPr>
                <w:sz w:val="20"/>
                <w:szCs w:val="20"/>
              </w:rPr>
              <w:t xml:space="preserve">Manta</w:t>
            </w:r>
          </w:p>
        </w:tc>
        <w:tc>
          <w:tcPr>
            <w:tcW w:type="dxa" w:w="978"/>
            <w:vAlign w:val="center"/>
          </w:tcPr>
          <w:p>
            <w:pPr>
              <w:spacing w:before="20" w:after="20" w:line="260" w:lineRule="auto"/>
              <w:ind w:firstLine="0"/>
              <w:jc w:val="left"/>
            </w:pPr>
            <w:r>
              <w:rPr>
                <w:sz w:val="20"/>
                <w:szCs w:val="20"/>
              </w:rPr>
              <w:t xml:space="preserve">D</w:t>
            </w:r>
          </w:p>
        </w:tc>
        <w:tc>
          <w:tcPr>
            <w:tcW w:type="dxa" w:w="978"/>
            <w:vAlign w:val="center"/>
          </w:tcPr>
          <w:p>
            <w:pPr>
              <w:spacing w:before="20" w:after="20" w:line="260" w:lineRule="auto"/>
              <w:ind w:firstLine="0"/>
              <w:jc w:val="center"/>
            </w:pPr>
            <w:r>
              <w:rPr>
                <w:sz w:val="20"/>
                <w:szCs w:val="20"/>
              </w:rPr>
              <w:t xml:space="preserve">13</w:t>
            </w:r>
          </w:p>
        </w:tc>
        <w:tc>
          <w:tcPr>
            <w:tcW w:type="dxa" w:w="978"/>
            <w:vAlign w:val="center"/>
          </w:tcPr>
          <w:p>
            <w:pPr>
              <w:spacing w:before="20" w:after="20" w:line="260" w:lineRule="auto"/>
              <w:ind w:firstLine="0"/>
              <w:jc w:val="center"/>
            </w:pPr>
            <w:r>
              <w:rPr>
                <w:sz w:val="20"/>
                <w:szCs w:val="20"/>
              </w:rPr>
              <w:t xml:space="preserve">178.777</w:t>
            </w:r>
          </w:p>
        </w:tc>
        <w:tc>
          <w:tcPr>
            <w:tcW w:type="dxa" w:w="978"/>
            <w:vAlign w:val="center"/>
          </w:tcPr>
          <w:p>
            <w:pPr>
              <w:spacing w:before="20" w:after="20" w:line="260" w:lineRule="auto"/>
              <w:ind w:firstLine="0"/>
              <w:jc w:val="center"/>
            </w:pPr>
            <w:r>
              <w:rPr>
                <w:sz w:val="20"/>
                <w:szCs w:val="20"/>
              </w:rPr>
              <w:t xml:space="preserve">190.869</w:t>
            </w:r>
          </w:p>
        </w:tc>
        <w:tc>
          <w:tcPr>
            <w:tcW w:type="dxa" w:w="978"/>
            <w:vAlign w:val="center"/>
          </w:tcPr>
          <w:p>
            <w:pPr>
              <w:spacing w:before="20" w:after="20" w:line="260" w:lineRule="auto"/>
              <w:ind w:firstLine="0"/>
              <w:jc w:val="center"/>
            </w:pPr>
            <w:r>
              <w:rPr>
                <w:sz w:val="20"/>
                <w:szCs w:val="20"/>
              </w:rPr>
              <w:t xml:space="preserve">13,14%</w:t>
            </w:r>
          </w:p>
        </w:tc>
        <w:tc>
          <w:tcPr>
            <w:tcW w:type="dxa" w:w="978"/>
            <w:vAlign w:val="center"/>
          </w:tcPr>
          <w:p>
            <w:pPr>
              <w:spacing w:before="20" w:after="20" w:line="260" w:lineRule="auto"/>
              <w:ind w:firstLine="0"/>
              <w:jc w:val="center"/>
            </w:pPr>
            <w:r>
              <w:rPr>
                <w:sz w:val="20"/>
                <w:szCs w:val="20"/>
              </w:rPr>
              <w:t xml:space="preserve">−22,90</w:t>
            </w:r>
          </w:p>
        </w:tc>
        <w:tc>
          <w:tcPr>
            <w:tcW w:type="dxa" w:w="979"/>
            <w:vAlign w:val="center"/>
          </w:tcPr>
          <w:p>
            <w:pPr>
              <w:spacing w:before="20" w:after="20" w:line="260" w:lineRule="auto"/>
              <w:ind w:firstLine="0"/>
              <w:jc w:val="center"/>
            </w:pPr>
            <w:r>
              <w:rPr>
                <w:sz w:val="20"/>
                <w:szCs w:val="20"/>
              </w:rPr>
              <w:t xml:space="preserve">78,41%</w:t>
            </w:r>
          </w:p>
        </w:tc>
      </w:tr>
      <w:tr>
        <w:trPr>
          <w:cantSplit/>
        </w:trPr>
        <w:tc>
          <w:tcPr>
            <w:tcW w:type="dxa" w:w="978"/>
            <w:vAlign w:val="center"/>
          </w:tcPr>
          <w:p>
            <w:pPr>
              <w:spacing w:before="20" w:after="20" w:line="260" w:lineRule="auto"/>
              <w:ind w:firstLine="0"/>
              <w:jc w:val="center"/>
            </w:pPr>
            <w:r>
              <w:rPr>
                <w:sz w:val="20"/>
                <w:szCs w:val="20"/>
              </w:rPr>
              <w:t xml:space="preserve">54</w:t>
            </w:r>
          </w:p>
        </w:tc>
        <w:tc>
          <w:tcPr>
            <w:tcW w:type="dxa" w:w="1246"/>
            <w:vAlign w:val="center"/>
          </w:tcPr>
          <w:p>
            <w:pPr>
              <w:spacing w:before="20" w:after="20" w:line="260" w:lineRule="auto"/>
              <w:ind w:firstLine="0"/>
              <w:jc w:val="left"/>
            </w:pPr>
            <w:r>
              <w:rPr>
                <w:sz w:val="20"/>
                <w:szCs w:val="20"/>
              </w:rPr>
              <w:t xml:space="preserve">El Carmen</w:t>
            </w:r>
          </w:p>
        </w:tc>
        <w:tc>
          <w:tcPr>
            <w:tcW w:type="dxa" w:w="978"/>
            <w:vAlign w:val="center"/>
          </w:tcPr>
          <w:p>
            <w:pPr>
              <w:spacing w:before="20" w:after="20" w:line="260" w:lineRule="auto"/>
              <w:ind w:firstLine="0"/>
              <w:jc w:val="left"/>
            </w:pPr>
            <w:r>
              <w:rPr>
                <w:sz w:val="20"/>
                <w:szCs w:val="20"/>
              </w:rPr>
              <w:t xml:space="preserve">C</w:t>
            </w:r>
          </w:p>
        </w:tc>
        <w:tc>
          <w:tcPr>
            <w:tcW w:type="dxa" w:w="978"/>
            <w:vAlign w:val="center"/>
          </w:tcPr>
          <w:p>
            <w:pPr>
              <w:spacing w:before="20" w:after="20" w:line="260" w:lineRule="auto"/>
              <w:ind w:firstLine="0"/>
              <w:jc w:val="center"/>
            </w:pPr>
            <w:r>
              <w:rPr>
                <w:sz w:val="20"/>
                <w:szCs w:val="20"/>
              </w:rPr>
              <w:t xml:space="preserve">3</w:t>
            </w:r>
          </w:p>
        </w:tc>
        <w:tc>
          <w:tcPr>
            <w:tcW w:type="dxa" w:w="978"/>
            <w:vAlign w:val="center"/>
          </w:tcPr>
          <w:p>
            <w:pPr>
              <w:spacing w:before="20" w:after="20" w:line="260" w:lineRule="auto"/>
              <w:ind w:firstLine="0"/>
              <w:jc w:val="center"/>
            </w:pPr>
            <w:r>
              <w:rPr>
                <w:sz w:val="20"/>
                <w:szCs w:val="20"/>
              </w:rPr>
              <w:t xml:space="preserve">176.572</w:t>
            </w:r>
          </w:p>
        </w:tc>
        <w:tc>
          <w:tcPr>
            <w:tcW w:type="dxa" w:w="978"/>
            <w:vAlign w:val="center"/>
          </w:tcPr>
          <w:p>
            <w:pPr>
              <w:spacing w:before="20" w:after="20" w:line="260" w:lineRule="auto"/>
              <w:ind w:firstLine="0"/>
              <w:jc w:val="center"/>
            </w:pPr>
            <w:r>
              <w:rPr>
                <w:sz w:val="20"/>
                <w:szCs w:val="20"/>
              </w:rPr>
              <w:t xml:space="preserve">164.001</w:t>
            </w:r>
          </w:p>
        </w:tc>
        <w:tc>
          <w:tcPr>
            <w:tcW w:type="dxa" w:w="978"/>
            <w:vAlign w:val="center"/>
          </w:tcPr>
          <w:p>
            <w:pPr>
              <w:spacing w:before="20" w:after="20" w:line="260" w:lineRule="auto"/>
              <w:ind w:firstLine="0"/>
              <w:jc w:val="center"/>
            </w:pPr>
            <w:r>
              <w:rPr>
                <w:sz w:val="20"/>
                <w:szCs w:val="20"/>
              </w:rPr>
              <w:t xml:space="preserve">20,96%</w:t>
            </w:r>
          </w:p>
        </w:tc>
        <w:tc>
          <w:tcPr>
            <w:tcW w:type="dxa" w:w="978"/>
            <w:vAlign w:val="center"/>
          </w:tcPr>
          <w:p>
            <w:pPr>
              <w:spacing w:before="20" w:after="20" w:line="260" w:lineRule="auto"/>
              <w:ind w:firstLine="0"/>
              <w:jc w:val="center"/>
            </w:pPr>
            <w:r>
              <w:rPr>
                <w:sz w:val="20"/>
                <w:szCs w:val="20"/>
              </w:rPr>
              <w:t xml:space="preserve">23,81</w:t>
            </w:r>
          </w:p>
        </w:tc>
        <w:tc>
          <w:tcPr>
            <w:tcW w:type="dxa" w:w="979"/>
            <w:vAlign w:val="center"/>
          </w:tcPr>
          <w:p>
            <w:pPr>
              <w:spacing w:before="20" w:after="20" w:line="260" w:lineRule="auto"/>
              <w:ind w:firstLine="0"/>
              <w:jc w:val="center"/>
            </w:pPr>
            <w:r>
              <w:rPr>
                <w:sz w:val="20"/>
                <w:szCs w:val="20"/>
              </w:rPr>
              <w:t xml:space="preserve">76,52%</w:t>
            </w:r>
          </w:p>
        </w:tc>
      </w:tr>
    </w:tbl>
    <w:p>
      <w:pPr>
        <w:spacing w:before="40" w:after="160"/>
        <w:ind w:firstLine="0"/>
      </w:pPr>
      <w:r>
        <w:rPr>
          <w:i/>
          <w:sz w:val="22"/>
          <w:szCs w:val="22"/>
        </w:rPr>
        <w:t xml:space="preserve">Nguồn: error_by_store.csv (Stage 11) và stores.csv.</w:t>
      </w:r>
    </w:p>
    <w:p>
      <w:pPr>
        <w:keepNext/>
        <w:spacing w:before="120" w:after="60"/>
        <w:ind w:firstLine="0"/>
        <w:jc w:val="center"/>
      </w:pPr>
      <w:r>
        <w:t xml:space="preserve">Bảng A.2. Tổng P10, P50, P90 (16 ngày), lượng bổ sung gợi ý và số nhóm theo nhãn rủi ro của từng cửa hàng</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96"/>
        <w:gridCol w:w="1096"/>
        <w:gridCol w:w="1096"/>
        <w:gridCol w:w="1096"/>
        <w:gridCol w:w="1397"/>
        <w:gridCol w:w="1096"/>
        <w:gridCol w:w="1096"/>
        <w:gridCol w:w="1098"/>
      </w:tblGrid>
      <w:tr>
        <w:trPr>
          <w:tblHeader/>
          <w:cantSplit/>
        </w:trPr>
        <w:tc>
          <w:tcPr>
            <w:tcW w:type="dxa" w:w="1096"/>
            <w:shd w:val="clear" w:color="auto" w:fill="D9E2F3"/>
            <w:vAlign w:val="center"/>
          </w:tcPr>
          <w:p>
            <w:pPr>
              <w:spacing w:before="20" w:after="20" w:line="260" w:lineRule="auto"/>
              <w:ind w:firstLine="0"/>
              <w:jc w:val="center"/>
            </w:pPr>
            <w:r>
              <w:rPr>
                <w:b/>
                <w:sz w:val="20"/>
                <w:szCs w:val="20"/>
              </w:rPr>
              <w:t xml:space="preserve">Cửa hàng</w:t>
            </w:r>
          </w:p>
        </w:tc>
        <w:tc>
          <w:tcPr>
            <w:tcW w:type="dxa" w:w="1096"/>
            <w:shd w:val="clear" w:color="auto" w:fill="D9E2F3"/>
            <w:vAlign w:val="center"/>
          </w:tcPr>
          <w:p>
            <w:pPr>
              <w:spacing w:before="20" w:after="20" w:line="260" w:lineRule="auto"/>
              <w:ind w:firstLine="0"/>
              <w:jc w:val="center"/>
            </w:pPr>
            <w:r>
              <w:rPr>
                <w:b/>
                <w:sz w:val="20"/>
                <w:szCs w:val="20"/>
              </w:rPr>
              <w:t xml:space="preserve">Tổng P10</w:t>
            </w:r>
          </w:p>
        </w:tc>
        <w:tc>
          <w:tcPr>
            <w:tcW w:type="dxa" w:w="1096"/>
            <w:shd w:val="clear" w:color="auto" w:fill="D9E2F3"/>
            <w:vAlign w:val="center"/>
          </w:tcPr>
          <w:p>
            <w:pPr>
              <w:spacing w:before="20" w:after="20" w:line="260" w:lineRule="auto"/>
              <w:ind w:firstLine="0"/>
              <w:jc w:val="center"/>
            </w:pPr>
            <w:r>
              <w:rPr>
                <w:b/>
                <w:sz w:val="20"/>
                <w:szCs w:val="20"/>
              </w:rPr>
              <w:t xml:space="preserve">Tổng P50</w:t>
            </w:r>
          </w:p>
        </w:tc>
        <w:tc>
          <w:tcPr>
            <w:tcW w:type="dxa" w:w="1096"/>
            <w:shd w:val="clear" w:color="auto" w:fill="D9E2F3"/>
            <w:vAlign w:val="center"/>
          </w:tcPr>
          <w:p>
            <w:pPr>
              <w:spacing w:before="20" w:after="20" w:line="260" w:lineRule="auto"/>
              <w:ind w:firstLine="0"/>
              <w:jc w:val="center"/>
            </w:pPr>
            <w:r>
              <w:rPr>
                <w:b/>
                <w:sz w:val="20"/>
                <w:szCs w:val="20"/>
              </w:rPr>
              <w:t xml:space="preserve">Tổng P90</w:t>
            </w:r>
          </w:p>
        </w:tc>
        <w:tc>
          <w:tcPr>
            <w:tcW w:type="dxa" w:w="1397"/>
            <w:shd w:val="clear" w:color="auto" w:fill="D9E2F3"/>
            <w:vAlign w:val="center"/>
          </w:tcPr>
          <w:p>
            <w:pPr>
              <w:spacing w:before="20" w:after="20" w:line="260" w:lineRule="auto"/>
              <w:ind w:firstLine="0"/>
              <w:jc w:val="center"/>
            </w:pPr>
            <w:r>
              <w:rPr>
                <w:b/>
                <w:sz w:val="20"/>
                <w:szCs w:val="20"/>
              </w:rPr>
              <w:t xml:space="preserve">Bổ sung gợi ý</w:t>
            </w:r>
          </w:p>
        </w:tc>
        <w:tc>
          <w:tcPr>
            <w:tcW w:type="dxa" w:w="1096"/>
            <w:shd w:val="clear" w:color="auto" w:fill="D9E2F3"/>
            <w:vAlign w:val="center"/>
          </w:tcPr>
          <w:p>
            <w:pPr>
              <w:spacing w:before="20" w:after="20" w:line="260" w:lineRule="auto"/>
              <w:ind w:firstLine="0"/>
              <w:jc w:val="center"/>
            </w:pPr>
            <w:r>
              <w:rPr>
                <w:b/>
                <w:sz w:val="20"/>
                <w:szCs w:val="20"/>
              </w:rPr>
              <w:t xml:space="preserve">HIGH</w:t>
            </w:r>
          </w:p>
        </w:tc>
        <w:tc>
          <w:tcPr>
            <w:tcW w:type="dxa" w:w="1096"/>
            <w:shd w:val="clear" w:color="auto" w:fill="D9E2F3"/>
            <w:vAlign w:val="center"/>
          </w:tcPr>
          <w:p>
            <w:pPr>
              <w:spacing w:before="20" w:after="20" w:line="260" w:lineRule="auto"/>
              <w:ind w:firstLine="0"/>
              <w:jc w:val="center"/>
            </w:pPr>
            <w:r>
              <w:rPr>
                <w:b/>
                <w:sz w:val="20"/>
                <w:szCs w:val="20"/>
              </w:rPr>
              <w:t xml:space="preserve">MEDIUM</w:t>
            </w:r>
          </w:p>
        </w:tc>
        <w:tc>
          <w:tcPr>
            <w:tcW w:type="dxa" w:w="1098"/>
            <w:shd w:val="clear" w:color="auto" w:fill="D9E2F3"/>
            <w:vAlign w:val="center"/>
          </w:tcPr>
          <w:p>
            <w:pPr>
              <w:spacing w:before="20" w:after="20" w:line="260" w:lineRule="auto"/>
              <w:ind w:firstLine="0"/>
              <w:jc w:val="center"/>
            </w:pPr>
            <w:r>
              <w:rPr>
                <w:b/>
                <w:sz w:val="20"/>
                <w:szCs w:val="20"/>
              </w:rPr>
              <w:t xml:space="preserve">LOW</w:t>
            </w:r>
          </w:p>
        </w:tc>
      </w:tr>
      <w:tr>
        <w:trPr>
          <w:cantSplit/>
        </w:trPr>
        <w:tc>
          <w:tcPr>
            <w:tcW w:type="dxa" w:w="1096"/>
            <w:vAlign w:val="center"/>
          </w:tcPr>
          <w:p>
            <w:pPr>
              <w:spacing w:before="20" w:after="20" w:line="260" w:lineRule="auto"/>
              <w:ind w:firstLine="0"/>
              <w:jc w:val="center"/>
            </w:pPr>
            <w:r>
              <w:rPr>
                <w:sz w:val="20"/>
                <w:szCs w:val="20"/>
              </w:rPr>
              <w:t xml:space="preserve">1</w:t>
            </w:r>
          </w:p>
        </w:tc>
        <w:tc>
          <w:tcPr>
            <w:tcW w:type="dxa" w:w="1096"/>
            <w:vAlign w:val="center"/>
          </w:tcPr>
          <w:p>
            <w:pPr>
              <w:spacing w:before="20" w:after="20" w:line="260" w:lineRule="auto"/>
              <w:ind w:firstLine="0"/>
              <w:jc w:val="center"/>
            </w:pPr>
            <w:r>
              <w:rPr>
                <w:sz w:val="20"/>
                <w:szCs w:val="20"/>
              </w:rPr>
              <w:t xml:space="preserve">140.244</w:t>
            </w:r>
          </w:p>
        </w:tc>
        <w:tc>
          <w:tcPr>
            <w:tcW w:type="dxa" w:w="1096"/>
            <w:vAlign w:val="center"/>
          </w:tcPr>
          <w:p>
            <w:pPr>
              <w:spacing w:before="20" w:after="20" w:line="260" w:lineRule="auto"/>
              <w:ind w:firstLine="0"/>
              <w:jc w:val="center"/>
            </w:pPr>
            <w:r>
              <w:rPr>
                <w:sz w:val="20"/>
                <w:szCs w:val="20"/>
              </w:rPr>
              <w:t xml:space="preserve">171.035</w:t>
            </w:r>
          </w:p>
        </w:tc>
        <w:tc>
          <w:tcPr>
            <w:tcW w:type="dxa" w:w="1096"/>
            <w:vAlign w:val="center"/>
          </w:tcPr>
          <w:p>
            <w:pPr>
              <w:spacing w:before="20" w:after="20" w:line="260" w:lineRule="auto"/>
              <w:ind w:firstLine="0"/>
              <w:jc w:val="center"/>
            </w:pPr>
            <w:r>
              <w:rPr>
                <w:sz w:val="20"/>
                <w:szCs w:val="20"/>
              </w:rPr>
              <w:t xml:space="preserve">220.005</w:t>
            </w:r>
          </w:p>
        </w:tc>
        <w:tc>
          <w:tcPr>
            <w:tcW w:type="dxa" w:w="1397"/>
            <w:vAlign w:val="center"/>
          </w:tcPr>
          <w:p>
            <w:pPr>
              <w:spacing w:before="20" w:after="20" w:line="260" w:lineRule="auto"/>
              <w:ind w:firstLine="0"/>
              <w:jc w:val="center"/>
            </w:pPr>
            <w:r>
              <w:rPr>
                <w:sz w:val="20"/>
                <w:szCs w:val="20"/>
              </w:rPr>
              <w:t xml:space="preserve">83.177</w:t>
            </w:r>
          </w:p>
        </w:tc>
        <w:tc>
          <w:tcPr>
            <w:tcW w:type="dxa" w:w="1096"/>
            <w:vAlign w:val="center"/>
          </w:tcPr>
          <w:p>
            <w:pPr>
              <w:spacing w:before="20" w:after="20" w:line="260" w:lineRule="auto"/>
              <w:ind w:firstLine="0"/>
              <w:jc w:val="center"/>
            </w:pPr>
            <w:r>
              <w:rPr>
                <w:sz w:val="20"/>
                <w:szCs w:val="20"/>
              </w:rPr>
              <w:t xml:space="preserve">19</w:t>
            </w:r>
          </w:p>
        </w:tc>
        <w:tc>
          <w:tcPr>
            <w:tcW w:type="dxa" w:w="1096"/>
            <w:vAlign w:val="center"/>
          </w:tcPr>
          <w:p>
            <w:pPr>
              <w:spacing w:before="20" w:after="20" w:line="260" w:lineRule="auto"/>
              <w:ind w:firstLine="0"/>
              <w:jc w:val="center"/>
            </w:pPr>
            <w:r>
              <w:rPr>
                <w:sz w:val="20"/>
                <w:szCs w:val="20"/>
              </w:rPr>
              <w:t xml:space="preserve">14</w:t>
            </w:r>
          </w:p>
        </w:tc>
        <w:tc>
          <w:tcPr>
            <w:tcW w:type="dxa" w:w="1098"/>
            <w:vAlign w:val="center"/>
          </w:tcPr>
          <w:p>
            <w:pPr>
              <w:spacing w:before="20" w:after="20" w:line="260" w:lineRule="auto"/>
              <w:ind w:firstLine="0"/>
              <w:jc w:val="center"/>
            </w:pPr>
            <w:r>
              <w:rPr>
                <w:sz w:val="20"/>
                <w:szCs w:val="20"/>
              </w:rPr>
              <w:t xml:space="preserve">0</w:t>
            </w:r>
          </w:p>
        </w:tc>
      </w:tr>
      <w:tr>
        <w:trPr>
          <w:cantSplit/>
        </w:trPr>
        <w:tc>
          <w:tcPr>
            <w:tcW w:type="dxa" w:w="1096"/>
            <w:vAlign w:val="center"/>
          </w:tcPr>
          <w:p>
            <w:pPr>
              <w:spacing w:before="20" w:after="20" w:line="260" w:lineRule="auto"/>
              <w:ind w:firstLine="0"/>
              <w:jc w:val="center"/>
            </w:pPr>
            <w:r>
              <w:rPr>
                <w:sz w:val="20"/>
                <w:szCs w:val="20"/>
              </w:rPr>
              <w:t xml:space="preserve">2</w:t>
            </w:r>
          </w:p>
        </w:tc>
        <w:tc>
          <w:tcPr>
            <w:tcW w:type="dxa" w:w="1096"/>
            <w:vAlign w:val="center"/>
          </w:tcPr>
          <w:p>
            <w:pPr>
              <w:spacing w:before="20" w:after="20" w:line="260" w:lineRule="auto"/>
              <w:ind w:firstLine="0"/>
              <w:jc w:val="center"/>
            </w:pPr>
            <w:r>
              <w:rPr>
                <w:sz w:val="20"/>
                <w:szCs w:val="20"/>
              </w:rPr>
              <w:t xml:space="preserve">207.410</w:t>
            </w:r>
          </w:p>
        </w:tc>
        <w:tc>
          <w:tcPr>
            <w:tcW w:type="dxa" w:w="1096"/>
            <w:vAlign w:val="center"/>
          </w:tcPr>
          <w:p>
            <w:pPr>
              <w:spacing w:before="20" w:after="20" w:line="260" w:lineRule="auto"/>
              <w:ind w:firstLine="0"/>
              <w:jc w:val="center"/>
            </w:pPr>
            <w:r>
              <w:rPr>
                <w:sz w:val="20"/>
                <w:szCs w:val="20"/>
              </w:rPr>
              <w:t xml:space="preserve">244.646</w:t>
            </w:r>
          </w:p>
        </w:tc>
        <w:tc>
          <w:tcPr>
            <w:tcW w:type="dxa" w:w="1096"/>
            <w:vAlign w:val="center"/>
          </w:tcPr>
          <w:p>
            <w:pPr>
              <w:spacing w:before="20" w:after="20" w:line="260" w:lineRule="auto"/>
              <w:ind w:firstLine="0"/>
              <w:jc w:val="center"/>
            </w:pPr>
            <w:r>
              <w:rPr>
                <w:sz w:val="20"/>
                <w:szCs w:val="20"/>
              </w:rPr>
              <w:t xml:space="preserve">303.881</w:t>
            </w:r>
          </w:p>
        </w:tc>
        <w:tc>
          <w:tcPr>
            <w:tcW w:type="dxa" w:w="1397"/>
            <w:vAlign w:val="center"/>
          </w:tcPr>
          <w:p>
            <w:pPr>
              <w:spacing w:before="20" w:after="20" w:line="260" w:lineRule="auto"/>
              <w:ind w:firstLine="0"/>
              <w:jc w:val="center"/>
            </w:pPr>
            <w:r>
              <w:rPr>
                <w:sz w:val="20"/>
                <w:szCs w:val="20"/>
              </w:rPr>
              <w:t xml:space="preserve">108.164</w:t>
            </w:r>
          </w:p>
        </w:tc>
        <w:tc>
          <w:tcPr>
            <w:tcW w:type="dxa" w:w="1096"/>
            <w:vAlign w:val="center"/>
          </w:tcPr>
          <w:p>
            <w:pPr>
              <w:spacing w:before="20" w:after="20" w:line="260" w:lineRule="auto"/>
              <w:ind w:firstLine="0"/>
              <w:jc w:val="center"/>
            </w:pPr>
            <w:r>
              <w:rPr>
                <w:sz w:val="20"/>
                <w:szCs w:val="20"/>
              </w:rPr>
              <w:t xml:space="preserve">18</w:t>
            </w:r>
          </w:p>
        </w:tc>
        <w:tc>
          <w:tcPr>
            <w:tcW w:type="dxa" w:w="1096"/>
            <w:vAlign w:val="center"/>
          </w:tcPr>
          <w:p>
            <w:pPr>
              <w:spacing w:before="20" w:after="20" w:line="260" w:lineRule="auto"/>
              <w:ind w:firstLine="0"/>
              <w:jc w:val="center"/>
            </w:pPr>
            <w:r>
              <w:rPr>
                <w:sz w:val="20"/>
                <w:szCs w:val="20"/>
              </w:rPr>
              <w:t xml:space="preserve">13</w:t>
            </w:r>
          </w:p>
        </w:tc>
        <w:tc>
          <w:tcPr>
            <w:tcW w:type="dxa" w:w="1098"/>
            <w:vAlign w:val="center"/>
          </w:tcPr>
          <w:p>
            <w:pPr>
              <w:spacing w:before="20" w:after="20" w:line="260" w:lineRule="auto"/>
              <w:ind w:firstLine="0"/>
              <w:jc w:val="center"/>
            </w:pPr>
            <w:r>
              <w:rPr>
                <w:sz w:val="20"/>
                <w:szCs w:val="20"/>
              </w:rPr>
              <w:t xml:space="preserve">2</w:t>
            </w:r>
          </w:p>
        </w:tc>
      </w:tr>
      <w:tr>
        <w:trPr>
          <w:cantSplit/>
        </w:trPr>
        <w:tc>
          <w:tcPr>
            <w:tcW w:type="dxa" w:w="1096"/>
            <w:vAlign w:val="center"/>
          </w:tcPr>
          <w:p>
            <w:pPr>
              <w:spacing w:before="20" w:after="20" w:line="260" w:lineRule="auto"/>
              <w:ind w:firstLine="0"/>
              <w:jc w:val="center"/>
            </w:pPr>
            <w:r>
              <w:rPr>
                <w:sz w:val="20"/>
                <w:szCs w:val="20"/>
              </w:rPr>
              <w:t xml:space="preserve">3</w:t>
            </w:r>
          </w:p>
        </w:tc>
        <w:tc>
          <w:tcPr>
            <w:tcW w:type="dxa" w:w="1096"/>
            <w:vAlign w:val="center"/>
          </w:tcPr>
          <w:p>
            <w:pPr>
              <w:spacing w:before="20" w:after="20" w:line="260" w:lineRule="auto"/>
              <w:ind w:firstLine="0"/>
              <w:jc w:val="center"/>
            </w:pPr>
            <w:r>
              <w:rPr>
                <w:sz w:val="20"/>
                <w:szCs w:val="20"/>
              </w:rPr>
              <w:t xml:space="preserve">521.321</w:t>
            </w:r>
          </w:p>
        </w:tc>
        <w:tc>
          <w:tcPr>
            <w:tcW w:type="dxa" w:w="1096"/>
            <w:vAlign w:val="center"/>
          </w:tcPr>
          <w:p>
            <w:pPr>
              <w:spacing w:before="20" w:after="20" w:line="260" w:lineRule="auto"/>
              <w:ind w:firstLine="0"/>
              <w:jc w:val="center"/>
            </w:pPr>
            <w:r>
              <w:rPr>
                <w:sz w:val="20"/>
                <w:szCs w:val="20"/>
              </w:rPr>
              <w:t xml:space="preserve">578.914</w:t>
            </w:r>
          </w:p>
        </w:tc>
        <w:tc>
          <w:tcPr>
            <w:tcW w:type="dxa" w:w="1096"/>
            <w:vAlign w:val="center"/>
          </w:tcPr>
          <w:p>
            <w:pPr>
              <w:spacing w:before="20" w:after="20" w:line="260" w:lineRule="auto"/>
              <w:ind w:firstLine="0"/>
              <w:jc w:val="center"/>
            </w:pPr>
            <w:r>
              <w:rPr>
                <w:sz w:val="20"/>
                <w:szCs w:val="20"/>
              </w:rPr>
              <w:t xml:space="preserve">674.312</w:t>
            </w:r>
          </w:p>
        </w:tc>
        <w:tc>
          <w:tcPr>
            <w:tcW w:type="dxa" w:w="1397"/>
            <w:vAlign w:val="center"/>
          </w:tcPr>
          <w:p>
            <w:pPr>
              <w:spacing w:before="20" w:after="20" w:line="260" w:lineRule="auto"/>
              <w:ind w:firstLine="0"/>
              <w:jc w:val="center"/>
            </w:pPr>
            <w:r>
              <w:rPr>
                <w:sz w:val="20"/>
                <w:szCs w:val="20"/>
              </w:rPr>
              <w:t xml:space="preserve">211.182</w:t>
            </w:r>
          </w:p>
        </w:tc>
        <w:tc>
          <w:tcPr>
            <w:tcW w:type="dxa" w:w="1096"/>
            <w:vAlign w:val="center"/>
          </w:tcPr>
          <w:p>
            <w:pPr>
              <w:spacing w:before="20" w:after="20" w:line="260" w:lineRule="auto"/>
              <w:ind w:firstLine="0"/>
              <w:jc w:val="center"/>
            </w:pPr>
            <w:r>
              <w:rPr>
                <w:sz w:val="20"/>
                <w:szCs w:val="20"/>
              </w:rPr>
              <w:t xml:space="preserve">18</w:t>
            </w:r>
          </w:p>
        </w:tc>
        <w:tc>
          <w:tcPr>
            <w:tcW w:type="dxa" w:w="1096"/>
            <w:vAlign w:val="center"/>
          </w:tcPr>
          <w:p>
            <w:pPr>
              <w:spacing w:before="20" w:after="20" w:line="260" w:lineRule="auto"/>
              <w:ind w:firstLine="0"/>
              <w:jc w:val="center"/>
            </w:pPr>
            <w:r>
              <w:rPr>
                <w:sz w:val="20"/>
                <w:szCs w:val="20"/>
              </w:rPr>
              <w:t xml:space="preserve">12</w:t>
            </w:r>
          </w:p>
        </w:tc>
        <w:tc>
          <w:tcPr>
            <w:tcW w:type="dxa" w:w="1098"/>
            <w:vAlign w:val="center"/>
          </w:tcPr>
          <w:p>
            <w:pPr>
              <w:spacing w:before="20" w:after="20" w:line="260" w:lineRule="auto"/>
              <w:ind w:firstLine="0"/>
              <w:jc w:val="center"/>
            </w:pPr>
            <w:r>
              <w:rPr>
                <w:sz w:val="20"/>
                <w:szCs w:val="20"/>
              </w:rPr>
              <w:t xml:space="preserve">3</w:t>
            </w:r>
          </w:p>
        </w:tc>
      </w:tr>
      <w:tr>
        <w:trPr>
          <w:cantSplit/>
        </w:trPr>
        <w:tc>
          <w:tcPr>
            <w:tcW w:type="dxa" w:w="1096"/>
            <w:vAlign w:val="center"/>
          </w:tcPr>
          <w:p>
            <w:pPr>
              <w:spacing w:before="20" w:after="20" w:line="260" w:lineRule="auto"/>
              <w:ind w:firstLine="0"/>
              <w:jc w:val="center"/>
            </w:pPr>
            <w:r>
              <w:rPr>
                <w:sz w:val="20"/>
                <w:szCs w:val="20"/>
              </w:rPr>
              <w:t xml:space="preserve">4</w:t>
            </w:r>
          </w:p>
        </w:tc>
        <w:tc>
          <w:tcPr>
            <w:tcW w:type="dxa" w:w="1096"/>
            <w:vAlign w:val="center"/>
          </w:tcPr>
          <w:p>
            <w:pPr>
              <w:spacing w:before="20" w:after="20" w:line="260" w:lineRule="auto"/>
              <w:ind w:firstLine="0"/>
              <w:jc w:val="center"/>
            </w:pPr>
            <w:r>
              <w:rPr>
                <w:sz w:val="20"/>
                <w:szCs w:val="20"/>
              </w:rPr>
              <w:t xml:space="preserve">170.362</w:t>
            </w:r>
          </w:p>
        </w:tc>
        <w:tc>
          <w:tcPr>
            <w:tcW w:type="dxa" w:w="1096"/>
            <w:vAlign w:val="center"/>
          </w:tcPr>
          <w:p>
            <w:pPr>
              <w:spacing w:before="20" w:after="20" w:line="260" w:lineRule="auto"/>
              <w:ind w:firstLine="0"/>
              <w:jc w:val="center"/>
            </w:pPr>
            <w:r>
              <w:rPr>
                <w:sz w:val="20"/>
                <w:szCs w:val="20"/>
              </w:rPr>
              <w:t xml:space="preserve">205.051</w:t>
            </w:r>
          </w:p>
        </w:tc>
        <w:tc>
          <w:tcPr>
            <w:tcW w:type="dxa" w:w="1096"/>
            <w:vAlign w:val="center"/>
          </w:tcPr>
          <w:p>
            <w:pPr>
              <w:spacing w:before="20" w:after="20" w:line="260" w:lineRule="auto"/>
              <w:ind w:firstLine="0"/>
              <w:jc w:val="center"/>
            </w:pPr>
            <w:r>
              <w:rPr>
                <w:sz w:val="20"/>
                <w:szCs w:val="20"/>
              </w:rPr>
              <w:t xml:space="preserve">260.995</w:t>
            </w:r>
          </w:p>
        </w:tc>
        <w:tc>
          <w:tcPr>
            <w:tcW w:type="dxa" w:w="1397"/>
            <w:vAlign w:val="center"/>
          </w:tcPr>
          <w:p>
            <w:pPr>
              <w:spacing w:before="20" w:after="20" w:line="260" w:lineRule="auto"/>
              <w:ind w:firstLine="0"/>
              <w:jc w:val="center"/>
            </w:pPr>
            <w:r>
              <w:rPr>
                <w:sz w:val="20"/>
                <w:szCs w:val="20"/>
              </w:rPr>
              <w:t xml:space="preserve">96.955</w:t>
            </w:r>
          </w:p>
        </w:tc>
        <w:tc>
          <w:tcPr>
            <w:tcW w:type="dxa" w:w="1096"/>
            <w:vAlign w:val="center"/>
          </w:tcPr>
          <w:p>
            <w:pPr>
              <w:spacing w:before="20" w:after="20" w:line="260" w:lineRule="auto"/>
              <w:ind w:firstLine="0"/>
              <w:jc w:val="center"/>
            </w:pPr>
            <w:r>
              <w:rPr>
                <w:sz w:val="20"/>
                <w:szCs w:val="20"/>
              </w:rPr>
              <w:t xml:space="preserve">19</w:t>
            </w:r>
          </w:p>
        </w:tc>
        <w:tc>
          <w:tcPr>
            <w:tcW w:type="dxa" w:w="1096"/>
            <w:vAlign w:val="center"/>
          </w:tcPr>
          <w:p>
            <w:pPr>
              <w:spacing w:before="20" w:after="20" w:line="260" w:lineRule="auto"/>
              <w:ind w:firstLine="0"/>
              <w:jc w:val="center"/>
            </w:pPr>
            <w:r>
              <w:rPr>
                <w:sz w:val="20"/>
                <w:szCs w:val="20"/>
              </w:rPr>
              <w:t xml:space="preserve">13</w:t>
            </w:r>
          </w:p>
        </w:tc>
        <w:tc>
          <w:tcPr>
            <w:tcW w:type="dxa" w:w="1098"/>
            <w:vAlign w:val="center"/>
          </w:tcPr>
          <w:p>
            <w:pPr>
              <w:spacing w:before="20" w:after="20" w:line="260" w:lineRule="auto"/>
              <w:ind w:firstLine="0"/>
              <w:jc w:val="center"/>
            </w:pPr>
            <w:r>
              <w:rPr>
                <w:sz w:val="20"/>
                <w:szCs w:val="20"/>
              </w:rPr>
              <w:t xml:space="preserve">1</w:t>
            </w:r>
          </w:p>
        </w:tc>
      </w:tr>
      <w:tr>
        <w:trPr>
          <w:cantSplit/>
        </w:trPr>
        <w:tc>
          <w:tcPr>
            <w:tcW w:type="dxa" w:w="1096"/>
            <w:vAlign w:val="center"/>
          </w:tcPr>
          <w:p>
            <w:pPr>
              <w:spacing w:before="20" w:after="20" w:line="260" w:lineRule="auto"/>
              <w:ind w:firstLine="0"/>
              <w:jc w:val="center"/>
            </w:pPr>
            <w:r>
              <w:rPr>
                <w:sz w:val="20"/>
                <w:szCs w:val="20"/>
              </w:rPr>
              <w:t xml:space="preserve">5</w:t>
            </w:r>
          </w:p>
        </w:tc>
        <w:tc>
          <w:tcPr>
            <w:tcW w:type="dxa" w:w="1096"/>
            <w:vAlign w:val="center"/>
          </w:tcPr>
          <w:p>
            <w:pPr>
              <w:spacing w:before="20" w:after="20" w:line="260" w:lineRule="auto"/>
              <w:ind w:firstLine="0"/>
              <w:jc w:val="center"/>
            </w:pPr>
            <w:r>
              <w:rPr>
                <w:sz w:val="20"/>
                <w:szCs w:val="20"/>
              </w:rPr>
              <w:t xml:space="preserve">132.482</w:t>
            </w:r>
          </w:p>
        </w:tc>
        <w:tc>
          <w:tcPr>
            <w:tcW w:type="dxa" w:w="1096"/>
            <w:vAlign w:val="center"/>
          </w:tcPr>
          <w:p>
            <w:pPr>
              <w:spacing w:before="20" w:after="20" w:line="260" w:lineRule="auto"/>
              <w:ind w:firstLine="0"/>
              <w:jc w:val="center"/>
            </w:pPr>
            <w:r>
              <w:rPr>
                <w:sz w:val="20"/>
                <w:szCs w:val="20"/>
              </w:rPr>
              <w:t xml:space="preserve">165.125</w:t>
            </w:r>
          </w:p>
        </w:tc>
        <w:tc>
          <w:tcPr>
            <w:tcW w:type="dxa" w:w="1096"/>
            <w:vAlign w:val="center"/>
          </w:tcPr>
          <w:p>
            <w:pPr>
              <w:spacing w:before="20" w:after="20" w:line="260" w:lineRule="auto"/>
              <w:ind w:firstLine="0"/>
              <w:jc w:val="center"/>
            </w:pPr>
            <w:r>
              <w:rPr>
                <w:sz w:val="20"/>
                <w:szCs w:val="20"/>
              </w:rPr>
              <w:t xml:space="preserve">217.967</w:t>
            </w:r>
          </w:p>
        </w:tc>
        <w:tc>
          <w:tcPr>
            <w:tcW w:type="dxa" w:w="1397"/>
            <w:vAlign w:val="center"/>
          </w:tcPr>
          <w:p>
            <w:pPr>
              <w:spacing w:before="20" w:after="20" w:line="260" w:lineRule="auto"/>
              <w:ind w:firstLine="0"/>
              <w:jc w:val="center"/>
            </w:pPr>
            <w:r>
              <w:rPr>
                <w:sz w:val="20"/>
                <w:szCs w:val="20"/>
              </w:rPr>
              <w:t xml:space="preserve">85.867</w:t>
            </w:r>
          </w:p>
        </w:tc>
        <w:tc>
          <w:tcPr>
            <w:tcW w:type="dxa" w:w="1096"/>
            <w:vAlign w:val="center"/>
          </w:tcPr>
          <w:p>
            <w:pPr>
              <w:spacing w:before="20" w:after="20" w:line="260" w:lineRule="auto"/>
              <w:ind w:firstLine="0"/>
              <w:jc w:val="center"/>
            </w:pPr>
            <w:r>
              <w:rPr>
                <w:sz w:val="20"/>
                <w:szCs w:val="20"/>
              </w:rPr>
              <w:t xml:space="preserve">21</w:t>
            </w:r>
          </w:p>
        </w:tc>
        <w:tc>
          <w:tcPr>
            <w:tcW w:type="dxa" w:w="1096"/>
            <w:vAlign w:val="center"/>
          </w:tcPr>
          <w:p>
            <w:pPr>
              <w:spacing w:before="20" w:after="20" w:line="260" w:lineRule="auto"/>
              <w:ind w:firstLine="0"/>
              <w:jc w:val="center"/>
            </w:pPr>
            <w:r>
              <w:rPr>
                <w:sz w:val="20"/>
                <w:szCs w:val="20"/>
              </w:rPr>
              <w:t xml:space="preserve">11</w:t>
            </w:r>
          </w:p>
        </w:tc>
        <w:tc>
          <w:tcPr>
            <w:tcW w:type="dxa" w:w="1098"/>
            <w:vAlign w:val="center"/>
          </w:tcPr>
          <w:p>
            <w:pPr>
              <w:spacing w:before="20" w:after="20" w:line="260" w:lineRule="auto"/>
              <w:ind w:firstLine="0"/>
              <w:jc w:val="center"/>
            </w:pPr>
            <w:r>
              <w:rPr>
                <w:sz w:val="20"/>
                <w:szCs w:val="20"/>
              </w:rPr>
              <w:t xml:space="preserve">1</w:t>
            </w:r>
          </w:p>
        </w:tc>
      </w:tr>
      <w:tr>
        <w:trPr>
          <w:cantSplit/>
        </w:trPr>
        <w:tc>
          <w:tcPr>
            <w:tcW w:type="dxa" w:w="1096"/>
            <w:vAlign w:val="center"/>
          </w:tcPr>
          <w:p>
            <w:pPr>
              <w:spacing w:before="20" w:after="20" w:line="260" w:lineRule="auto"/>
              <w:ind w:firstLine="0"/>
              <w:jc w:val="center"/>
            </w:pPr>
            <w:r>
              <w:rPr>
                <w:sz w:val="20"/>
                <w:szCs w:val="20"/>
              </w:rPr>
              <w:t xml:space="preserve">6</w:t>
            </w:r>
          </w:p>
        </w:tc>
        <w:tc>
          <w:tcPr>
            <w:tcW w:type="dxa" w:w="1096"/>
            <w:vAlign w:val="center"/>
          </w:tcPr>
          <w:p>
            <w:pPr>
              <w:spacing w:before="20" w:after="20" w:line="260" w:lineRule="auto"/>
              <w:ind w:firstLine="0"/>
              <w:jc w:val="center"/>
            </w:pPr>
            <w:r>
              <w:rPr>
                <w:sz w:val="20"/>
                <w:szCs w:val="20"/>
              </w:rPr>
              <w:t xml:space="preserve">235.182</w:t>
            </w:r>
          </w:p>
        </w:tc>
        <w:tc>
          <w:tcPr>
            <w:tcW w:type="dxa" w:w="1096"/>
            <w:vAlign w:val="center"/>
          </w:tcPr>
          <w:p>
            <w:pPr>
              <w:spacing w:before="20" w:after="20" w:line="260" w:lineRule="auto"/>
              <w:ind w:firstLine="0"/>
              <w:jc w:val="center"/>
            </w:pPr>
            <w:r>
              <w:rPr>
                <w:sz w:val="20"/>
                <w:szCs w:val="20"/>
              </w:rPr>
              <w:t xml:space="preserve">277.443</w:t>
            </w:r>
          </w:p>
        </w:tc>
        <w:tc>
          <w:tcPr>
            <w:tcW w:type="dxa" w:w="1096"/>
            <w:vAlign w:val="center"/>
          </w:tcPr>
          <w:p>
            <w:pPr>
              <w:spacing w:before="20" w:after="20" w:line="260" w:lineRule="auto"/>
              <w:ind w:firstLine="0"/>
              <w:jc w:val="center"/>
            </w:pPr>
            <w:r>
              <w:rPr>
                <w:sz w:val="20"/>
                <w:szCs w:val="20"/>
              </w:rPr>
              <w:t xml:space="preserve">346.130</w:t>
            </w:r>
          </w:p>
        </w:tc>
        <w:tc>
          <w:tcPr>
            <w:tcW w:type="dxa" w:w="1397"/>
            <w:vAlign w:val="center"/>
          </w:tcPr>
          <w:p>
            <w:pPr>
              <w:spacing w:before="20" w:after="20" w:line="260" w:lineRule="auto"/>
              <w:ind w:firstLine="0"/>
              <w:jc w:val="center"/>
            </w:pPr>
            <w:r>
              <w:rPr>
                <w:sz w:val="20"/>
                <w:szCs w:val="20"/>
              </w:rPr>
              <w:t xml:space="preserve">124.176</w:t>
            </w:r>
          </w:p>
        </w:tc>
        <w:tc>
          <w:tcPr>
            <w:tcW w:type="dxa" w:w="1096"/>
            <w:vAlign w:val="center"/>
          </w:tcPr>
          <w:p>
            <w:pPr>
              <w:spacing w:before="20" w:after="20" w:line="260" w:lineRule="auto"/>
              <w:ind w:firstLine="0"/>
              <w:jc w:val="center"/>
            </w:pPr>
            <w:r>
              <w:rPr>
                <w:sz w:val="20"/>
                <w:szCs w:val="20"/>
              </w:rPr>
              <w:t xml:space="preserve">18</w:t>
            </w:r>
          </w:p>
        </w:tc>
        <w:tc>
          <w:tcPr>
            <w:tcW w:type="dxa" w:w="1096"/>
            <w:vAlign w:val="center"/>
          </w:tcPr>
          <w:p>
            <w:pPr>
              <w:spacing w:before="20" w:after="20" w:line="260" w:lineRule="auto"/>
              <w:ind w:firstLine="0"/>
              <w:jc w:val="center"/>
            </w:pPr>
            <w:r>
              <w:rPr>
                <w:sz w:val="20"/>
                <w:szCs w:val="20"/>
              </w:rPr>
              <w:t xml:space="preserve">13</w:t>
            </w:r>
          </w:p>
        </w:tc>
        <w:tc>
          <w:tcPr>
            <w:tcW w:type="dxa" w:w="1098"/>
            <w:vAlign w:val="center"/>
          </w:tcPr>
          <w:p>
            <w:pPr>
              <w:spacing w:before="20" w:after="20" w:line="260" w:lineRule="auto"/>
              <w:ind w:firstLine="0"/>
              <w:jc w:val="center"/>
            </w:pPr>
            <w:r>
              <w:rPr>
                <w:sz w:val="20"/>
                <w:szCs w:val="20"/>
              </w:rPr>
              <w:t xml:space="preserve">2</w:t>
            </w:r>
          </w:p>
        </w:tc>
      </w:tr>
      <w:tr>
        <w:trPr>
          <w:cantSplit/>
        </w:trPr>
        <w:tc>
          <w:tcPr>
            <w:tcW w:type="dxa" w:w="1096"/>
            <w:vAlign w:val="center"/>
          </w:tcPr>
          <w:p>
            <w:pPr>
              <w:spacing w:before="20" w:after="20" w:line="260" w:lineRule="auto"/>
              <w:ind w:firstLine="0"/>
              <w:jc w:val="center"/>
            </w:pPr>
            <w:r>
              <w:rPr>
                <w:sz w:val="20"/>
                <w:szCs w:val="20"/>
              </w:rPr>
              <w:t xml:space="preserve">7</w:t>
            </w:r>
          </w:p>
        </w:tc>
        <w:tc>
          <w:tcPr>
            <w:tcW w:type="dxa" w:w="1096"/>
            <w:vAlign w:val="center"/>
          </w:tcPr>
          <w:p>
            <w:pPr>
              <w:spacing w:before="20" w:after="20" w:line="260" w:lineRule="auto"/>
              <w:ind w:firstLine="0"/>
              <w:jc w:val="center"/>
            </w:pPr>
            <w:r>
              <w:rPr>
                <w:sz w:val="20"/>
                <w:szCs w:val="20"/>
              </w:rPr>
              <w:t xml:space="preserve">271.671</w:t>
            </w:r>
          </w:p>
        </w:tc>
        <w:tc>
          <w:tcPr>
            <w:tcW w:type="dxa" w:w="1096"/>
            <w:vAlign w:val="center"/>
          </w:tcPr>
          <w:p>
            <w:pPr>
              <w:spacing w:before="20" w:after="20" w:line="260" w:lineRule="auto"/>
              <w:ind w:firstLine="0"/>
              <w:jc w:val="center"/>
            </w:pPr>
            <w:r>
              <w:rPr>
                <w:sz w:val="20"/>
                <w:szCs w:val="20"/>
              </w:rPr>
              <w:t xml:space="preserve">314.894</w:t>
            </w:r>
          </w:p>
        </w:tc>
        <w:tc>
          <w:tcPr>
            <w:tcW w:type="dxa" w:w="1096"/>
            <w:vAlign w:val="center"/>
          </w:tcPr>
          <w:p>
            <w:pPr>
              <w:spacing w:before="20" w:after="20" w:line="260" w:lineRule="auto"/>
              <w:ind w:firstLine="0"/>
              <w:jc w:val="center"/>
            </w:pPr>
            <w:r>
              <w:rPr>
                <w:sz w:val="20"/>
                <w:szCs w:val="20"/>
              </w:rPr>
              <w:t xml:space="preserve">385.242</w:t>
            </w:r>
          </w:p>
        </w:tc>
        <w:tc>
          <w:tcPr>
            <w:tcW w:type="dxa" w:w="1397"/>
            <w:vAlign w:val="center"/>
          </w:tcPr>
          <w:p>
            <w:pPr>
              <w:spacing w:before="20" w:after="20" w:line="260" w:lineRule="auto"/>
              <w:ind w:firstLine="0"/>
              <w:jc w:val="center"/>
            </w:pPr>
            <w:r>
              <w:rPr>
                <w:sz w:val="20"/>
                <w:szCs w:val="20"/>
              </w:rPr>
              <w:t xml:space="preserve">133.327</w:t>
            </w:r>
          </w:p>
        </w:tc>
        <w:tc>
          <w:tcPr>
            <w:tcW w:type="dxa" w:w="1096"/>
            <w:vAlign w:val="center"/>
          </w:tcPr>
          <w:p>
            <w:pPr>
              <w:spacing w:before="20" w:after="20" w:line="260" w:lineRule="auto"/>
              <w:ind w:firstLine="0"/>
              <w:jc w:val="center"/>
            </w:pPr>
            <w:r>
              <w:rPr>
                <w:sz w:val="20"/>
                <w:szCs w:val="20"/>
              </w:rPr>
              <w:t xml:space="preserve">18</w:t>
            </w:r>
          </w:p>
        </w:tc>
        <w:tc>
          <w:tcPr>
            <w:tcW w:type="dxa" w:w="1096"/>
            <w:vAlign w:val="center"/>
          </w:tcPr>
          <w:p>
            <w:pPr>
              <w:spacing w:before="20" w:after="20" w:line="260" w:lineRule="auto"/>
              <w:ind w:firstLine="0"/>
              <w:jc w:val="center"/>
            </w:pPr>
            <w:r>
              <w:rPr>
                <w:sz w:val="20"/>
                <w:szCs w:val="20"/>
              </w:rPr>
              <w:t xml:space="preserve">12</w:t>
            </w:r>
          </w:p>
        </w:tc>
        <w:tc>
          <w:tcPr>
            <w:tcW w:type="dxa" w:w="1098"/>
            <w:vAlign w:val="center"/>
          </w:tcPr>
          <w:p>
            <w:pPr>
              <w:spacing w:before="20" w:after="20" w:line="260" w:lineRule="auto"/>
              <w:ind w:firstLine="0"/>
              <w:jc w:val="center"/>
            </w:pPr>
            <w:r>
              <w:rPr>
                <w:sz w:val="20"/>
                <w:szCs w:val="20"/>
              </w:rPr>
              <w:t xml:space="preserve">3</w:t>
            </w:r>
          </w:p>
        </w:tc>
      </w:tr>
      <w:tr>
        <w:trPr>
          <w:cantSplit/>
        </w:trPr>
        <w:tc>
          <w:tcPr>
            <w:tcW w:type="dxa" w:w="1096"/>
            <w:vAlign w:val="center"/>
          </w:tcPr>
          <w:p>
            <w:pPr>
              <w:spacing w:before="20" w:after="20" w:line="260" w:lineRule="auto"/>
              <w:ind w:firstLine="0"/>
              <w:jc w:val="center"/>
            </w:pPr>
            <w:r>
              <w:rPr>
                <w:sz w:val="20"/>
                <w:szCs w:val="20"/>
              </w:rPr>
              <w:t xml:space="preserve">8</w:t>
            </w:r>
          </w:p>
        </w:tc>
        <w:tc>
          <w:tcPr>
            <w:tcW w:type="dxa" w:w="1096"/>
            <w:vAlign w:val="center"/>
          </w:tcPr>
          <w:p>
            <w:pPr>
              <w:spacing w:before="20" w:after="20" w:line="260" w:lineRule="auto"/>
              <w:ind w:firstLine="0"/>
              <w:jc w:val="center"/>
            </w:pPr>
            <w:r>
              <w:rPr>
                <w:sz w:val="20"/>
                <w:szCs w:val="20"/>
              </w:rPr>
              <w:t xml:space="preserve">304.064</w:t>
            </w:r>
          </w:p>
        </w:tc>
        <w:tc>
          <w:tcPr>
            <w:tcW w:type="dxa" w:w="1096"/>
            <w:vAlign w:val="center"/>
          </w:tcPr>
          <w:p>
            <w:pPr>
              <w:spacing w:before="20" w:after="20" w:line="260" w:lineRule="auto"/>
              <w:ind w:firstLine="0"/>
              <w:jc w:val="center"/>
            </w:pPr>
            <w:r>
              <w:rPr>
                <w:sz w:val="20"/>
                <w:szCs w:val="20"/>
              </w:rPr>
              <w:t xml:space="preserve">350.501</w:t>
            </w:r>
          </w:p>
        </w:tc>
        <w:tc>
          <w:tcPr>
            <w:tcW w:type="dxa" w:w="1096"/>
            <w:vAlign w:val="center"/>
          </w:tcPr>
          <w:p>
            <w:pPr>
              <w:spacing w:before="20" w:after="20" w:line="260" w:lineRule="auto"/>
              <w:ind w:firstLine="0"/>
              <w:jc w:val="center"/>
            </w:pPr>
            <w:r>
              <w:rPr>
                <w:sz w:val="20"/>
                <w:szCs w:val="20"/>
              </w:rPr>
              <w:t xml:space="preserve">426.527</w:t>
            </w:r>
          </w:p>
        </w:tc>
        <w:tc>
          <w:tcPr>
            <w:tcW w:type="dxa" w:w="1397"/>
            <w:vAlign w:val="center"/>
          </w:tcPr>
          <w:p>
            <w:pPr>
              <w:spacing w:before="20" w:after="20" w:line="260" w:lineRule="auto"/>
              <w:ind w:firstLine="0"/>
              <w:jc w:val="center"/>
            </w:pPr>
            <w:r>
              <w:rPr>
                <w:sz w:val="20"/>
                <w:szCs w:val="20"/>
              </w:rPr>
              <w:t xml:space="preserve">146.126</w:t>
            </w:r>
          </w:p>
        </w:tc>
        <w:tc>
          <w:tcPr>
            <w:tcW w:type="dxa" w:w="1096"/>
            <w:vAlign w:val="center"/>
          </w:tcPr>
          <w:p>
            <w:pPr>
              <w:spacing w:before="20" w:after="20" w:line="260" w:lineRule="auto"/>
              <w:ind w:firstLine="0"/>
              <w:jc w:val="center"/>
            </w:pPr>
            <w:r>
              <w:rPr>
                <w:sz w:val="20"/>
                <w:szCs w:val="20"/>
              </w:rPr>
              <w:t xml:space="preserve">18</w:t>
            </w:r>
          </w:p>
        </w:tc>
        <w:tc>
          <w:tcPr>
            <w:tcW w:type="dxa" w:w="1096"/>
            <w:vAlign w:val="center"/>
          </w:tcPr>
          <w:p>
            <w:pPr>
              <w:spacing w:before="20" w:after="20" w:line="260" w:lineRule="auto"/>
              <w:ind w:firstLine="0"/>
              <w:jc w:val="center"/>
            </w:pPr>
            <w:r>
              <w:rPr>
                <w:sz w:val="20"/>
                <w:szCs w:val="20"/>
              </w:rPr>
              <w:t xml:space="preserve">11</w:t>
            </w:r>
          </w:p>
        </w:tc>
        <w:tc>
          <w:tcPr>
            <w:tcW w:type="dxa" w:w="1098"/>
            <w:vAlign w:val="center"/>
          </w:tcPr>
          <w:p>
            <w:pPr>
              <w:spacing w:before="20" w:after="20" w:line="260" w:lineRule="auto"/>
              <w:ind w:firstLine="0"/>
              <w:jc w:val="center"/>
            </w:pPr>
            <w:r>
              <w:rPr>
                <w:sz w:val="20"/>
                <w:szCs w:val="20"/>
              </w:rPr>
              <w:t xml:space="preserve">4</w:t>
            </w:r>
          </w:p>
        </w:tc>
      </w:tr>
      <w:tr>
        <w:trPr>
          <w:cantSplit/>
        </w:trPr>
        <w:tc>
          <w:tcPr>
            <w:tcW w:type="dxa" w:w="1096"/>
            <w:vAlign w:val="center"/>
          </w:tcPr>
          <w:p>
            <w:pPr>
              <w:spacing w:before="20" w:after="20" w:line="260" w:lineRule="auto"/>
              <w:ind w:firstLine="0"/>
              <w:jc w:val="center"/>
            </w:pPr>
            <w:r>
              <w:rPr>
                <w:sz w:val="20"/>
                <w:szCs w:val="20"/>
              </w:rPr>
              <w:t xml:space="preserve">9</w:t>
            </w:r>
          </w:p>
        </w:tc>
        <w:tc>
          <w:tcPr>
            <w:tcW w:type="dxa" w:w="1096"/>
            <w:vAlign w:val="center"/>
          </w:tcPr>
          <w:p>
            <w:pPr>
              <w:spacing w:before="20" w:after="20" w:line="260" w:lineRule="auto"/>
              <w:ind w:firstLine="0"/>
              <w:jc w:val="center"/>
            </w:pPr>
            <w:r>
              <w:rPr>
                <w:sz w:val="20"/>
                <w:szCs w:val="20"/>
              </w:rPr>
              <w:t xml:space="preserve">259.693</w:t>
            </w:r>
          </w:p>
        </w:tc>
        <w:tc>
          <w:tcPr>
            <w:tcW w:type="dxa" w:w="1096"/>
            <w:vAlign w:val="center"/>
          </w:tcPr>
          <w:p>
            <w:pPr>
              <w:spacing w:before="20" w:after="20" w:line="260" w:lineRule="auto"/>
              <w:ind w:firstLine="0"/>
              <w:jc w:val="center"/>
            </w:pPr>
            <w:r>
              <w:rPr>
                <w:sz w:val="20"/>
                <w:szCs w:val="20"/>
              </w:rPr>
              <w:t xml:space="preserve">302.566</w:t>
            </w:r>
          </w:p>
        </w:tc>
        <w:tc>
          <w:tcPr>
            <w:tcW w:type="dxa" w:w="1096"/>
            <w:vAlign w:val="center"/>
          </w:tcPr>
          <w:p>
            <w:pPr>
              <w:spacing w:before="20" w:after="20" w:line="260" w:lineRule="auto"/>
              <w:ind w:firstLine="0"/>
              <w:jc w:val="center"/>
            </w:pPr>
            <w:r>
              <w:rPr>
                <w:sz w:val="20"/>
                <w:szCs w:val="20"/>
              </w:rPr>
              <w:t xml:space="preserve">371.437</w:t>
            </w:r>
          </w:p>
        </w:tc>
        <w:tc>
          <w:tcPr>
            <w:tcW w:type="dxa" w:w="1397"/>
            <w:vAlign w:val="center"/>
          </w:tcPr>
          <w:p>
            <w:pPr>
              <w:spacing w:before="20" w:after="20" w:line="260" w:lineRule="auto"/>
              <w:ind w:firstLine="0"/>
              <w:jc w:val="center"/>
            </w:pPr>
            <w:r>
              <w:rPr>
                <w:sz w:val="20"/>
                <w:szCs w:val="20"/>
              </w:rPr>
              <w:t xml:space="preserve">129.385</w:t>
            </w:r>
          </w:p>
        </w:tc>
        <w:tc>
          <w:tcPr>
            <w:tcW w:type="dxa" w:w="1096"/>
            <w:vAlign w:val="center"/>
          </w:tcPr>
          <w:p>
            <w:pPr>
              <w:spacing w:before="20" w:after="20" w:line="260" w:lineRule="auto"/>
              <w:ind w:firstLine="0"/>
              <w:jc w:val="center"/>
            </w:pPr>
            <w:r>
              <w:rPr>
                <w:sz w:val="20"/>
                <w:szCs w:val="20"/>
              </w:rPr>
              <w:t xml:space="preserve">19</w:t>
            </w:r>
          </w:p>
        </w:tc>
        <w:tc>
          <w:tcPr>
            <w:tcW w:type="dxa" w:w="1096"/>
            <w:vAlign w:val="center"/>
          </w:tcPr>
          <w:p>
            <w:pPr>
              <w:spacing w:before="20" w:after="20" w:line="260" w:lineRule="auto"/>
              <w:ind w:firstLine="0"/>
              <w:jc w:val="center"/>
            </w:pPr>
            <w:r>
              <w:rPr>
                <w:sz w:val="20"/>
                <w:szCs w:val="20"/>
              </w:rPr>
              <w:t xml:space="preserve">12</w:t>
            </w:r>
          </w:p>
        </w:tc>
        <w:tc>
          <w:tcPr>
            <w:tcW w:type="dxa" w:w="1098"/>
            <w:vAlign w:val="center"/>
          </w:tcPr>
          <w:p>
            <w:pPr>
              <w:spacing w:before="20" w:after="20" w:line="260" w:lineRule="auto"/>
              <w:ind w:firstLine="0"/>
              <w:jc w:val="center"/>
            </w:pPr>
            <w:r>
              <w:rPr>
                <w:sz w:val="20"/>
                <w:szCs w:val="20"/>
              </w:rPr>
              <w:t xml:space="preserve">2</w:t>
            </w:r>
          </w:p>
        </w:tc>
      </w:tr>
      <w:tr>
        <w:trPr>
          <w:cantSplit/>
        </w:trPr>
        <w:tc>
          <w:tcPr>
            <w:tcW w:type="dxa" w:w="1096"/>
            <w:vAlign w:val="center"/>
          </w:tcPr>
          <w:p>
            <w:pPr>
              <w:spacing w:before="20" w:after="20" w:line="260" w:lineRule="auto"/>
              <w:ind w:firstLine="0"/>
              <w:jc w:val="center"/>
            </w:pPr>
            <w:r>
              <w:rPr>
                <w:sz w:val="20"/>
                <w:szCs w:val="20"/>
              </w:rPr>
              <w:t xml:space="preserve">10</w:t>
            </w:r>
          </w:p>
        </w:tc>
        <w:tc>
          <w:tcPr>
            <w:tcW w:type="dxa" w:w="1096"/>
            <w:vAlign w:val="center"/>
          </w:tcPr>
          <w:p>
            <w:pPr>
              <w:spacing w:before="20" w:after="20" w:line="260" w:lineRule="auto"/>
              <w:ind w:firstLine="0"/>
              <w:jc w:val="center"/>
            </w:pPr>
            <w:r>
              <w:rPr>
                <w:sz w:val="20"/>
                <w:szCs w:val="20"/>
              </w:rPr>
              <w:t xml:space="preserve">81.909</w:t>
            </w:r>
          </w:p>
        </w:tc>
        <w:tc>
          <w:tcPr>
            <w:tcW w:type="dxa" w:w="1096"/>
            <w:vAlign w:val="center"/>
          </w:tcPr>
          <w:p>
            <w:pPr>
              <w:spacing w:before="20" w:after="20" w:line="260" w:lineRule="auto"/>
              <w:ind w:firstLine="0"/>
              <w:jc w:val="center"/>
            </w:pPr>
            <w:r>
              <w:rPr>
                <w:sz w:val="20"/>
                <w:szCs w:val="20"/>
              </w:rPr>
              <w:t xml:space="preserve">104.266</w:t>
            </w:r>
          </w:p>
        </w:tc>
        <w:tc>
          <w:tcPr>
            <w:tcW w:type="dxa" w:w="1096"/>
            <w:vAlign w:val="center"/>
          </w:tcPr>
          <w:p>
            <w:pPr>
              <w:spacing w:before="20" w:after="20" w:line="260" w:lineRule="auto"/>
              <w:ind w:firstLine="0"/>
              <w:jc w:val="center"/>
            </w:pPr>
            <w:r>
              <w:rPr>
                <w:sz w:val="20"/>
                <w:szCs w:val="20"/>
              </w:rPr>
              <w:t xml:space="preserve">140.256</w:t>
            </w:r>
          </w:p>
        </w:tc>
        <w:tc>
          <w:tcPr>
            <w:tcW w:type="dxa" w:w="1397"/>
            <w:vAlign w:val="center"/>
          </w:tcPr>
          <w:p>
            <w:pPr>
              <w:spacing w:before="20" w:after="20" w:line="260" w:lineRule="auto"/>
              <w:ind w:firstLine="0"/>
              <w:jc w:val="center"/>
            </w:pPr>
            <w:r>
              <w:rPr>
                <w:sz w:val="20"/>
                <w:szCs w:val="20"/>
              </w:rPr>
              <w:t xml:space="preserve">56.843</w:t>
            </w:r>
          </w:p>
        </w:tc>
        <w:tc>
          <w:tcPr>
            <w:tcW w:type="dxa" w:w="1096"/>
            <w:vAlign w:val="center"/>
          </w:tcPr>
          <w:p>
            <w:pPr>
              <w:spacing w:before="20" w:after="20" w:line="260" w:lineRule="auto"/>
              <w:ind w:firstLine="0"/>
              <w:jc w:val="center"/>
            </w:pPr>
            <w:r>
              <w:rPr>
                <w:sz w:val="20"/>
                <w:szCs w:val="20"/>
              </w:rPr>
              <w:t xml:space="preserve">23</w:t>
            </w:r>
          </w:p>
        </w:tc>
        <w:tc>
          <w:tcPr>
            <w:tcW w:type="dxa" w:w="1096"/>
            <w:vAlign w:val="center"/>
          </w:tcPr>
          <w:p>
            <w:pPr>
              <w:spacing w:before="20" w:after="20" w:line="260" w:lineRule="auto"/>
              <w:ind w:firstLine="0"/>
              <w:jc w:val="center"/>
            </w:pPr>
            <w:r>
              <w:rPr>
                <w:sz w:val="20"/>
                <w:szCs w:val="20"/>
              </w:rPr>
              <w:t xml:space="preserve">10</w:t>
            </w:r>
          </w:p>
        </w:tc>
        <w:tc>
          <w:tcPr>
            <w:tcW w:type="dxa" w:w="1098"/>
            <w:vAlign w:val="center"/>
          </w:tcPr>
          <w:p>
            <w:pPr>
              <w:spacing w:before="20" w:after="20" w:line="260" w:lineRule="auto"/>
              <w:ind w:firstLine="0"/>
              <w:jc w:val="center"/>
            </w:pPr>
            <w:r>
              <w:rPr>
                <w:sz w:val="20"/>
                <w:szCs w:val="20"/>
              </w:rPr>
              <w:t xml:space="preserve">0</w:t>
            </w:r>
          </w:p>
        </w:tc>
      </w:tr>
      <w:tr>
        <w:trPr>
          <w:cantSplit/>
        </w:trPr>
        <w:tc>
          <w:tcPr>
            <w:tcW w:type="dxa" w:w="1096"/>
            <w:vAlign w:val="center"/>
          </w:tcPr>
          <w:p>
            <w:pPr>
              <w:spacing w:before="20" w:after="20" w:line="260" w:lineRule="auto"/>
              <w:ind w:firstLine="0"/>
              <w:jc w:val="center"/>
            </w:pPr>
            <w:r>
              <w:rPr>
                <w:sz w:val="20"/>
                <w:szCs w:val="20"/>
              </w:rPr>
              <w:t xml:space="preserve">11</w:t>
            </w:r>
          </w:p>
        </w:tc>
        <w:tc>
          <w:tcPr>
            <w:tcW w:type="dxa" w:w="1096"/>
            <w:vAlign w:val="center"/>
          </w:tcPr>
          <w:p>
            <w:pPr>
              <w:spacing w:before="20" w:after="20" w:line="260" w:lineRule="auto"/>
              <w:ind w:firstLine="0"/>
              <w:jc w:val="center"/>
            </w:pPr>
            <w:r>
              <w:rPr>
                <w:sz w:val="20"/>
                <w:szCs w:val="20"/>
              </w:rPr>
              <w:t xml:space="preserve">291.573</w:t>
            </w:r>
          </w:p>
        </w:tc>
        <w:tc>
          <w:tcPr>
            <w:tcW w:type="dxa" w:w="1096"/>
            <w:vAlign w:val="center"/>
          </w:tcPr>
          <w:p>
            <w:pPr>
              <w:spacing w:before="20" w:after="20" w:line="260" w:lineRule="auto"/>
              <w:ind w:firstLine="0"/>
              <w:jc w:val="center"/>
            </w:pPr>
            <w:r>
              <w:rPr>
                <w:sz w:val="20"/>
                <w:szCs w:val="20"/>
              </w:rPr>
              <w:t xml:space="preserve">334.830</w:t>
            </w:r>
          </w:p>
        </w:tc>
        <w:tc>
          <w:tcPr>
            <w:tcW w:type="dxa" w:w="1096"/>
            <w:vAlign w:val="center"/>
          </w:tcPr>
          <w:p>
            <w:pPr>
              <w:spacing w:before="20" w:after="20" w:line="260" w:lineRule="auto"/>
              <w:ind w:firstLine="0"/>
              <w:jc w:val="center"/>
            </w:pPr>
            <w:r>
              <w:rPr>
                <w:sz w:val="20"/>
                <w:szCs w:val="20"/>
              </w:rPr>
              <w:t xml:space="preserve">404.443</w:t>
            </w:r>
          </w:p>
        </w:tc>
        <w:tc>
          <w:tcPr>
            <w:tcW w:type="dxa" w:w="1397"/>
            <w:vAlign w:val="center"/>
          </w:tcPr>
          <w:p>
            <w:pPr>
              <w:spacing w:before="20" w:after="20" w:line="260" w:lineRule="auto"/>
              <w:ind w:firstLine="0"/>
              <w:jc w:val="center"/>
            </w:pPr>
            <w:r>
              <w:rPr>
                <w:sz w:val="20"/>
                <w:szCs w:val="20"/>
              </w:rPr>
              <w:t xml:space="preserve">136.580</w:t>
            </w:r>
          </w:p>
        </w:tc>
        <w:tc>
          <w:tcPr>
            <w:tcW w:type="dxa" w:w="1096"/>
            <w:vAlign w:val="center"/>
          </w:tcPr>
          <w:p>
            <w:pPr>
              <w:spacing w:before="20" w:after="20" w:line="260" w:lineRule="auto"/>
              <w:ind w:firstLine="0"/>
              <w:jc w:val="center"/>
            </w:pPr>
            <w:r>
              <w:rPr>
                <w:sz w:val="20"/>
                <w:szCs w:val="20"/>
              </w:rPr>
              <w:t xml:space="preserve">20</w:t>
            </w:r>
          </w:p>
        </w:tc>
        <w:tc>
          <w:tcPr>
            <w:tcW w:type="dxa" w:w="1096"/>
            <w:vAlign w:val="center"/>
          </w:tcPr>
          <w:p>
            <w:pPr>
              <w:spacing w:before="20" w:after="20" w:line="260" w:lineRule="auto"/>
              <w:ind w:firstLine="0"/>
              <w:jc w:val="center"/>
            </w:pPr>
            <w:r>
              <w:rPr>
                <w:sz w:val="20"/>
                <w:szCs w:val="20"/>
              </w:rPr>
              <w:t xml:space="preserve">11</w:t>
            </w:r>
          </w:p>
        </w:tc>
        <w:tc>
          <w:tcPr>
            <w:tcW w:type="dxa" w:w="1098"/>
            <w:vAlign w:val="center"/>
          </w:tcPr>
          <w:p>
            <w:pPr>
              <w:spacing w:before="20" w:after="20" w:line="260" w:lineRule="auto"/>
              <w:ind w:firstLine="0"/>
              <w:jc w:val="center"/>
            </w:pPr>
            <w:r>
              <w:rPr>
                <w:sz w:val="20"/>
                <w:szCs w:val="20"/>
              </w:rPr>
              <w:t xml:space="preserve">2</w:t>
            </w:r>
          </w:p>
        </w:tc>
      </w:tr>
      <w:tr>
        <w:trPr>
          <w:cantSplit/>
        </w:trPr>
        <w:tc>
          <w:tcPr>
            <w:tcW w:type="dxa" w:w="1096"/>
            <w:vAlign w:val="center"/>
          </w:tcPr>
          <w:p>
            <w:pPr>
              <w:spacing w:before="20" w:after="20" w:line="260" w:lineRule="auto"/>
              <w:ind w:firstLine="0"/>
              <w:jc w:val="center"/>
            </w:pPr>
            <w:r>
              <w:rPr>
                <w:sz w:val="20"/>
                <w:szCs w:val="20"/>
              </w:rPr>
              <w:t xml:space="preserve">12</w:t>
            </w:r>
          </w:p>
        </w:tc>
        <w:tc>
          <w:tcPr>
            <w:tcW w:type="dxa" w:w="1096"/>
            <w:vAlign w:val="center"/>
          </w:tcPr>
          <w:p>
            <w:pPr>
              <w:spacing w:before="20" w:after="20" w:line="260" w:lineRule="auto"/>
              <w:ind w:firstLine="0"/>
              <w:jc w:val="center"/>
            </w:pPr>
            <w:r>
              <w:rPr>
                <w:sz w:val="20"/>
                <w:szCs w:val="20"/>
              </w:rPr>
              <w:t xml:space="preserve">101.637</w:t>
            </w:r>
          </w:p>
        </w:tc>
        <w:tc>
          <w:tcPr>
            <w:tcW w:type="dxa" w:w="1096"/>
            <w:vAlign w:val="center"/>
          </w:tcPr>
          <w:p>
            <w:pPr>
              <w:spacing w:before="20" w:after="20" w:line="260" w:lineRule="auto"/>
              <w:ind w:firstLine="0"/>
              <w:jc w:val="center"/>
            </w:pPr>
            <w:r>
              <w:rPr>
                <w:sz w:val="20"/>
                <w:szCs w:val="20"/>
              </w:rPr>
              <w:t xml:space="preserve">126.568</w:t>
            </w:r>
          </w:p>
        </w:tc>
        <w:tc>
          <w:tcPr>
            <w:tcW w:type="dxa" w:w="1096"/>
            <w:vAlign w:val="center"/>
          </w:tcPr>
          <w:p>
            <w:pPr>
              <w:spacing w:before="20" w:after="20" w:line="260" w:lineRule="auto"/>
              <w:ind w:firstLine="0"/>
              <w:jc w:val="center"/>
            </w:pPr>
            <w:r>
              <w:rPr>
                <w:sz w:val="20"/>
                <w:szCs w:val="20"/>
              </w:rPr>
              <w:t xml:space="preserve">166.189</w:t>
            </w:r>
          </w:p>
        </w:tc>
        <w:tc>
          <w:tcPr>
            <w:tcW w:type="dxa" w:w="1397"/>
            <w:vAlign w:val="center"/>
          </w:tcPr>
          <w:p>
            <w:pPr>
              <w:spacing w:before="20" w:after="20" w:line="260" w:lineRule="auto"/>
              <w:ind w:firstLine="0"/>
              <w:jc w:val="center"/>
            </w:pPr>
            <w:r>
              <w:rPr>
                <w:sz w:val="20"/>
                <w:szCs w:val="20"/>
              </w:rPr>
              <w:t xml:space="preserve">64.934</w:t>
            </w:r>
          </w:p>
        </w:tc>
        <w:tc>
          <w:tcPr>
            <w:tcW w:type="dxa" w:w="1096"/>
            <w:vAlign w:val="center"/>
          </w:tcPr>
          <w:p>
            <w:pPr>
              <w:spacing w:before="20" w:after="20" w:line="260" w:lineRule="auto"/>
              <w:ind w:firstLine="0"/>
              <w:jc w:val="center"/>
            </w:pPr>
            <w:r>
              <w:rPr>
                <w:sz w:val="20"/>
                <w:szCs w:val="20"/>
              </w:rPr>
              <w:t xml:space="preserve">22</w:t>
            </w:r>
          </w:p>
        </w:tc>
        <w:tc>
          <w:tcPr>
            <w:tcW w:type="dxa" w:w="1096"/>
            <w:vAlign w:val="center"/>
          </w:tcPr>
          <w:p>
            <w:pPr>
              <w:spacing w:before="20" w:after="20" w:line="260" w:lineRule="auto"/>
              <w:ind w:firstLine="0"/>
              <w:jc w:val="center"/>
            </w:pPr>
            <w:r>
              <w:rPr>
                <w:sz w:val="20"/>
                <w:szCs w:val="20"/>
              </w:rPr>
              <w:t xml:space="preserve">10</w:t>
            </w:r>
          </w:p>
        </w:tc>
        <w:tc>
          <w:tcPr>
            <w:tcW w:type="dxa" w:w="1098"/>
            <w:vAlign w:val="center"/>
          </w:tcPr>
          <w:p>
            <w:pPr>
              <w:spacing w:before="20" w:after="20" w:line="260" w:lineRule="auto"/>
              <w:ind w:firstLine="0"/>
              <w:jc w:val="center"/>
            </w:pPr>
            <w:r>
              <w:rPr>
                <w:sz w:val="20"/>
                <w:szCs w:val="20"/>
              </w:rPr>
              <w:t xml:space="preserve">1</w:t>
            </w:r>
          </w:p>
        </w:tc>
      </w:tr>
      <w:tr>
        <w:trPr>
          <w:cantSplit/>
        </w:trPr>
        <w:tc>
          <w:tcPr>
            <w:tcW w:type="dxa" w:w="1096"/>
            <w:vAlign w:val="center"/>
          </w:tcPr>
          <w:p>
            <w:pPr>
              <w:spacing w:before="20" w:after="20" w:line="260" w:lineRule="auto"/>
              <w:ind w:firstLine="0"/>
              <w:jc w:val="center"/>
            </w:pPr>
            <w:r>
              <w:rPr>
                <w:sz w:val="20"/>
                <w:szCs w:val="20"/>
              </w:rPr>
              <w:t xml:space="preserve">13</w:t>
            </w:r>
          </w:p>
        </w:tc>
        <w:tc>
          <w:tcPr>
            <w:tcW w:type="dxa" w:w="1096"/>
            <w:vAlign w:val="center"/>
          </w:tcPr>
          <w:p>
            <w:pPr>
              <w:spacing w:before="20" w:after="20" w:line="260" w:lineRule="auto"/>
              <w:ind w:firstLine="0"/>
              <w:jc w:val="center"/>
            </w:pPr>
            <w:r>
              <w:rPr>
                <w:sz w:val="20"/>
                <w:szCs w:val="20"/>
              </w:rPr>
              <w:t xml:space="preserve">88.477</w:t>
            </w:r>
          </w:p>
        </w:tc>
        <w:tc>
          <w:tcPr>
            <w:tcW w:type="dxa" w:w="1096"/>
            <w:vAlign w:val="center"/>
          </w:tcPr>
          <w:p>
            <w:pPr>
              <w:spacing w:before="20" w:after="20" w:line="260" w:lineRule="auto"/>
              <w:ind w:firstLine="0"/>
              <w:jc w:val="center"/>
            </w:pPr>
            <w:r>
              <w:rPr>
                <w:sz w:val="20"/>
                <w:szCs w:val="20"/>
              </w:rPr>
              <w:t xml:space="preserve">111.211</w:t>
            </w:r>
          </w:p>
        </w:tc>
        <w:tc>
          <w:tcPr>
            <w:tcW w:type="dxa" w:w="1096"/>
            <w:vAlign w:val="center"/>
          </w:tcPr>
          <w:p>
            <w:pPr>
              <w:spacing w:before="20" w:after="20" w:line="260" w:lineRule="auto"/>
              <w:ind w:firstLine="0"/>
              <w:jc w:val="center"/>
            </w:pPr>
            <w:r>
              <w:rPr>
                <w:sz w:val="20"/>
                <w:szCs w:val="20"/>
              </w:rPr>
              <w:t xml:space="preserve">147.987</w:t>
            </w:r>
          </w:p>
        </w:tc>
        <w:tc>
          <w:tcPr>
            <w:tcW w:type="dxa" w:w="1397"/>
            <w:vAlign w:val="center"/>
          </w:tcPr>
          <w:p>
            <w:pPr>
              <w:spacing w:before="20" w:after="20" w:line="260" w:lineRule="auto"/>
              <w:ind w:firstLine="0"/>
              <w:jc w:val="center"/>
            </w:pPr>
            <w:r>
              <w:rPr>
                <w:sz w:val="20"/>
                <w:szCs w:val="20"/>
              </w:rPr>
              <w:t xml:space="preserve">59.018</w:t>
            </w:r>
          </w:p>
        </w:tc>
        <w:tc>
          <w:tcPr>
            <w:tcW w:type="dxa" w:w="1096"/>
            <w:vAlign w:val="center"/>
          </w:tcPr>
          <w:p>
            <w:pPr>
              <w:spacing w:before="20" w:after="20" w:line="260" w:lineRule="auto"/>
              <w:ind w:firstLine="0"/>
              <w:jc w:val="center"/>
            </w:pPr>
            <w:r>
              <w:rPr>
                <w:sz w:val="20"/>
                <w:szCs w:val="20"/>
              </w:rPr>
              <w:t xml:space="preserve">21</w:t>
            </w:r>
          </w:p>
        </w:tc>
        <w:tc>
          <w:tcPr>
            <w:tcW w:type="dxa" w:w="1096"/>
            <w:vAlign w:val="center"/>
          </w:tcPr>
          <w:p>
            <w:pPr>
              <w:spacing w:before="20" w:after="20" w:line="260" w:lineRule="auto"/>
              <w:ind w:firstLine="0"/>
              <w:jc w:val="center"/>
            </w:pPr>
            <w:r>
              <w:rPr>
                <w:sz w:val="20"/>
                <w:szCs w:val="20"/>
              </w:rPr>
              <w:t xml:space="preserve">12</w:t>
            </w:r>
          </w:p>
        </w:tc>
        <w:tc>
          <w:tcPr>
            <w:tcW w:type="dxa" w:w="1098"/>
            <w:vAlign w:val="center"/>
          </w:tcPr>
          <w:p>
            <w:pPr>
              <w:spacing w:before="20" w:after="20" w:line="260" w:lineRule="auto"/>
              <w:ind w:firstLine="0"/>
              <w:jc w:val="center"/>
            </w:pPr>
            <w:r>
              <w:rPr>
                <w:sz w:val="20"/>
                <w:szCs w:val="20"/>
              </w:rPr>
              <w:t xml:space="preserve">0</w:t>
            </w:r>
          </w:p>
        </w:tc>
      </w:tr>
      <w:tr>
        <w:trPr>
          <w:cantSplit/>
        </w:trPr>
        <w:tc>
          <w:tcPr>
            <w:tcW w:type="dxa" w:w="1096"/>
            <w:vAlign w:val="center"/>
          </w:tcPr>
          <w:p>
            <w:pPr>
              <w:spacing w:before="20" w:after="20" w:line="260" w:lineRule="auto"/>
              <w:ind w:firstLine="0"/>
              <w:jc w:val="center"/>
            </w:pPr>
            <w:r>
              <w:rPr>
                <w:sz w:val="20"/>
                <w:szCs w:val="20"/>
              </w:rPr>
              <w:t xml:space="preserve">14</w:t>
            </w:r>
          </w:p>
        </w:tc>
        <w:tc>
          <w:tcPr>
            <w:tcW w:type="dxa" w:w="1096"/>
            <w:vAlign w:val="center"/>
          </w:tcPr>
          <w:p>
            <w:pPr>
              <w:spacing w:before="20" w:after="20" w:line="260" w:lineRule="auto"/>
              <w:ind w:firstLine="0"/>
              <w:jc w:val="center"/>
            </w:pPr>
            <w:r>
              <w:rPr>
                <w:sz w:val="20"/>
                <w:szCs w:val="20"/>
              </w:rPr>
              <w:t xml:space="preserve">103.913</w:t>
            </w:r>
          </w:p>
        </w:tc>
        <w:tc>
          <w:tcPr>
            <w:tcW w:type="dxa" w:w="1096"/>
            <w:vAlign w:val="center"/>
          </w:tcPr>
          <w:p>
            <w:pPr>
              <w:spacing w:before="20" w:after="20" w:line="260" w:lineRule="auto"/>
              <w:ind w:firstLine="0"/>
              <w:jc w:val="center"/>
            </w:pPr>
            <w:r>
              <w:rPr>
                <w:sz w:val="20"/>
                <w:szCs w:val="20"/>
              </w:rPr>
              <w:t xml:space="preserve">130.921</w:t>
            </w:r>
          </w:p>
        </w:tc>
        <w:tc>
          <w:tcPr>
            <w:tcW w:type="dxa" w:w="1096"/>
            <w:vAlign w:val="center"/>
          </w:tcPr>
          <w:p>
            <w:pPr>
              <w:spacing w:before="20" w:after="20" w:line="260" w:lineRule="auto"/>
              <w:ind w:firstLine="0"/>
              <w:jc w:val="center"/>
            </w:pPr>
            <w:r>
              <w:rPr>
                <w:sz w:val="20"/>
                <w:szCs w:val="20"/>
              </w:rPr>
              <w:t xml:space="preserve">174.437</w:t>
            </w:r>
          </w:p>
        </w:tc>
        <w:tc>
          <w:tcPr>
            <w:tcW w:type="dxa" w:w="1397"/>
            <w:vAlign w:val="center"/>
          </w:tcPr>
          <w:p>
            <w:pPr>
              <w:spacing w:before="20" w:after="20" w:line="260" w:lineRule="auto"/>
              <w:ind w:firstLine="0"/>
              <w:jc w:val="center"/>
            </w:pPr>
            <w:r>
              <w:rPr>
                <w:sz w:val="20"/>
                <w:szCs w:val="20"/>
              </w:rPr>
              <w:t xml:space="preserve">69.701</w:t>
            </w:r>
          </w:p>
        </w:tc>
        <w:tc>
          <w:tcPr>
            <w:tcW w:type="dxa" w:w="1096"/>
            <w:vAlign w:val="center"/>
          </w:tcPr>
          <w:p>
            <w:pPr>
              <w:spacing w:before="20" w:after="20" w:line="260" w:lineRule="auto"/>
              <w:ind w:firstLine="0"/>
              <w:jc w:val="center"/>
            </w:pPr>
            <w:r>
              <w:rPr>
                <w:sz w:val="20"/>
                <w:szCs w:val="20"/>
              </w:rPr>
              <w:t xml:space="preserve">22</w:t>
            </w:r>
          </w:p>
        </w:tc>
        <w:tc>
          <w:tcPr>
            <w:tcW w:type="dxa" w:w="1096"/>
            <w:vAlign w:val="center"/>
          </w:tcPr>
          <w:p>
            <w:pPr>
              <w:spacing w:before="20" w:after="20" w:line="260" w:lineRule="auto"/>
              <w:ind w:firstLine="0"/>
              <w:jc w:val="center"/>
            </w:pPr>
            <w:r>
              <w:rPr>
                <w:sz w:val="20"/>
                <w:szCs w:val="20"/>
              </w:rPr>
              <w:t xml:space="preserve">11</w:t>
            </w:r>
          </w:p>
        </w:tc>
        <w:tc>
          <w:tcPr>
            <w:tcW w:type="dxa" w:w="1098"/>
            <w:vAlign w:val="center"/>
          </w:tcPr>
          <w:p>
            <w:pPr>
              <w:spacing w:before="20" w:after="20" w:line="260" w:lineRule="auto"/>
              <w:ind w:firstLine="0"/>
              <w:jc w:val="center"/>
            </w:pPr>
            <w:r>
              <w:rPr>
                <w:sz w:val="20"/>
                <w:szCs w:val="20"/>
              </w:rPr>
              <w:t xml:space="preserve">0</w:t>
            </w:r>
          </w:p>
        </w:tc>
      </w:tr>
      <w:tr>
        <w:trPr>
          <w:cantSplit/>
        </w:trPr>
        <w:tc>
          <w:tcPr>
            <w:tcW w:type="dxa" w:w="1096"/>
            <w:vAlign w:val="center"/>
          </w:tcPr>
          <w:p>
            <w:pPr>
              <w:spacing w:before="20" w:after="20" w:line="260" w:lineRule="auto"/>
              <w:ind w:firstLine="0"/>
              <w:jc w:val="center"/>
            </w:pPr>
            <w:r>
              <w:rPr>
                <w:sz w:val="20"/>
                <w:szCs w:val="20"/>
              </w:rPr>
              <w:t xml:space="preserve">15</w:t>
            </w:r>
          </w:p>
        </w:tc>
        <w:tc>
          <w:tcPr>
            <w:tcW w:type="dxa" w:w="1096"/>
            <w:vAlign w:val="center"/>
          </w:tcPr>
          <w:p>
            <w:pPr>
              <w:spacing w:before="20" w:after="20" w:line="260" w:lineRule="auto"/>
              <w:ind w:firstLine="0"/>
              <w:jc w:val="center"/>
            </w:pPr>
            <w:r>
              <w:rPr>
                <w:sz w:val="20"/>
                <w:szCs w:val="20"/>
              </w:rPr>
              <w:t xml:space="preserve">105.392</w:t>
            </w:r>
          </w:p>
        </w:tc>
        <w:tc>
          <w:tcPr>
            <w:tcW w:type="dxa" w:w="1096"/>
            <w:vAlign w:val="center"/>
          </w:tcPr>
          <w:p>
            <w:pPr>
              <w:spacing w:before="20" w:after="20" w:line="260" w:lineRule="auto"/>
              <w:ind w:firstLine="0"/>
              <w:jc w:val="center"/>
            </w:pPr>
            <w:r>
              <w:rPr>
                <w:sz w:val="20"/>
                <w:szCs w:val="20"/>
              </w:rPr>
              <w:t xml:space="preserve">131.121</w:t>
            </w:r>
          </w:p>
        </w:tc>
        <w:tc>
          <w:tcPr>
            <w:tcW w:type="dxa" w:w="1096"/>
            <w:vAlign w:val="center"/>
          </w:tcPr>
          <w:p>
            <w:pPr>
              <w:spacing w:before="20" w:after="20" w:line="260" w:lineRule="auto"/>
              <w:ind w:firstLine="0"/>
              <w:jc w:val="center"/>
            </w:pPr>
            <w:r>
              <w:rPr>
                <w:sz w:val="20"/>
                <w:szCs w:val="20"/>
              </w:rPr>
              <w:t xml:space="preserve">171.923</w:t>
            </w:r>
          </w:p>
        </w:tc>
        <w:tc>
          <w:tcPr>
            <w:tcW w:type="dxa" w:w="1397"/>
            <w:vAlign w:val="center"/>
          </w:tcPr>
          <w:p>
            <w:pPr>
              <w:spacing w:before="20" w:after="20" w:line="260" w:lineRule="auto"/>
              <w:ind w:firstLine="0"/>
              <w:jc w:val="center"/>
            </w:pPr>
            <w:r>
              <w:rPr>
                <w:sz w:val="20"/>
                <w:szCs w:val="20"/>
              </w:rPr>
              <w:t xml:space="preserve">67.026</w:t>
            </w:r>
          </w:p>
        </w:tc>
        <w:tc>
          <w:tcPr>
            <w:tcW w:type="dxa" w:w="1096"/>
            <w:vAlign w:val="center"/>
          </w:tcPr>
          <w:p>
            <w:pPr>
              <w:spacing w:before="20" w:after="20" w:line="260" w:lineRule="auto"/>
              <w:ind w:firstLine="0"/>
              <w:jc w:val="center"/>
            </w:pPr>
            <w:r>
              <w:rPr>
                <w:sz w:val="20"/>
                <w:szCs w:val="20"/>
              </w:rPr>
              <w:t xml:space="preserve">20</w:t>
            </w:r>
          </w:p>
        </w:tc>
        <w:tc>
          <w:tcPr>
            <w:tcW w:type="dxa" w:w="1096"/>
            <w:vAlign w:val="center"/>
          </w:tcPr>
          <w:p>
            <w:pPr>
              <w:spacing w:before="20" w:after="20" w:line="260" w:lineRule="auto"/>
              <w:ind w:firstLine="0"/>
              <w:jc w:val="center"/>
            </w:pPr>
            <w:r>
              <w:rPr>
                <w:sz w:val="20"/>
                <w:szCs w:val="20"/>
              </w:rPr>
              <w:t xml:space="preserve">12</w:t>
            </w:r>
          </w:p>
        </w:tc>
        <w:tc>
          <w:tcPr>
            <w:tcW w:type="dxa" w:w="1098"/>
            <w:vAlign w:val="center"/>
          </w:tcPr>
          <w:p>
            <w:pPr>
              <w:spacing w:before="20" w:after="20" w:line="260" w:lineRule="auto"/>
              <w:ind w:firstLine="0"/>
              <w:jc w:val="center"/>
            </w:pPr>
            <w:r>
              <w:rPr>
                <w:sz w:val="20"/>
                <w:szCs w:val="20"/>
              </w:rPr>
              <w:t xml:space="preserve">1</w:t>
            </w:r>
          </w:p>
        </w:tc>
      </w:tr>
      <w:tr>
        <w:trPr>
          <w:cantSplit/>
        </w:trPr>
        <w:tc>
          <w:tcPr>
            <w:tcW w:type="dxa" w:w="1096"/>
            <w:vAlign w:val="center"/>
          </w:tcPr>
          <w:p>
            <w:pPr>
              <w:spacing w:before="20" w:after="20" w:line="260" w:lineRule="auto"/>
              <w:ind w:firstLine="0"/>
              <w:jc w:val="center"/>
            </w:pPr>
            <w:r>
              <w:rPr>
                <w:sz w:val="20"/>
                <w:szCs w:val="20"/>
              </w:rPr>
              <w:t xml:space="preserve">16</w:t>
            </w:r>
          </w:p>
        </w:tc>
        <w:tc>
          <w:tcPr>
            <w:tcW w:type="dxa" w:w="1096"/>
            <w:vAlign w:val="center"/>
          </w:tcPr>
          <w:p>
            <w:pPr>
              <w:spacing w:before="20" w:after="20" w:line="260" w:lineRule="auto"/>
              <w:ind w:firstLine="0"/>
              <w:jc w:val="center"/>
            </w:pPr>
            <w:r>
              <w:rPr>
                <w:sz w:val="20"/>
                <w:szCs w:val="20"/>
              </w:rPr>
              <w:t xml:space="preserve">82.344</w:t>
            </w:r>
          </w:p>
        </w:tc>
        <w:tc>
          <w:tcPr>
            <w:tcW w:type="dxa" w:w="1096"/>
            <w:vAlign w:val="center"/>
          </w:tcPr>
          <w:p>
            <w:pPr>
              <w:spacing w:before="20" w:after="20" w:line="260" w:lineRule="auto"/>
              <w:ind w:firstLine="0"/>
              <w:jc w:val="center"/>
            </w:pPr>
            <w:r>
              <w:rPr>
                <w:sz w:val="20"/>
                <w:szCs w:val="20"/>
              </w:rPr>
              <w:t xml:space="preserve">105.674</w:t>
            </w:r>
          </w:p>
        </w:tc>
        <w:tc>
          <w:tcPr>
            <w:tcW w:type="dxa" w:w="1096"/>
            <w:vAlign w:val="center"/>
          </w:tcPr>
          <w:p>
            <w:pPr>
              <w:spacing w:before="20" w:after="20" w:line="260" w:lineRule="auto"/>
              <w:ind w:firstLine="0"/>
              <w:jc w:val="center"/>
            </w:pPr>
            <w:r>
              <w:rPr>
                <w:sz w:val="20"/>
                <w:szCs w:val="20"/>
              </w:rPr>
              <w:t xml:space="preserve">143.112</w:t>
            </w:r>
          </w:p>
        </w:tc>
        <w:tc>
          <w:tcPr>
            <w:tcW w:type="dxa" w:w="1397"/>
            <w:vAlign w:val="center"/>
          </w:tcPr>
          <w:p>
            <w:pPr>
              <w:spacing w:before="20" w:after="20" w:line="260" w:lineRule="auto"/>
              <w:ind w:firstLine="0"/>
              <w:jc w:val="center"/>
            </w:pPr>
            <w:r>
              <w:rPr>
                <w:sz w:val="20"/>
                <w:szCs w:val="20"/>
              </w:rPr>
              <w:t xml:space="preserve">58.573</w:t>
            </w:r>
          </w:p>
        </w:tc>
        <w:tc>
          <w:tcPr>
            <w:tcW w:type="dxa" w:w="1096"/>
            <w:vAlign w:val="center"/>
          </w:tcPr>
          <w:p>
            <w:pPr>
              <w:spacing w:before="20" w:after="20" w:line="260" w:lineRule="auto"/>
              <w:ind w:firstLine="0"/>
              <w:jc w:val="center"/>
            </w:pPr>
            <w:r>
              <w:rPr>
                <w:sz w:val="20"/>
                <w:szCs w:val="20"/>
              </w:rPr>
              <w:t xml:space="preserve">23</w:t>
            </w:r>
          </w:p>
        </w:tc>
        <w:tc>
          <w:tcPr>
            <w:tcW w:type="dxa" w:w="1096"/>
            <w:vAlign w:val="center"/>
          </w:tcPr>
          <w:p>
            <w:pPr>
              <w:spacing w:before="20" w:after="20" w:line="260" w:lineRule="auto"/>
              <w:ind w:firstLine="0"/>
              <w:jc w:val="center"/>
            </w:pPr>
            <w:r>
              <w:rPr>
                <w:sz w:val="20"/>
                <w:szCs w:val="20"/>
              </w:rPr>
              <w:t xml:space="preserve">10</w:t>
            </w:r>
          </w:p>
        </w:tc>
        <w:tc>
          <w:tcPr>
            <w:tcW w:type="dxa" w:w="1098"/>
            <w:vAlign w:val="center"/>
          </w:tcPr>
          <w:p>
            <w:pPr>
              <w:spacing w:before="20" w:after="20" w:line="260" w:lineRule="auto"/>
              <w:ind w:firstLine="0"/>
              <w:jc w:val="center"/>
            </w:pPr>
            <w:r>
              <w:rPr>
                <w:sz w:val="20"/>
                <w:szCs w:val="20"/>
              </w:rPr>
              <w:t xml:space="preserve">0</w:t>
            </w:r>
          </w:p>
        </w:tc>
      </w:tr>
      <w:tr>
        <w:trPr>
          <w:cantSplit/>
        </w:trPr>
        <w:tc>
          <w:tcPr>
            <w:tcW w:type="dxa" w:w="1096"/>
            <w:vAlign w:val="center"/>
          </w:tcPr>
          <w:p>
            <w:pPr>
              <w:spacing w:before="20" w:after="20" w:line="260" w:lineRule="auto"/>
              <w:ind w:firstLine="0"/>
              <w:jc w:val="center"/>
            </w:pPr>
            <w:r>
              <w:rPr>
                <w:sz w:val="20"/>
                <w:szCs w:val="20"/>
              </w:rPr>
              <w:t xml:space="preserve">17</w:t>
            </w:r>
          </w:p>
        </w:tc>
        <w:tc>
          <w:tcPr>
            <w:tcW w:type="dxa" w:w="1096"/>
            <w:vAlign w:val="center"/>
          </w:tcPr>
          <w:p>
            <w:pPr>
              <w:spacing w:before="20" w:after="20" w:line="260" w:lineRule="auto"/>
              <w:ind w:firstLine="0"/>
              <w:jc w:val="center"/>
            </w:pPr>
            <w:r>
              <w:rPr>
                <w:sz w:val="20"/>
                <w:szCs w:val="20"/>
              </w:rPr>
              <w:t xml:space="preserve">195.798</w:t>
            </w:r>
          </w:p>
        </w:tc>
        <w:tc>
          <w:tcPr>
            <w:tcW w:type="dxa" w:w="1096"/>
            <w:vAlign w:val="center"/>
          </w:tcPr>
          <w:p>
            <w:pPr>
              <w:spacing w:before="20" w:after="20" w:line="260" w:lineRule="auto"/>
              <w:ind w:firstLine="0"/>
              <w:jc w:val="center"/>
            </w:pPr>
            <w:r>
              <w:rPr>
                <w:sz w:val="20"/>
                <w:szCs w:val="20"/>
              </w:rPr>
              <w:t xml:space="preserve">231.002</w:t>
            </w:r>
          </w:p>
        </w:tc>
        <w:tc>
          <w:tcPr>
            <w:tcW w:type="dxa" w:w="1096"/>
            <w:vAlign w:val="center"/>
          </w:tcPr>
          <w:p>
            <w:pPr>
              <w:spacing w:before="20" w:after="20" w:line="260" w:lineRule="auto"/>
              <w:ind w:firstLine="0"/>
              <w:jc w:val="center"/>
            </w:pPr>
            <w:r>
              <w:rPr>
                <w:sz w:val="20"/>
                <w:szCs w:val="20"/>
              </w:rPr>
              <w:t xml:space="preserve">287.693</w:t>
            </w:r>
          </w:p>
        </w:tc>
        <w:tc>
          <w:tcPr>
            <w:tcW w:type="dxa" w:w="1397"/>
            <w:vAlign w:val="center"/>
          </w:tcPr>
          <w:p>
            <w:pPr>
              <w:spacing w:before="20" w:after="20" w:line="260" w:lineRule="auto"/>
              <w:ind w:firstLine="0"/>
              <w:jc w:val="center"/>
            </w:pPr>
            <w:r>
              <w:rPr>
                <w:sz w:val="20"/>
                <w:szCs w:val="20"/>
              </w:rPr>
              <w:t xml:space="preserve">102.892</w:t>
            </w:r>
          </w:p>
        </w:tc>
        <w:tc>
          <w:tcPr>
            <w:tcW w:type="dxa" w:w="1096"/>
            <w:vAlign w:val="center"/>
          </w:tcPr>
          <w:p>
            <w:pPr>
              <w:spacing w:before="20" w:after="20" w:line="260" w:lineRule="auto"/>
              <w:ind w:firstLine="0"/>
              <w:jc w:val="center"/>
            </w:pPr>
            <w:r>
              <w:rPr>
                <w:sz w:val="20"/>
                <w:szCs w:val="20"/>
              </w:rPr>
              <w:t xml:space="preserve">20</w:t>
            </w:r>
          </w:p>
        </w:tc>
        <w:tc>
          <w:tcPr>
            <w:tcW w:type="dxa" w:w="1096"/>
            <w:vAlign w:val="center"/>
          </w:tcPr>
          <w:p>
            <w:pPr>
              <w:spacing w:before="20" w:after="20" w:line="260" w:lineRule="auto"/>
              <w:ind w:firstLine="0"/>
              <w:jc w:val="center"/>
            </w:pPr>
            <w:r>
              <w:rPr>
                <w:sz w:val="20"/>
                <w:szCs w:val="20"/>
              </w:rPr>
              <w:t xml:space="preserve">10</w:t>
            </w:r>
          </w:p>
        </w:tc>
        <w:tc>
          <w:tcPr>
            <w:tcW w:type="dxa" w:w="1098"/>
            <w:vAlign w:val="center"/>
          </w:tcPr>
          <w:p>
            <w:pPr>
              <w:spacing w:before="20" w:after="20" w:line="260" w:lineRule="auto"/>
              <w:ind w:firstLine="0"/>
              <w:jc w:val="center"/>
            </w:pPr>
            <w:r>
              <w:rPr>
                <w:sz w:val="20"/>
                <w:szCs w:val="20"/>
              </w:rPr>
              <w:t xml:space="preserve">3</w:t>
            </w:r>
          </w:p>
        </w:tc>
      </w:tr>
      <w:tr>
        <w:trPr>
          <w:cantSplit/>
        </w:trPr>
        <w:tc>
          <w:tcPr>
            <w:tcW w:type="dxa" w:w="1096"/>
            <w:vAlign w:val="center"/>
          </w:tcPr>
          <w:p>
            <w:pPr>
              <w:spacing w:before="20" w:after="20" w:line="260" w:lineRule="auto"/>
              <w:ind w:firstLine="0"/>
              <w:jc w:val="center"/>
            </w:pPr>
            <w:r>
              <w:rPr>
                <w:sz w:val="20"/>
                <w:szCs w:val="20"/>
              </w:rPr>
              <w:t xml:space="preserve">18</w:t>
            </w:r>
          </w:p>
        </w:tc>
        <w:tc>
          <w:tcPr>
            <w:tcW w:type="dxa" w:w="1096"/>
            <w:vAlign w:val="center"/>
          </w:tcPr>
          <w:p>
            <w:pPr>
              <w:spacing w:before="20" w:after="20" w:line="260" w:lineRule="auto"/>
              <w:ind w:firstLine="0"/>
              <w:jc w:val="center"/>
            </w:pPr>
            <w:r>
              <w:rPr>
                <w:sz w:val="20"/>
                <w:szCs w:val="20"/>
              </w:rPr>
              <w:t xml:space="preserve">149.111</w:t>
            </w:r>
          </w:p>
        </w:tc>
        <w:tc>
          <w:tcPr>
            <w:tcW w:type="dxa" w:w="1096"/>
            <w:vAlign w:val="center"/>
          </w:tcPr>
          <w:p>
            <w:pPr>
              <w:spacing w:before="20" w:after="20" w:line="260" w:lineRule="auto"/>
              <w:ind w:firstLine="0"/>
              <w:jc w:val="center"/>
            </w:pPr>
            <w:r>
              <w:rPr>
                <w:sz w:val="20"/>
                <w:szCs w:val="20"/>
              </w:rPr>
              <w:t xml:space="preserve">182.050</w:t>
            </w:r>
          </w:p>
        </w:tc>
        <w:tc>
          <w:tcPr>
            <w:tcW w:type="dxa" w:w="1096"/>
            <w:vAlign w:val="center"/>
          </w:tcPr>
          <w:p>
            <w:pPr>
              <w:spacing w:before="20" w:after="20" w:line="260" w:lineRule="auto"/>
              <w:ind w:firstLine="0"/>
              <w:jc w:val="center"/>
            </w:pPr>
            <w:r>
              <w:rPr>
                <w:sz w:val="20"/>
                <w:szCs w:val="20"/>
              </w:rPr>
              <w:t xml:space="preserve">235.111</w:t>
            </w:r>
          </w:p>
        </w:tc>
        <w:tc>
          <w:tcPr>
            <w:tcW w:type="dxa" w:w="1397"/>
            <w:vAlign w:val="center"/>
          </w:tcPr>
          <w:p>
            <w:pPr>
              <w:spacing w:before="20" w:after="20" w:line="260" w:lineRule="auto"/>
              <w:ind w:firstLine="0"/>
              <w:jc w:val="center"/>
            </w:pPr>
            <w:r>
              <w:rPr>
                <w:sz w:val="20"/>
                <w:szCs w:val="20"/>
              </w:rPr>
              <w:t xml:space="preserve">89.471</w:t>
            </w:r>
          </w:p>
        </w:tc>
        <w:tc>
          <w:tcPr>
            <w:tcW w:type="dxa" w:w="1096"/>
            <w:vAlign w:val="center"/>
          </w:tcPr>
          <w:p>
            <w:pPr>
              <w:spacing w:before="20" w:after="20" w:line="260" w:lineRule="auto"/>
              <w:ind w:firstLine="0"/>
              <w:jc w:val="center"/>
            </w:pPr>
            <w:r>
              <w:rPr>
                <w:sz w:val="20"/>
                <w:szCs w:val="20"/>
              </w:rPr>
              <w:t xml:space="preserve">21</w:t>
            </w:r>
          </w:p>
        </w:tc>
        <w:tc>
          <w:tcPr>
            <w:tcW w:type="dxa" w:w="1096"/>
            <w:vAlign w:val="center"/>
          </w:tcPr>
          <w:p>
            <w:pPr>
              <w:spacing w:before="20" w:after="20" w:line="260" w:lineRule="auto"/>
              <w:ind w:firstLine="0"/>
              <w:jc w:val="center"/>
            </w:pPr>
            <w:r>
              <w:rPr>
                <w:sz w:val="20"/>
                <w:szCs w:val="20"/>
              </w:rPr>
              <w:t xml:space="preserve">12</w:t>
            </w:r>
          </w:p>
        </w:tc>
        <w:tc>
          <w:tcPr>
            <w:tcW w:type="dxa" w:w="1098"/>
            <w:vAlign w:val="center"/>
          </w:tcPr>
          <w:p>
            <w:pPr>
              <w:spacing w:before="20" w:after="20" w:line="260" w:lineRule="auto"/>
              <w:ind w:firstLine="0"/>
              <w:jc w:val="center"/>
            </w:pPr>
            <w:r>
              <w:rPr>
                <w:sz w:val="20"/>
                <w:szCs w:val="20"/>
              </w:rPr>
              <w:t xml:space="preserve">0</w:t>
            </w:r>
          </w:p>
        </w:tc>
      </w:tr>
      <w:tr>
        <w:trPr>
          <w:cantSplit/>
        </w:trPr>
        <w:tc>
          <w:tcPr>
            <w:tcW w:type="dxa" w:w="1096"/>
            <w:vAlign w:val="center"/>
          </w:tcPr>
          <w:p>
            <w:pPr>
              <w:spacing w:before="20" w:after="20" w:line="260" w:lineRule="auto"/>
              <w:ind w:firstLine="0"/>
              <w:jc w:val="center"/>
            </w:pPr>
            <w:r>
              <w:rPr>
                <w:sz w:val="20"/>
                <w:szCs w:val="20"/>
              </w:rPr>
              <w:t xml:space="preserve">19</w:t>
            </w:r>
          </w:p>
        </w:tc>
        <w:tc>
          <w:tcPr>
            <w:tcW w:type="dxa" w:w="1096"/>
            <w:vAlign w:val="center"/>
          </w:tcPr>
          <w:p>
            <w:pPr>
              <w:spacing w:before="20" w:after="20" w:line="260" w:lineRule="auto"/>
              <w:ind w:firstLine="0"/>
              <w:jc w:val="center"/>
            </w:pPr>
            <w:r>
              <w:rPr>
                <w:sz w:val="20"/>
                <w:szCs w:val="20"/>
              </w:rPr>
              <w:t xml:space="preserve">126.646</w:t>
            </w:r>
          </w:p>
        </w:tc>
        <w:tc>
          <w:tcPr>
            <w:tcW w:type="dxa" w:w="1096"/>
            <w:vAlign w:val="center"/>
          </w:tcPr>
          <w:p>
            <w:pPr>
              <w:spacing w:before="20" w:after="20" w:line="260" w:lineRule="auto"/>
              <w:ind w:firstLine="0"/>
              <w:jc w:val="center"/>
            </w:pPr>
            <w:r>
              <w:rPr>
                <w:sz w:val="20"/>
                <w:szCs w:val="20"/>
              </w:rPr>
              <w:t xml:space="preserve">152.458</w:t>
            </w:r>
          </w:p>
        </w:tc>
        <w:tc>
          <w:tcPr>
            <w:tcW w:type="dxa" w:w="1096"/>
            <w:vAlign w:val="center"/>
          </w:tcPr>
          <w:p>
            <w:pPr>
              <w:spacing w:before="20" w:after="20" w:line="260" w:lineRule="auto"/>
              <w:ind w:firstLine="0"/>
              <w:jc w:val="center"/>
            </w:pPr>
            <w:r>
              <w:rPr>
                <w:sz w:val="20"/>
                <w:szCs w:val="20"/>
              </w:rPr>
              <w:t xml:space="preserve">193.595</w:t>
            </w:r>
          </w:p>
        </w:tc>
        <w:tc>
          <w:tcPr>
            <w:tcW w:type="dxa" w:w="1397"/>
            <w:vAlign w:val="center"/>
          </w:tcPr>
          <w:p>
            <w:pPr>
              <w:spacing w:before="20" w:after="20" w:line="260" w:lineRule="auto"/>
              <w:ind w:firstLine="0"/>
              <w:jc w:val="center"/>
            </w:pPr>
            <w:r>
              <w:rPr>
                <w:sz w:val="20"/>
                <w:szCs w:val="20"/>
              </w:rPr>
              <w:t xml:space="preserve">71.628</w:t>
            </w:r>
          </w:p>
        </w:tc>
        <w:tc>
          <w:tcPr>
            <w:tcW w:type="dxa" w:w="1096"/>
            <w:vAlign w:val="center"/>
          </w:tcPr>
          <w:p>
            <w:pPr>
              <w:spacing w:before="20" w:after="20" w:line="260" w:lineRule="auto"/>
              <w:ind w:firstLine="0"/>
              <w:jc w:val="center"/>
            </w:pPr>
            <w:r>
              <w:rPr>
                <w:sz w:val="20"/>
                <w:szCs w:val="20"/>
              </w:rPr>
              <w:t xml:space="preserve">21</w:t>
            </w:r>
          </w:p>
        </w:tc>
        <w:tc>
          <w:tcPr>
            <w:tcW w:type="dxa" w:w="1096"/>
            <w:vAlign w:val="center"/>
          </w:tcPr>
          <w:p>
            <w:pPr>
              <w:spacing w:before="20" w:after="20" w:line="260" w:lineRule="auto"/>
              <w:ind w:firstLine="0"/>
              <w:jc w:val="center"/>
            </w:pPr>
            <w:r>
              <w:rPr>
                <w:sz w:val="20"/>
                <w:szCs w:val="20"/>
              </w:rPr>
              <w:t xml:space="preserve">11</w:t>
            </w:r>
          </w:p>
        </w:tc>
        <w:tc>
          <w:tcPr>
            <w:tcW w:type="dxa" w:w="1098"/>
            <w:vAlign w:val="center"/>
          </w:tcPr>
          <w:p>
            <w:pPr>
              <w:spacing w:before="20" w:after="20" w:line="260" w:lineRule="auto"/>
              <w:ind w:firstLine="0"/>
              <w:jc w:val="center"/>
            </w:pPr>
            <w:r>
              <w:rPr>
                <w:sz w:val="20"/>
                <w:szCs w:val="20"/>
              </w:rPr>
              <w:t xml:space="preserve">1</w:t>
            </w:r>
          </w:p>
        </w:tc>
      </w:tr>
      <w:tr>
        <w:trPr>
          <w:cantSplit/>
        </w:trPr>
        <w:tc>
          <w:tcPr>
            <w:tcW w:type="dxa" w:w="1096"/>
            <w:vAlign w:val="center"/>
          </w:tcPr>
          <w:p>
            <w:pPr>
              <w:spacing w:before="20" w:after="20" w:line="260" w:lineRule="auto"/>
              <w:ind w:firstLine="0"/>
              <w:jc w:val="center"/>
            </w:pPr>
            <w:r>
              <w:rPr>
                <w:sz w:val="20"/>
                <w:szCs w:val="20"/>
              </w:rPr>
              <w:t xml:space="preserve">20</w:t>
            </w:r>
          </w:p>
        </w:tc>
        <w:tc>
          <w:tcPr>
            <w:tcW w:type="dxa" w:w="1096"/>
            <w:vAlign w:val="center"/>
          </w:tcPr>
          <w:p>
            <w:pPr>
              <w:spacing w:before="20" w:after="20" w:line="260" w:lineRule="auto"/>
              <w:ind w:firstLine="0"/>
              <w:jc w:val="center"/>
            </w:pPr>
            <w:r>
              <w:rPr>
                <w:sz w:val="20"/>
                <w:szCs w:val="20"/>
              </w:rPr>
              <w:t xml:space="preserve">218.234</w:t>
            </w:r>
          </w:p>
        </w:tc>
        <w:tc>
          <w:tcPr>
            <w:tcW w:type="dxa" w:w="1096"/>
            <w:vAlign w:val="center"/>
          </w:tcPr>
          <w:p>
            <w:pPr>
              <w:spacing w:before="20" w:after="20" w:line="260" w:lineRule="auto"/>
              <w:ind w:firstLine="0"/>
              <w:jc w:val="center"/>
            </w:pPr>
            <w:r>
              <w:rPr>
                <w:sz w:val="20"/>
                <w:szCs w:val="20"/>
              </w:rPr>
              <w:t xml:space="preserve">255.375</w:t>
            </w:r>
          </w:p>
        </w:tc>
        <w:tc>
          <w:tcPr>
            <w:tcW w:type="dxa" w:w="1096"/>
            <w:vAlign w:val="center"/>
          </w:tcPr>
          <w:p>
            <w:pPr>
              <w:spacing w:before="20" w:after="20" w:line="260" w:lineRule="auto"/>
              <w:ind w:firstLine="0"/>
              <w:jc w:val="center"/>
            </w:pPr>
            <w:r>
              <w:rPr>
                <w:sz w:val="20"/>
                <w:szCs w:val="20"/>
              </w:rPr>
              <w:t xml:space="preserve">314.599</w:t>
            </w:r>
          </w:p>
        </w:tc>
        <w:tc>
          <w:tcPr>
            <w:tcW w:type="dxa" w:w="1397"/>
            <w:vAlign w:val="center"/>
          </w:tcPr>
          <w:p>
            <w:pPr>
              <w:spacing w:before="20" w:after="20" w:line="260" w:lineRule="auto"/>
              <w:ind w:firstLine="0"/>
              <w:jc w:val="center"/>
            </w:pPr>
            <w:r>
              <w:rPr>
                <w:sz w:val="20"/>
                <w:szCs w:val="20"/>
              </w:rPr>
              <w:t xml:space="preserve">110.300</w:t>
            </w:r>
          </w:p>
        </w:tc>
        <w:tc>
          <w:tcPr>
            <w:tcW w:type="dxa" w:w="1096"/>
            <w:vAlign w:val="center"/>
          </w:tcPr>
          <w:p>
            <w:pPr>
              <w:spacing w:before="20" w:after="20" w:line="260" w:lineRule="auto"/>
              <w:ind w:firstLine="0"/>
              <w:jc w:val="center"/>
            </w:pPr>
            <w:r>
              <w:rPr>
                <w:sz w:val="20"/>
                <w:szCs w:val="20"/>
              </w:rPr>
              <w:t xml:space="preserve">20</w:t>
            </w:r>
          </w:p>
        </w:tc>
        <w:tc>
          <w:tcPr>
            <w:tcW w:type="dxa" w:w="1096"/>
            <w:vAlign w:val="center"/>
          </w:tcPr>
          <w:p>
            <w:pPr>
              <w:spacing w:before="20" w:after="20" w:line="260" w:lineRule="auto"/>
              <w:ind w:firstLine="0"/>
              <w:jc w:val="center"/>
            </w:pPr>
            <w:r>
              <w:rPr>
                <w:sz w:val="20"/>
                <w:szCs w:val="20"/>
              </w:rPr>
              <w:t xml:space="preserve">11</w:t>
            </w:r>
          </w:p>
        </w:tc>
        <w:tc>
          <w:tcPr>
            <w:tcW w:type="dxa" w:w="1098"/>
            <w:vAlign w:val="center"/>
          </w:tcPr>
          <w:p>
            <w:pPr>
              <w:spacing w:before="20" w:after="20" w:line="260" w:lineRule="auto"/>
              <w:ind w:firstLine="0"/>
              <w:jc w:val="center"/>
            </w:pPr>
            <w:r>
              <w:rPr>
                <w:sz w:val="20"/>
                <w:szCs w:val="20"/>
              </w:rPr>
              <w:t xml:space="preserve">2</w:t>
            </w:r>
          </w:p>
        </w:tc>
      </w:tr>
      <w:tr>
        <w:trPr>
          <w:cantSplit/>
        </w:trPr>
        <w:tc>
          <w:tcPr>
            <w:tcW w:type="dxa" w:w="1096"/>
            <w:vAlign w:val="center"/>
          </w:tcPr>
          <w:p>
            <w:pPr>
              <w:spacing w:before="20" w:after="20" w:line="260" w:lineRule="auto"/>
              <w:ind w:firstLine="0"/>
              <w:jc w:val="center"/>
            </w:pPr>
            <w:r>
              <w:rPr>
                <w:sz w:val="20"/>
                <w:szCs w:val="20"/>
              </w:rPr>
              <w:t xml:space="preserve">21</w:t>
            </w:r>
          </w:p>
        </w:tc>
        <w:tc>
          <w:tcPr>
            <w:tcW w:type="dxa" w:w="1096"/>
            <w:vAlign w:val="center"/>
          </w:tcPr>
          <w:p>
            <w:pPr>
              <w:spacing w:before="20" w:after="20" w:line="260" w:lineRule="auto"/>
              <w:ind w:firstLine="0"/>
              <w:jc w:val="center"/>
            </w:pPr>
            <w:r>
              <w:rPr>
                <w:sz w:val="20"/>
                <w:szCs w:val="20"/>
              </w:rPr>
              <w:t xml:space="preserve">180.875</w:t>
            </w:r>
          </w:p>
        </w:tc>
        <w:tc>
          <w:tcPr>
            <w:tcW w:type="dxa" w:w="1096"/>
            <w:vAlign w:val="center"/>
          </w:tcPr>
          <w:p>
            <w:pPr>
              <w:spacing w:before="20" w:after="20" w:line="260" w:lineRule="auto"/>
              <w:ind w:firstLine="0"/>
              <w:jc w:val="center"/>
            </w:pPr>
            <w:r>
              <w:rPr>
                <w:sz w:val="20"/>
                <w:szCs w:val="20"/>
              </w:rPr>
              <w:t xml:space="preserve">216.970</w:t>
            </w:r>
          </w:p>
        </w:tc>
        <w:tc>
          <w:tcPr>
            <w:tcW w:type="dxa" w:w="1096"/>
            <w:vAlign w:val="center"/>
          </w:tcPr>
          <w:p>
            <w:pPr>
              <w:spacing w:before="20" w:after="20" w:line="260" w:lineRule="auto"/>
              <w:ind w:firstLine="0"/>
              <w:jc w:val="center"/>
            </w:pPr>
            <w:r>
              <w:rPr>
                <w:sz w:val="20"/>
                <w:szCs w:val="20"/>
              </w:rPr>
              <w:t xml:space="preserve">275.645</w:t>
            </w:r>
          </w:p>
        </w:tc>
        <w:tc>
          <w:tcPr>
            <w:tcW w:type="dxa" w:w="1397"/>
            <w:vAlign w:val="center"/>
          </w:tcPr>
          <w:p>
            <w:pPr>
              <w:spacing w:before="20" w:after="20" w:line="260" w:lineRule="auto"/>
              <w:ind w:firstLine="0"/>
              <w:jc w:val="center"/>
            </w:pPr>
            <w:r>
              <w:rPr>
                <w:sz w:val="20"/>
                <w:szCs w:val="20"/>
              </w:rPr>
              <w:t xml:space="preserve">102.069</w:t>
            </w:r>
          </w:p>
        </w:tc>
        <w:tc>
          <w:tcPr>
            <w:tcW w:type="dxa" w:w="1096"/>
            <w:vAlign w:val="center"/>
          </w:tcPr>
          <w:p>
            <w:pPr>
              <w:spacing w:before="20" w:after="20" w:line="260" w:lineRule="auto"/>
              <w:ind w:firstLine="0"/>
              <w:jc w:val="center"/>
            </w:pPr>
            <w:r>
              <w:rPr>
                <w:sz w:val="20"/>
                <w:szCs w:val="20"/>
              </w:rPr>
              <w:t xml:space="preserve">18</w:t>
            </w:r>
          </w:p>
        </w:tc>
        <w:tc>
          <w:tcPr>
            <w:tcW w:type="dxa" w:w="1096"/>
            <w:vAlign w:val="center"/>
          </w:tcPr>
          <w:p>
            <w:pPr>
              <w:spacing w:before="20" w:after="20" w:line="260" w:lineRule="auto"/>
              <w:ind w:firstLine="0"/>
              <w:jc w:val="center"/>
            </w:pPr>
            <w:r>
              <w:rPr>
                <w:sz w:val="20"/>
                <w:szCs w:val="20"/>
              </w:rPr>
              <w:t xml:space="preserve">14</w:t>
            </w:r>
          </w:p>
        </w:tc>
        <w:tc>
          <w:tcPr>
            <w:tcW w:type="dxa" w:w="1098"/>
            <w:vAlign w:val="center"/>
          </w:tcPr>
          <w:p>
            <w:pPr>
              <w:spacing w:before="20" w:after="20" w:line="260" w:lineRule="auto"/>
              <w:ind w:firstLine="0"/>
              <w:jc w:val="center"/>
            </w:pPr>
            <w:r>
              <w:rPr>
                <w:sz w:val="20"/>
                <w:szCs w:val="20"/>
              </w:rPr>
              <w:t xml:space="preserve">1</w:t>
            </w:r>
          </w:p>
        </w:tc>
      </w:tr>
      <w:tr>
        <w:trPr>
          <w:cantSplit/>
        </w:trPr>
        <w:tc>
          <w:tcPr>
            <w:tcW w:type="dxa" w:w="1096"/>
            <w:vAlign w:val="center"/>
          </w:tcPr>
          <w:p>
            <w:pPr>
              <w:spacing w:before="20" w:after="20" w:line="260" w:lineRule="auto"/>
              <w:ind w:firstLine="0"/>
              <w:jc w:val="center"/>
            </w:pPr>
            <w:r>
              <w:rPr>
                <w:sz w:val="20"/>
                <w:szCs w:val="20"/>
              </w:rPr>
              <w:t xml:space="preserve">22</w:t>
            </w:r>
          </w:p>
        </w:tc>
        <w:tc>
          <w:tcPr>
            <w:tcW w:type="dxa" w:w="1096"/>
            <w:vAlign w:val="center"/>
          </w:tcPr>
          <w:p>
            <w:pPr>
              <w:spacing w:before="20" w:after="20" w:line="260" w:lineRule="auto"/>
              <w:ind w:firstLine="0"/>
              <w:jc w:val="center"/>
            </w:pPr>
            <w:r>
              <w:rPr>
                <w:sz w:val="20"/>
                <w:szCs w:val="20"/>
              </w:rPr>
              <w:t xml:space="preserve">89.064</w:t>
            </w:r>
          </w:p>
        </w:tc>
        <w:tc>
          <w:tcPr>
            <w:tcW w:type="dxa" w:w="1096"/>
            <w:vAlign w:val="center"/>
          </w:tcPr>
          <w:p>
            <w:pPr>
              <w:spacing w:before="20" w:after="20" w:line="260" w:lineRule="auto"/>
              <w:ind w:firstLine="0"/>
              <w:jc w:val="center"/>
            </w:pPr>
            <w:r>
              <w:rPr>
                <w:sz w:val="20"/>
                <w:szCs w:val="20"/>
              </w:rPr>
              <w:t xml:space="preserve">113.626</w:t>
            </w:r>
          </w:p>
        </w:tc>
        <w:tc>
          <w:tcPr>
            <w:tcW w:type="dxa" w:w="1096"/>
            <w:vAlign w:val="center"/>
          </w:tcPr>
          <w:p>
            <w:pPr>
              <w:spacing w:before="20" w:after="20" w:line="260" w:lineRule="auto"/>
              <w:ind w:firstLine="0"/>
              <w:jc w:val="center"/>
            </w:pPr>
            <w:r>
              <w:rPr>
                <w:sz w:val="20"/>
                <w:szCs w:val="20"/>
              </w:rPr>
              <w:t xml:space="preserve">152.689</w:t>
            </w:r>
          </w:p>
        </w:tc>
        <w:tc>
          <w:tcPr>
            <w:tcW w:type="dxa" w:w="1397"/>
            <w:vAlign w:val="center"/>
          </w:tcPr>
          <w:p>
            <w:pPr>
              <w:spacing w:before="20" w:after="20" w:line="260" w:lineRule="auto"/>
              <w:ind w:firstLine="0"/>
              <w:jc w:val="center"/>
            </w:pPr>
            <w:r>
              <w:rPr>
                <w:sz w:val="20"/>
                <w:szCs w:val="20"/>
              </w:rPr>
              <w:t xml:space="preserve">61.789</w:t>
            </w:r>
          </w:p>
        </w:tc>
        <w:tc>
          <w:tcPr>
            <w:tcW w:type="dxa" w:w="1096"/>
            <w:vAlign w:val="center"/>
          </w:tcPr>
          <w:p>
            <w:pPr>
              <w:spacing w:before="20" w:after="20" w:line="260" w:lineRule="auto"/>
              <w:ind w:firstLine="0"/>
              <w:jc w:val="center"/>
            </w:pPr>
            <w:r>
              <w:rPr>
                <w:sz w:val="20"/>
                <w:szCs w:val="20"/>
              </w:rPr>
              <w:t xml:space="preserve">23</w:t>
            </w:r>
          </w:p>
        </w:tc>
        <w:tc>
          <w:tcPr>
            <w:tcW w:type="dxa" w:w="1096"/>
            <w:vAlign w:val="center"/>
          </w:tcPr>
          <w:p>
            <w:pPr>
              <w:spacing w:before="20" w:after="20" w:line="260" w:lineRule="auto"/>
              <w:ind w:firstLine="0"/>
              <w:jc w:val="center"/>
            </w:pPr>
            <w:r>
              <w:rPr>
                <w:sz w:val="20"/>
                <w:szCs w:val="20"/>
              </w:rPr>
              <w:t xml:space="preserve">10</w:t>
            </w:r>
          </w:p>
        </w:tc>
        <w:tc>
          <w:tcPr>
            <w:tcW w:type="dxa" w:w="1098"/>
            <w:vAlign w:val="center"/>
          </w:tcPr>
          <w:p>
            <w:pPr>
              <w:spacing w:before="20" w:after="20" w:line="260" w:lineRule="auto"/>
              <w:ind w:firstLine="0"/>
              <w:jc w:val="center"/>
            </w:pPr>
            <w:r>
              <w:rPr>
                <w:sz w:val="20"/>
                <w:szCs w:val="20"/>
              </w:rPr>
              <w:t xml:space="preserve">0</w:t>
            </w:r>
          </w:p>
        </w:tc>
      </w:tr>
      <w:tr>
        <w:trPr>
          <w:cantSplit/>
        </w:trPr>
        <w:tc>
          <w:tcPr>
            <w:tcW w:type="dxa" w:w="1096"/>
            <w:vAlign w:val="center"/>
          </w:tcPr>
          <w:p>
            <w:pPr>
              <w:spacing w:before="20" w:after="20" w:line="260" w:lineRule="auto"/>
              <w:ind w:firstLine="0"/>
              <w:jc w:val="center"/>
            </w:pPr>
            <w:r>
              <w:rPr>
                <w:sz w:val="20"/>
                <w:szCs w:val="20"/>
              </w:rPr>
              <w:t xml:space="preserve">23</w:t>
            </w:r>
          </w:p>
        </w:tc>
        <w:tc>
          <w:tcPr>
            <w:tcW w:type="dxa" w:w="1096"/>
            <w:vAlign w:val="center"/>
          </w:tcPr>
          <w:p>
            <w:pPr>
              <w:spacing w:before="20" w:after="20" w:line="260" w:lineRule="auto"/>
              <w:ind w:firstLine="0"/>
              <w:jc w:val="center"/>
            </w:pPr>
            <w:r>
              <w:rPr>
                <w:sz w:val="20"/>
                <w:szCs w:val="20"/>
              </w:rPr>
              <w:t xml:space="preserve">103.495</w:t>
            </w:r>
          </w:p>
        </w:tc>
        <w:tc>
          <w:tcPr>
            <w:tcW w:type="dxa" w:w="1096"/>
            <w:vAlign w:val="center"/>
          </w:tcPr>
          <w:p>
            <w:pPr>
              <w:spacing w:before="20" w:after="20" w:line="260" w:lineRule="auto"/>
              <w:ind w:firstLine="0"/>
              <w:jc w:val="center"/>
            </w:pPr>
            <w:r>
              <w:rPr>
                <w:sz w:val="20"/>
                <w:szCs w:val="20"/>
              </w:rPr>
              <w:t xml:space="preserve">133.281</w:t>
            </w:r>
          </w:p>
        </w:tc>
        <w:tc>
          <w:tcPr>
            <w:tcW w:type="dxa" w:w="1096"/>
            <w:vAlign w:val="center"/>
          </w:tcPr>
          <w:p>
            <w:pPr>
              <w:spacing w:before="20" w:after="20" w:line="260" w:lineRule="auto"/>
              <w:ind w:firstLine="0"/>
              <w:jc w:val="center"/>
            </w:pPr>
            <w:r>
              <w:rPr>
                <w:sz w:val="20"/>
                <w:szCs w:val="20"/>
              </w:rPr>
              <w:t xml:space="preserve">181.003</w:t>
            </w:r>
          </w:p>
        </w:tc>
        <w:tc>
          <w:tcPr>
            <w:tcW w:type="dxa" w:w="1397"/>
            <w:vAlign w:val="center"/>
          </w:tcPr>
          <w:p>
            <w:pPr>
              <w:spacing w:before="20" w:after="20" w:line="260" w:lineRule="auto"/>
              <w:ind w:firstLine="0"/>
              <w:jc w:val="center"/>
            </w:pPr>
            <w:r>
              <w:rPr>
                <w:sz w:val="20"/>
                <w:szCs w:val="20"/>
              </w:rPr>
              <w:t xml:space="preserve">74.378</w:t>
            </w:r>
          </w:p>
        </w:tc>
        <w:tc>
          <w:tcPr>
            <w:tcW w:type="dxa" w:w="1096"/>
            <w:vAlign w:val="center"/>
          </w:tcPr>
          <w:p>
            <w:pPr>
              <w:spacing w:before="20" w:after="20" w:line="260" w:lineRule="auto"/>
              <w:ind w:firstLine="0"/>
              <w:jc w:val="center"/>
            </w:pPr>
            <w:r>
              <w:rPr>
                <w:sz w:val="20"/>
                <w:szCs w:val="20"/>
              </w:rPr>
              <w:t xml:space="preserve">22</w:t>
            </w:r>
          </w:p>
        </w:tc>
        <w:tc>
          <w:tcPr>
            <w:tcW w:type="dxa" w:w="1096"/>
            <w:vAlign w:val="center"/>
          </w:tcPr>
          <w:p>
            <w:pPr>
              <w:spacing w:before="20" w:after="20" w:line="260" w:lineRule="auto"/>
              <w:ind w:firstLine="0"/>
              <w:jc w:val="center"/>
            </w:pPr>
            <w:r>
              <w:rPr>
                <w:sz w:val="20"/>
                <w:szCs w:val="20"/>
              </w:rPr>
              <w:t xml:space="preserve">11</w:t>
            </w:r>
          </w:p>
        </w:tc>
        <w:tc>
          <w:tcPr>
            <w:tcW w:type="dxa" w:w="1098"/>
            <w:vAlign w:val="center"/>
          </w:tcPr>
          <w:p>
            <w:pPr>
              <w:spacing w:before="20" w:after="20" w:line="260" w:lineRule="auto"/>
              <w:ind w:firstLine="0"/>
              <w:jc w:val="center"/>
            </w:pPr>
            <w:r>
              <w:rPr>
                <w:sz w:val="20"/>
                <w:szCs w:val="20"/>
              </w:rPr>
              <w:t xml:space="preserve">0</w:t>
            </w:r>
          </w:p>
        </w:tc>
      </w:tr>
      <w:tr>
        <w:trPr>
          <w:cantSplit/>
        </w:trPr>
        <w:tc>
          <w:tcPr>
            <w:tcW w:type="dxa" w:w="1096"/>
            <w:vAlign w:val="center"/>
          </w:tcPr>
          <w:p>
            <w:pPr>
              <w:spacing w:before="20" w:after="20" w:line="260" w:lineRule="auto"/>
              <w:ind w:firstLine="0"/>
              <w:jc w:val="center"/>
            </w:pPr>
            <w:r>
              <w:rPr>
                <w:sz w:val="20"/>
                <w:szCs w:val="20"/>
              </w:rPr>
              <w:t xml:space="preserve">24</w:t>
            </w:r>
          </w:p>
        </w:tc>
        <w:tc>
          <w:tcPr>
            <w:tcW w:type="dxa" w:w="1096"/>
            <w:vAlign w:val="center"/>
          </w:tcPr>
          <w:p>
            <w:pPr>
              <w:spacing w:before="20" w:after="20" w:line="260" w:lineRule="auto"/>
              <w:ind w:firstLine="0"/>
              <w:jc w:val="center"/>
            </w:pPr>
            <w:r>
              <w:rPr>
                <w:sz w:val="20"/>
                <w:szCs w:val="20"/>
              </w:rPr>
              <w:t xml:space="preserve">240.573</w:t>
            </w:r>
          </w:p>
        </w:tc>
        <w:tc>
          <w:tcPr>
            <w:tcW w:type="dxa" w:w="1096"/>
            <w:vAlign w:val="center"/>
          </w:tcPr>
          <w:p>
            <w:pPr>
              <w:spacing w:before="20" w:after="20" w:line="260" w:lineRule="auto"/>
              <w:ind w:firstLine="0"/>
              <w:jc w:val="center"/>
            </w:pPr>
            <w:r>
              <w:rPr>
                <w:sz w:val="20"/>
                <w:szCs w:val="20"/>
              </w:rPr>
              <w:t xml:space="preserve">283.608</w:t>
            </w:r>
          </w:p>
        </w:tc>
        <w:tc>
          <w:tcPr>
            <w:tcW w:type="dxa" w:w="1096"/>
            <w:vAlign w:val="center"/>
          </w:tcPr>
          <w:p>
            <w:pPr>
              <w:spacing w:before="20" w:after="20" w:line="260" w:lineRule="auto"/>
              <w:ind w:firstLine="0"/>
              <w:jc w:val="center"/>
            </w:pPr>
            <w:r>
              <w:rPr>
                <w:sz w:val="20"/>
                <w:szCs w:val="20"/>
              </w:rPr>
              <w:t xml:space="preserve">354.397</w:t>
            </w:r>
          </w:p>
        </w:tc>
        <w:tc>
          <w:tcPr>
            <w:tcW w:type="dxa" w:w="1397"/>
            <w:vAlign w:val="center"/>
          </w:tcPr>
          <w:p>
            <w:pPr>
              <w:spacing w:before="20" w:after="20" w:line="260" w:lineRule="auto"/>
              <w:ind w:firstLine="0"/>
              <w:jc w:val="center"/>
            </w:pPr>
            <w:r>
              <w:rPr>
                <w:sz w:val="20"/>
                <w:szCs w:val="20"/>
              </w:rPr>
              <w:t xml:space="preserve">127.510</w:t>
            </w:r>
          </w:p>
        </w:tc>
        <w:tc>
          <w:tcPr>
            <w:tcW w:type="dxa" w:w="1096"/>
            <w:vAlign w:val="center"/>
          </w:tcPr>
          <w:p>
            <w:pPr>
              <w:spacing w:before="20" w:after="20" w:line="260" w:lineRule="auto"/>
              <w:ind w:firstLine="0"/>
              <w:jc w:val="center"/>
            </w:pPr>
            <w:r>
              <w:rPr>
                <w:sz w:val="20"/>
                <w:szCs w:val="20"/>
              </w:rPr>
              <w:t xml:space="preserve">18</w:t>
            </w:r>
          </w:p>
        </w:tc>
        <w:tc>
          <w:tcPr>
            <w:tcW w:type="dxa" w:w="1096"/>
            <w:vAlign w:val="center"/>
          </w:tcPr>
          <w:p>
            <w:pPr>
              <w:spacing w:before="20" w:after="20" w:line="260" w:lineRule="auto"/>
              <w:ind w:firstLine="0"/>
              <w:jc w:val="center"/>
            </w:pPr>
            <w:r>
              <w:rPr>
                <w:sz w:val="20"/>
                <w:szCs w:val="20"/>
              </w:rPr>
              <w:t xml:space="preserve">12</w:t>
            </w:r>
          </w:p>
        </w:tc>
        <w:tc>
          <w:tcPr>
            <w:tcW w:type="dxa" w:w="1098"/>
            <w:vAlign w:val="center"/>
          </w:tcPr>
          <w:p>
            <w:pPr>
              <w:spacing w:before="20" w:after="20" w:line="260" w:lineRule="auto"/>
              <w:ind w:firstLine="0"/>
              <w:jc w:val="center"/>
            </w:pPr>
            <w:r>
              <w:rPr>
                <w:sz w:val="20"/>
                <w:szCs w:val="20"/>
              </w:rPr>
              <w:t xml:space="preserve">3</w:t>
            </w:r>
          </w:p>
        </w:tc>
      </w:tr>
      <w:tr>
        <w:trPr>
          <w:cantSplit/>
        </w:trPr>
        <w:tc>
          <w:tcPr>
            <w:tcW w:type="dxa" w:w="1096"/>
            <w:vAlign w:val="center"/>
          </w:tcPr>
          <w:p>
            <w:pPr>
              <w:spacing w:before="20" w:after="20" w:line="260" w:lineRule="auto"/>
              <w:ind w:firstLine="0"/>
              <w:jc w:val="center"/>
            </w:pPr>
            <w:r>
              <w:rPr>
                <w:sz w:val="20"/>
                <w:szCs w:val="20"/>
              </w:rPr>
              <w:t xml:space="preserve">25</w:t>
            </w:r>
          </w:p>
        </w:tc>
        <w:tc>
          <w:tcPr>
            <w:tcW w:type="dxa" w:w="1096"/>
            <w:vAlign w:val="center"/>
          </w:tcPr>
          <w:p>
            <w:pPr>
              <w:spacing w:before="20" w:after="20" w:line="260" w:lineRule="auto"/>
              <w:ind w:firstLine="0"/>
              <w:jc w:val="center"/>
            </w:pPr>
            <w:r>
              <w:rPr>
                <w:sz w:val="20"/>
                <w:szCs w:val="20"/>
              </w:rPr>
              <w:t xml:space="preserve">92.928</w:t>
            </w:r>
          </w:p>
        </w:tc>
        <w:tc>
          <w:tcPr>
            <w:tcW w:type="dxa" w:w="1096"/>
            <w:vAlign w:val="center"/>
          </w:tcPr>
          <w:p>
            <w:pPr>
              <w:spacing w:before="20" w:after="20" w:line="260" w:lineRule="auto"/>
              <w:ind w:firstLine="0"/>
              <w:jc w:val="center"/>
            </w:pPr>
            <w:r>
              <w:rPr>
                <w:sz w:val="20"/>
                <w:szCs w:val="20"/>
              </w:rPr>
              <w:t xml:space="preserve">121.669</w:t>
            </w:r>
          </w:p>
        </w:tc>
        <w:tc>
          <w:tcPr>
            <w:tcW w:type="dxa" w:w="1096"/>
            <w:vAlign w:val="center"/>
          </w:tcPr>
          <w:p>
            <w:pPr>
              <w:spacing w:before="20" w:after="20" w:line="260" w:lineRule="auto"/>
              <w:ind w:firstLine="0"/>
              <w:jc w:val="center"/>
            </w:pPr>
            <w:r>
              <w:rPr>
                <w:sz w:val="20"/>
                <w:szCs w:val="20"/>
              </w:rPr>
              <w:t xml:space="preserve">168.125</w:t>
            </w:r>
          </w:p>
        </w:tc>
        <w:tc>
          <w:tcPr>
            <w:tcW w:type="dxa" w:w="1397"/>
            <w:vAlign w:val="center"/>
          </w:tcPr>
          <w:p>
            <w:pPr>
              <w:spacing w:before="20" w:after="20" w:line="260" w:lineRule="auto"/>
              <w:ind w:firstLine="0"/>
              <w:jc w:val="center"/>
            </w:pPr>
            <w:r>
              <w:rPr>
                <w:sz w:val="20"/>
                <w:szCs w:val="20"/>
              </w:rPr>
              <w:t xml:space="preserve">70.789</w:t>
            </w:r>
          </w:p>
        </w:tc>
        <w:tc>
          <w:tcPr>
            <w:tcW w:type="dxa" w:w="1096"/>
            <w:vAlign w:val="center"/>
          </w:tcPr>
          <w:p>
            <w:pPr>
              <w:spacing w:before="20" w:after="20" w:line="260" w:lineRule="auto"/>
              <w:ind w:firstLine="0"/>
              <w:jc w:val="center"/>
            </w:pPr>
            <w:r>
              <w:rPr>
                <w:sz w:val="20"/>
                <w:szCs w:val="20"/>
              </w:rPr>
              <w:t xml:space="preserve">20</w:t>
            </w:r>
          </w:p>
        </w:tc>
        <w:tc>
          <w:tcPr>
            <w:tcW w:type="dxa" w:w="1096"/>
            <w:vAlign w:val="center"/>
          </w:tcPr>
          <w:p>
            <w:pPr>
              <w:spacing w:before="20" w:after="20" w:line="260" w:lineRule="auto"/>
              <w:ind w:firstLine="0"/>
              <w:jc w:val="center"/>
            </w:pPr>
            <w:r>
              <w:rPr>
                <w:sz w:val="20"/>
                <w:szCs w:val="20"/>
              </w:rPr>
              <w:t xml:space="preserve">13</w:t>
            </w:r>
          </w:p>
        </w:tc>
        <w:tc>
          <w:tcPr>
            <w:tcW w:type="dxa" w:w="1098"/>
            <w:vAlign w:val="center"/>
          </w:tcPr>
          <w:p>
            <w:pPr>
              <w:spacing w:before="20" w:after="20" w:line="260" w:lineRule="auto"/>
              <w:ind w:firstLine="0"/>
              <w:jc w:val="center"/>
            </w:pPr>
            <w:r>
              <w:rPr>
                <w:sz w:val="20"/>
                <w:szCs w:val="20"/>
              </w:rPr>
              <w:t xml:space="preserve">0</w:t>
            </w:r>
          </w:p>
        </w:tc>
      </w:tr>
      <w:tr>
        <w:trPr>
          <w:cantSplit/>
        </w:trPr>
        <w:tc>
          <w:tcPr>
            <w:tcW w:type="dxa" w:w="1096"/>
            <w:vAlign w:val="center"/>
          </w:tcPr>
          <w:p>
            <w:pPr>
              <w:spacing w:before="20" w:after="20" w:line="260" w:lineRule="auto"/>
              <w:ind w:firstLine="0"/>
              <w:jc w:val="center"/>
            </w:pPr>
            <w:r>
              <w:rPr>
                <w:sz w:val="20"/>
                <w:szCs w:val="20"/>
              </w:rPr>
              <w:t xml:space="preserve">26</w:t>
            </w:r>
          </w:p>
        </w:tc>
        <w:tc>
          <w:tcPr>
            <w:tcW w:type="dxa" w:w="1096"/>
            <w:vAlign w:val="center"/>
          </w:tcPr>
          <w:p>
            <w:pPr>
              <w:spacing w:before="20" w:after="20" w:line="260" w:lineRule="auto"/>
              <w:ind w:firstLine="0"/>
              <w:jc w:val="center"/>
            </w:pPr>
            <w:r>
              <w:rPr>
                <w:sz w:val="20"/>
                <w:szCs w:val="20"/>
              </w:rPr>
              <w:t xml:space="preserve">65.028</w:t>
            </w:r>
          </w:p>
        </w:tc>
        <w:tc>
          <w:tcPr>
            <w:tcW w:type="dxa" w:w="1096"/>
            <w:vAlign w:val="center"/>
          </w:tcPr>
          <w:p>
            <w:pPr>
              <w:spacing w:before="20" w:after="20" w:line="260" w:lineRule="auto"/>
              <w:ind w:firstLine="0"/>
              <w:jc w:val="center"/>
            </w:pPr>
            <w:r>
              <w:rPr>
                <w:sz w:val="20"/>
                <w:szCs w:val="20"/>
              </w:rPr>
              <w:t xml:space="preserve">84.233</w:t>
            </w:r>
          </w:p>
        </w:tc>
        <w:tc>
          <w:tcPr>
            <w:tcW w:type="dxa" w:w="1096"/>
            <w:vAlign w:val="center"/>
          </w:tcPr>
          <w:p>
            <w:pPr>
              <w:spacing w:before="20" w:after="20" w:line="260" w:lineRule="auto"/>
              <w:ind w:firstLine="0"/>
              <w:jc w:val="center"/>
            </w:pPr>
            <w:r>
              <w:rPr>
                <w:sz w:val="20"/>
                <w:szCs w:val="20"/>
              </w:rPr>
              <w:t xml:space="preserve">113.240</w:t>
            </w:r>
          </w:p>
        </w:tc>
        <w:tc>
          <w:tcPr>
            <w:tcW w:type="dxa" w:w="1397"/>
            <w:vAlign w:val="center"/>
          </w:tcPr>
          <w:p>
            <w:pPr>
              <w:spacing w:before="20" w:after="20" w:line="260" w:lineRule="auto"/>
              <w:ind w:firstLine="0"/>
              <w:jc w:val="center"/>
            </w:pPr>
            <w:r>
              <w:rPr>
                <w:sz w:val="20"/>
                <w:szCs w:val="20"/>
              </w:rPr>
              <w:t xml:space="preserve">45.854</w:t>
            </w:r>
          </w:p>
        </w:tc>
        <w:tc>
          <w:tcPr>
            <w:tcW w:type="dxa" w:w="1096"/>
            <w:vAlign w:val="center"/>
          </w:tcPr>
          <w:p>
            <w:pPr>
              <w:spacing w:before="20" w:after="20" w:line="260" w:lineRule="auto"/>
              <w:ind w:firstLine="0"/>
              <w:jc w:val="center"/>
            </w:pPr>
            <w:r>
              <w:rPr>
                <w:sz w:val="20"/>
                <w:szCs w:val="20"/>
              </w:rPr>
              <w:t xml:space="preserve">22</w:t>
            </w:r>
          </w:p>
        </w:tc>
        <w:tc>
          <w:tcPr>
            <w:tcW w:type="dxa" w:w="1096"/>
            <w:vAlign w:val="center"/>
          </w:tcPr>
          <w:p>
            <w:pPr>
              <w:spacing w:before="20" w:after="20" w:line="260" w:lineRule="auto"/>
              <w:ind w:firstLine="0"/>
              <w:jc w:val="center"/>
            </w:pPr>
            <w:r>
              <w:rPr>
                <w:sz w:val="20"/>
                <w:szCs w:val="20"/>
              </w:rPr>
              <w:t xml:space="preserve">11</w:t>
            </w:r>
          </w:p>
        </w:tc>
        <w:tc>
          <w:tcPr>
            <w:tcW w:type="dxa" w:w="1098"/>
            <w:vAlign w:val="center"/>
          </w:tcPr>
          <w:p>
            <w:pPr>
              <w:spacing w:before="20" w:after="20" w:line="260" w:lineRule="auto"/>
              <w:ind w:firstLine="0"/>
              <w:jc w:val="center"/>
            </w:pPr>
            <w:r>
              <w:rPr>
                <w:sz w:val="20"/>
                <w:szCs w:val="20"/>
              </w:rPr>
              <w:t xml:space="preserve">0</w:t>
            </w:r>
          </w:p>
        </w:tc>
      </w:tr>
      <w:tr>
        <w:trPr>
          <w:cantSplit/>
        </w:trPr>
        <w:tc>
          <w:tcPr>
            <w:tcW w:type="dxa" w:w="1096"/>
            <w:vAlign w:val="center"/>
          </w:tcPr>
          <w:p>
            <w:pPr>
              <w:spacing w:before="20" w:after="20" w:line="260" w:lineRule="auto"/>
              <w:ind w:firstLine="0"/>
              <w:jc w:val="center"/>
            </w:pPr>
            <w:r>
              <w:rPr>
                <w:sz w:val="20"/>
                <w:szCs w:val="20"/>
              </w:rPr>
              <w:t xml:space="preserve">27</w:t>
            </w:r>
          </w:p>
        </w:tc>
        <w:tc>
          <w:tcPr>
            <w:tcW w:type="dxa" w:w="1096"/>
            <w:vAlign w:val="center"/>
          </w:tcPr>
          <w:p>
            <w:pPr>
              <w:spacing w:before="20" w:after="20" w:line="260" w:lineRule="auto"/>
              <w:ind w:firstLine="0"/>
              <w:jc w:val="center"/>
            </w:pPr>
            <w:r>
              <w:rPr>
                <w:sz w:val="20"/>
                <w:szCs w:val="20"/>
              </w:rPr>
              <w:t xml:space="preserve">208.902</w:t>
            </w:r>
          </w:p>
        </w:tc>
        <w:tc>
          <w:tcPr>
            <w:tcW w:type="dxa" w:w="1096"/>
            <w:vAlign w:val="center"/>
          </w:tcPr>
          <w:p>
            <w:pPr>
              <w:spacing w:before="20" w:after="20" w:line="260" w:lineRule="auto"/>
              <w:ind w:firstLine="0"/>
              <w:jc w:val="center"/>
            </w:pPr>
            <w:r>
              <w:rPr>
                <w:sz w:val="20"/>
                <w:szCs w:val="20"/>
              </w:rPr>
              <w:t xml:space="preserve">245.741</w:t>
            </w:r>
          </w:p>
        </w:tc>
        <w:tc>
          <w:tcPr>
            <w:tcW w:type="dxa" w:w="1096"/>
            <w:vAlign w:val="center"/>
          </w:tcPr>
          <w:p>
            <w:pPr>
              <w:spacing w:before="20" w:after="20" w:line="260" w:lineRule="auto"/>
              <w:ind w:firstLine="0"/>
              <w:jc w:val="center"/>
            </w:pPr>
            <w:r>
              <w:rPr>
                <w:sz w:val="20"/>
                <w:szCs w:val="20"/>
              </w:rPr>
              <w:t xml:space="preserve">304.582</w:t>
            </w:r>
          </w:p>
        </w:tc>
        <w:tc>
          <w:tcPr>
            <w:tcW w:type="dxa" w:w="1397"/>
            <w:vAlign w:val="center"/>
          </w:tcPr>
          <w:p>
            <w:pPr>
              <w:spacing w:before="20" w:after="20" w:line="260" w:lineRule="auto"/>
              <w:ind w:firstLine="0"/>
              <w:jc w:val="center"/>
            </w:pPr>
            <w:r>
              <w:rPr>
                <w:sz w:val="20"/>
                <w:szCs w:val="20"/>
              </w:rPr>
              <w:t xml:space="preserve">107.990</w:t>
            </w:r>
          </w:p>
        </w:tc>
        <w:tc>
          <w:tcPr>
            <w:tcW w:type="dxa" w:w="1096"/>
            <w:vAlign w:val="center"/>
          </w:tcPr>
          <w:p>
            <w:pPr>
              <w:spacing w:before="20" w:after="20" w:line="260" w:lineRule="auto"/>
              <w:ind w:firstLine="0"/>
              <w:jc w:val="center"/>
            </w:pPr>
            <w:r>
              <w:rPr>
                <w:sz w:val="20"/>
                <w:szCs w:val="20"/>
              </w:rPr>
              <w:t xml:space="preserve">19</w:t>
            </w:r>
          </w:p>
        </w:tc>
        <w:tc>
          <w:tcPr>
            <w:tcW w:type="dxa" w:w="1096"/>
            <w:vAlign w:val="center"/>
          </w:tcPr>
          <w:p>
            <w:pPr>
              <w:spacing w:before="20" w:after="20" w:line="260" w:lineRule="auto"/>
              <w:ind w:firstLine="0"/>
              <w:jc w:val="center"/>
            </w:pPr>
            <w:r>
              <w:rPr>
                <w:sz w:val="20"/>
                <w:szCs w:val="20"/>
              </w:rPr>
              <w:t xml:space="preserve">11</w:t>
            </w:r>
          </w:p>
        </w:tc>
        <w:tc>
          <w:tcPr>
            <w:tcW w:type="dxa" w:w="1098"/>
            <w:vAlign w:val="center"/>
          </w:tcPr>
          <w:p>
            <w:pPr>
              <w:spacing w:before="20" w:after="20" w:line="260" w:lineRule="auto"/>
              <w:ind w:firstLine="0"/>
              <w:jc w:val="center"/>
            </w:pPr>
            <w:r>
              <w:rPr>
                <w:sz w:val="20"/>
                <w:szCs w:val="20"/>
              </w:rPr>
              <w:t xml:space="preserve">3</w:t>
            </w:r>
          </w:p>
        </w:tc>
      </w:tr>
      <w:tr>
        <w:trPr>
          <w:cantSplit/>
        </w:trPr>
        <w:tc>
          <w:tcPr>
            <w:tcW w:type="dxa" w:w="1096"/>
            <w:vAlign w:val="center"/>
          </w:tcPr>
          <w:p>
            <w:pPr>
              <w:spacing w:before="20" w:after="20" w:line="260" w:lineRule="auto"/>
              <w:ind w:firstLine="0"/>
              <w:jc w:val="center"/>
            </w:pPr>
            <w:r>
              <w:rPr>
                <w:sz w:val="20"/>
                <w:szCs w:val="20"/>
              </w:rPr>
              <w:t xml:space="preserve">28</w:t>
            </w:r>
          </w:p>
        </w:tc>
        <w:tc>
          <w:tcPr>
            <w:tcW w:type="dxa" w:w="1096"/>
            <w:vAlign w:val="center"/>
          </w:tcPr>
          <w:p>
            <w:pPr>
              <w:spacing w:before="20" w:after="20" w:line="260" w:lineRule="auto"/>
              <w:ind w:firstLine="0"/>
              <w:jc w:val="center"/>
            </w:pPr>
            <w:r>
              <w:rPr>
                <w:sz w:val="20"/>
                <w:szCs w:val="20"/>
              </w:rPr>
              <w:t xml:space="preserve">214.700</w:t>
            </w:r>
          </w:p>
        </w:tc>
        <w:tc>
          <w:tcPr>
            <w:tcW w:type="dxa" w:w="1096"/>
            <w:vAlign w:val="center"/>
          </w:tcPr>
          <w:p>
            <w:pPr>
              <w:spacing w:before="20" w:after="20" w:line="260" w:lineRule="auto"/>
              <w:ind w:firstLine="0"/>
              <w:jc w:val="center"/>
            </w:pPr>
            <w:r>
              <w:rPr>
                <w:sz w:val="20"/>
                <w:szCs w:val="20"/>
              </w:rPr>
              <w:t xml:space="preserve">252.714</w:t>
            </w:r>
          </w:p>
        </w:tc>
        <w:tc>
          <w:tcPr>
            <w:tcW w:type="dxa" w:w="1096"/>
            <w:vAlign w:val="center"/>
          </w:tcPr>
          <w:p>
            <w:pPr>
              <w:spacing w:before="20" w:after="20" w:line="260" w:lineRule="auto"/>
              <w:ind w:firstLine="0"/>
              <w:jc w:val="center"/>
            </w:pPr>
            <w:r>
              <w:rPr>
                <w:sz w:val="20"/>
                <w:szCs w:val="20"/>
              </w:rPr>
              <w:t xml:space="preserve">315.051</w:t>
            </w:r>
          </w:p>
        </w:tc>
        <w:tc>
          <w:tcPr>
            <w:tcW w:type="dxa" w:w="1397"/>
            <w:vAlign w:val="center"/>
          </w:tcPr>
          <w:p>
            <w:pPr>
              <w:spacing w:before="20" w:after="20" w:line="260" w:lineRule="auto"/>
              <w:ind w:firstLine="0"/>
              <w:jc w:val="center"/>
            </w:pPr>
            <w:r>
              <w:rPr>
                <w:sz w:val="20"/>
                <w:szCs w:val="20"/>
              </w:rPr>
              <w:t xml:space="preserve">112.880</w:t>
            </w:r>
          </w:p>
        </w:tc>
        <w:tc>
          <w:tcPr>
            <w:tcW w:type="dxa" w:w="1096"/>
            <w:vAlign w:val="center"/>
          </w:tcPr>
          <w:p>
            <w:pPr>
              <w:spacing w:before="20" w:after="20" w:line="260" w:lineRule="auto"/>
              <w:ind w:firstLine="0"/>
              <w:jc w:val="center"/>
            </w:pPr>
            <w:r>
              <w:rPr>
                <w:sz w:val="20"/>
                <w:szCs w:val="20"/>
              </w:rPr>
              <w:t xml:space="preserve">20</w:t>
            </w:r>
          </w:p>
        </w:tc>
        <w:tc>
          <w:tcPr>
            <w:tcW w:type="dxa" w:w="1096"/>
            <w:vAlign w:val="center"/>
          </w:tcPr>
          <w:p>
            <w:pPr>
              <w:spacing w:before="20" w:after="20" w:line="260" w:lineRule="auto"/>
              <w:ind w:firstLine="0"/>
              <w:jc w:val="center"/>
            </w:pPr>
            <w:r>
              <w:rPr>
                <w:sz w:val="20"/>
                <w:szCs w:val="20"/>
              </w:rPr>
              <w:t xml:space="preserve">11</w:t>
            </w:r>
          </w:p>
        </w:tc>
        <w:tc>
          <w:tcPr>
            <w:tcW w:type="dxa" w:w="1098"/>
            <w:vAlign w:val="center"/>
          </w:tcPr>
          <w:p>
            <w:pPr>
              <w:spacing w:before="20" w:after="20" w:line="260" w:lineRule="auto"/>
              <w:ind w:firstLine="0"/>
              <w:jc w:val="center"/>
            </w:pPr>
            <w:r>
              <w:rPr>
                <w:sz w:val="20"/>
                <w:szCs w:val="20"/>
              </w:rPr>
              <w:t xml:space="preserve">2</w:t>
            </w:r>
          </w:p>
        </w:tc>
      </w:tr>
      <w:tr>
        <w:trPr>
          <w:cantSplit/>
        </w:trPr>
        <w:tc>
          <w:tcPr>
            <w:tcW w:type="dxa" w:w="1096"/>
            <w:vAlign w:val="center"/>
          </w:tcPr>
          <w:p>
            <w:pPr>
              <w:spacing w:before="20" w:after="20" w:line="260" w:lineRule="auto"/>
              <w:ind w:firstLine="0"/>
              <w:jc w:val="center"/>
            </w:pPr>
            <w:r>
              <w:rPr>
                <w:sz w:val="20"/>
                <w:szCs w:val="20"/>
              </w:rPr>
              <w:t xml:space="preserve">29</w:t>
            </w:r>
          </w:p>
        </w:tc>
        <w:tc>
          <w:tcPr>
            <w:tcW w:type="dxa" w:w="1096"/>
            <w:vAlign w:val="center"/>
          </w:tcPr>
          <w:p>
            <w:pPr>
              <w:spacing w:before="20" w:after="20" w:line="260" w:lineRule="auto"/>
              <w:ind w:firstLine="0"/>
              <w:jc w:val="center"/>
            </w:pPr>
            <w:r>
              <w:rPr>
                <w:sz w:val="20"/>
                <w:szCs w:val="20"/>
              </w:rPr>
              <w:t xml:space="preserve">175.356</w:t>
            </w:r>
          </w:p>
        </w:tc>
        <w:tc>
          <w:tcPr>
            <w:tcW w:type="dxa" w:w="1096"/>
            <w:vAlign w:val="center"/>
          </w:tcPr>
          <w:p>
            <w:pPr>
              <w:spacing w:before="20" w:after="20" w:line="260" w:lineRule="auto"/>
              <w:ind w:firstLine="0"/>
              <w:jc w:val="center"/>
            </w:pPr>
            <w:r>
              <w:rPr>
                <w:sz w:val="20"/>
                <w:szCs w:val="20"/>
              </w:rPr>
              <w:t xml:space="preserve">207.918</w:t>
            </w:r>
          </w:p>
        </w:tc>
        <w:tc>
          <w:tcPr>
            <w:tcW w:type="dxa" w:w="1096"/>
            <w:vAlign w:val="center"/>
          </w:tcPr>
          <w:p>
            <w:pPr>
              <w:spacing w:before="20" w:after="20" w:line="260" w:lineRule="auto"/>
              <w:ind w:firstLine="0"/>
              <w:jc w:val="center"/>
            </w:pPr>
            <w:r>
              <w:rPr>
                <w:sz w:val="20"/>
                <w:szCs w:val="20"/>
              </w:rPr>
              <w:t xml:space="preserve">259.858</w:t>
            </w:r>
          </w:p>
        </w:tc>
        <w:tc>
          <w:tcPr>
            <w:tcW w:type="dxa" w:w="1397"/>
            <w:vAlign w:val="center"/>
          </w:tcPr>
          <w:p>
            <w:pPr>
              <w:spacing w:before="20" w:after="20" w:line="260" w:lineRule="auto"/>
              <w:ind w:firstLine="0"/>
              <w:jc w:val="center"/>
            </w:pPr>
            <w:r>
              <w:rPr>
                <w:sz w:val="20"/>
                <w:szCs w:val="20"/>
              </w:rPr>
              <w:t xml:space="preserve">93.523</w:t>
            </w:r>
          </w:p>
        </w:tc>
        <w:tc>
          <w:tcPr>
            <w:tcW w:type="dxa" w:w="1096"/>
            <w:vAlign w:val="center"/>
          </w:tcPr>
          <w:p>
            <w:pPr>
              <w:spacing w:before="20" w:after="20" w:line="260" w:lineRule="auto"/>
              <w:ind w:firstLine="0"/>
              <w:jc w:val="center"/>
            </w:pPr>
            <w:r>
              <w:rPr>
                <w:sz w:val="20"/>
                <w:szCs w:val="20"/>
              </w:rPr>
              <w:t xml:space="preserve">19</w:t>
            </w:r>
          </w:p>
        </w:tc>
        <w:tc>
          <w:tcPr>
            <w:tcW w:type="dxa" w:w="1096"/>
            <w:vAlign w:val="center"/>
          </w:tcPr>
          <w:p>
            <w:pPr>
              <w:spacing w:before="20" w:after="20" w:line="260" w:lineRule="auto"/>
              <w:ind w:firstLine="0"/>
              <w:jc w:val="center"/>
            </w:pPr>
            <w:r>
              <w:rPr>
                <w:sz w:val="20"/>
                <w:szCs w:val="20"/>
              </w:rPr>
              <w:t xml:space="preserve">13</w:t>
            </w:r>
          </w:p>
        </w:tc>
        <w:tc>
          <w:tcPr>
            <w:tcW w:type="dxa" w:w="1098"/>
            <w:vAlign w:val="center"/>
          </w:tcPr>
          <w:p>
            <w:pPr>
              <w:spacing w:before="20" w:after="20" w:line="260" w:lineRule="auto"/>
              <w:ind w:firstLine="0"/>
              <w:jc w:val="center"/>
            </w:pPr>
            <w:r>
              <w:rPr>
                <w:sz w:val="20"/>
                <w:szCs w:val="20"/>
              </w:rPr>
              <w:t xml:space="preserve">1</w:t>
            </w:r>
          </w:p>
        </w:tc>
      </w:tr>
      <w:tr>
        <w:trPr>
          <w:cantSplit/>
        </w:trPr>
        <w:tc>
          <w:tcPr>
            <w:tcW w:type="dxa" w:w="1096"/>
            <w:vAlign w:val="center"/>
          </w:tcPr>
          <w:p>
            <w:pPr>
              <w:spacing w:before="20" w:after="20" w:line="260" w:lineRule="auto"/>
              <w:ind w:firstLine="0"/>
              <w:jc w:val="center"/>
            </w:pPr>
            <w:r>
              <w:rPr>
                <w:sz w:val="20"/>
                <w:szCs w:val="20"/>
              </w:rPr>
              <w:t xml:space="preserve">30</w:t>
            </w:r>
          </w:p>
        </w:tc>
        <w:tc>
          <w:tcPr>
            <w:tcW w:type="dxa" w:w="1096"/>
            <w:vAlign w:val="center"/>
          </w:tcPr>
          <w:p>
            <w:pPr>
              <w:spacing w:before="20" w:after="20" w:line="260" w:lineRule="auto"/>
              <w:ind w:firstLine="0"/>
              <w:jc w:val="center"/>
            </w:pPr>
            <w:r>
              <w:rPr>
                <w:sz w:val="20"/>
                <w:szCs w:val="20"/>
              </w:rPr>
              <w:t xml:space="preserve">86.047</w:t>
            </w:r>
          </w:p>
        </w:tc>
        <w:tc>
          <w:tcPr>
            <w:tcW w:type="dxa" w:w="1096"/>
            <w:vAlign w:val="center"/>
          </w:tcPr>
          <w:p>
            <w:pPr>
              <w:spacing w:before="20" w:after="20" w:line="260" w:lineRule="auto"/>
              <w:ind w:firstLine="0"/>
              <w:jc w:val="center"/>
            </w:pPr>
            <w:r>
              <w:rPr>
                <w:sz w:val="20"/>
                <w:szCs w:val="20"/>
              </w:rPr>
              <w:t xml:space="preserve">112.284</w:t>
            </w:r>
          </w:p>
        </w:tc>
        <w:tc>
          <w:tcPr>
            <w:tcW w:type="dxa" w:w="1096"/>
            <w:vAlign w:val="center"/>
          </w:tcPr>
          <w:p>
            <w:pPr>
              <w:spacing w:before="20" w:after="20" w:line="260" w:lineRule="auto"/>
              <w:ind w:firstLine="0"/>
              <w:jc w:val="center"/>
            </w:pPr>
            <w:r>
              <w:rPr>
                <w:sz w:val="20"/>
                <w:szCs w:val="20"/>
              </w:rPr>
              <w:t xml:space="preserve">155.622</w:t>
            </w:r>
          </w:p>
        </w:tc>
        <w:tc>
          <w:tcPr>
            <w:tcW w:type="dxa" w:w="1397"/>
            <w:vAlign w:val="center"/>
          </w:tcPr>
          <w:p>
            <w:pPr>
              <w:spacing w:before="20" w:after="20" w:line="260" w:lineRule="auto"/>
              <w:ind w:firstLine="0"/>
              <w:jc w:val="center"/>
            </w:pPr>
            <w:r>
              <w:rPr>
                <w:sz w:val="20"/>
                <w:szCs w:val="20"/>
              </w:rPr>
              <w:t xml:space="preserve">65.795</w:t>
            </w:r>
          </w:p>
        </w:tc>
        <w:tc>
          <w:tcPr>
            <w:tcW w:type="dxa" w:w="1096"/>
            <w:vAlign w:val="center"/>
          </w:tcPr>
          <w:p>
            <w:pPr>
              <w:spacing w:before="20" w:after="20" w:line="260" w:lineRule="auto"/>
              <w:ind w:firstLine="0"/>
              <w:jc w:val="center"/>
            </w:pPr>
            <w:r>
              <w:rPr>
                <w:sz w:val="20"/>
                <w:szCs w:val="20"/>
              </w:rPr>
              <w:t xml:space="preserve">22</w:t>
            </w:r>
          </w:p>
        </w:tc>
        <w:tc>
          <w:tcPr>
            <w:tcW w:type="dxa" w:w="1096"/>
            <w:vAlign w:val="center"/>
          </w:tcPr>
          <w:p>
            <w:pPr>
              <w:spacing w:before="20" w:after="20" w:line="260" w:lineRule="auto"/>
              <w:ind w:firstLine="0"/>
              <w:jc w:val="center"/>
            </w:pPr>
            <w:r>
              <w:rPr>
                <w:sz w:val="20"/>
                <w:szCs w:val="20"/>
              </w:rPr>
              <w:t xml:space="preserve">11</w:t>
            </w:r>
          </w:p>
        </w:tc>
        <w:tc>
          <w:tcPr>
            <w:tcW w:type="dxa" w:w="1098"/>
            <w:vAlign w:val="center"/>
          </w:tcPr>
          <w:p>
            <w:pPr>
              <w:spacing w:before="20" w:after="20" w:line="260" w:lineRule="auto"/>
              <w:ind w:firstLine="0"/>
              <w:jc w:val="center"/>
            </w:pPr>
            <w:r>
              <w:rPr>
                <w:sz w:val="20"/>
                <w:szCs w:val="20"/>
              </w:rPr>
              <w:t xml:space="preserve">0</w:t>
            </w:r>
          </w:p>
        </w:tc>
      </w:tr>
      <w:tr>
        <w:trPr>
          <w:cantSplit/>
        </w:trPr>
        <w:tc>
          <w:tcPr>
            <w:tcW w:type="dxa" w:w="1096"/>
            <w:vAlign w:val="center"/>
          </w:tcPr>
          <w:p>
            <w:pPr>
              <w:spacing w:before="20" w:after="20" w:line="260" w:lineRule="auto"/>
              <w:ind w:firstLine="0"/>
              <w:jc w:val="center"/>
            </w:pPr>
            <w:r>
              <w:rPr>
                <w:sz w:val="20"/>
                <w:szCs w:val="20"/>
              </w:rPr>
              <w:t xml:space="preserve">31</w:t>
            </w:r>
          </w:p>
        </w:tc>
        <w:tc>
          <w:tcPr>
            <w:tcW w:type="dxa" w:w="1096"/>
            <w:vAlign w:val="center"/>
          </w:tcPr>
          <w:p>
            <w:pPr>
              <w:spacing w:before="20" w:after="20" w:line="260" w:lineRule="auto"/>
              <w:ind w:firstLine="0"/>
              <w:jc w:val="center"/>
            </w:pPr>
            <w:r>
              <w:rPr>
                <w:sz w:val="20"/>
                <w:szCs w:val="20"/>
              </w:rPr>
              <w:t xml:space="preserve">193.267</w:t>
            </w:r>
          </w:p>
        </w:tc>
        <w:tc>
          <w:tcPr>
            <w:tcW w:type="dxa" w:w="1096"/>
            <w:vAlign w:val="center"/>
          </w:tcPr>
          <w:p>
            <w:pPr>
              <w:spacing w:before="20" w:after="20" w:line="260" w:lineRule="auto"/>
              <w:ind w:firstLine="0"/>
              <w:jc w:val="center"/>
            </w:pPr>
            <w:r>
              <w:rPr>
                <w:sz w:val="20"/>
                <w:szCs w:val="20"/>
              </w:rPr>
              <w:t xml:space="preserve">229.074</w:t>
            </w:r>
          </w:p>
        </w:tc>
        <w:tc>
          <w:tcPr>
            <w:tcW w:type="dxa" w:w="1096"/>
            <w:vAlign w:val="center"/>
          </w:tcPr>
          <w:p>
            <w:pPr>
              <w:spacing w:before="20" w:after="20" w:line="260" w:lineRule="auto"/>
              <w:ind w:firstLine="0"/>
              <w:jc w:val="center"/>
            </w:pPr>
            <w:r>
              <w:rPr>
                <w:sz w:val="20"/>
                <w:szCs w:val="20"/>
              </w:rPr>
              <w:t xml:space="preserve">287.444</w:t>
            </w:r>
          </w:p>
        </w:tc>
        <w:tc>
          <w:tcPr>
            <w:tcW w:type="dxa" w:w="1397"/>
            <w:vAlign w:val="center"/>
          </w:tcPr>
          <w:p>
            <w:pPr>
              <w:spacing w:before="20" w:after="20" w:line="260" w:lineRule="auto"/>
              <w:ind w:firstLine="0"/>
              <w:jc w:val="center"/>
            </w:pPr>
            <w:r>
              <w:rPr>
                <w:sz w:val="20"/>
                <w:szCs w:val="20"/>
              </w:rPr>
              <w:t xml:space="preserve">104.185</w:t>
            </w:r>
          </w:p>
        </w:tc>
        <w:tc>
          <w:tcPr>
            <w:tcW w:type="dxa" w:w="1096"/>
            <w:vAlign w:val="center"/>
          </w:tcPr>
          <w:p>
            <w:pPr>
              <w:spacing w:before="20" w:after="20" w:line="260" w:lineRule="auto"/>
              <w:ind w:firstLine="0"/>
              <w:jc w:val="center"/>
            </w:pPr>
            <w:r>
              <w:rPr>
                <w:sz w:val="20"/>
                <w:szCs w:val="20"/>
              </w:rPr>
              <w:t xml:space="preserve">20</w:t>
            </w:r>
          </w:p>
        </w:tc>
        <w:tc>
          <w:tcPr>
            <w:tcW w:type="dxa" w:w="1096"/>
            <w:vAlign w:val="center"/>
          </w:tcPr>
          <w:p>
            <w:pPr>
              <w:spacing w:before="20" w:after="20" w:line="260" w:lineRule="auto"/>
              <w:ind w:firstLine="0"/>
              <w:jc w:val="center"/>
            </w:pPr>
            <w:r>
              <w:rPr>
                <w:sz w:val="20"/>
                <w:szCs w:val="20"/>
              </w:rPr>
              <w:t xml:space="preserve">12</w:t>
            </w:r>
          </w:p>
        </w:tc>
        <w:tc>
          <w:tcPr>
            <w:tcW w:type="dxa" w:w="1098"/>
            <w:vAlign w:val="center"/>
          </w:tcPr>
          <w:p>
            <w:pPr>
              <w:spacing w:before="20" w:after="20" w:line="260" w:lineRule="auto"/>
              <w:ind w:firstLine="0"/>
              <w:jc w:val="center"/>
            </w:pPr>
            <w:r>
              <w:rPr>
                <w:sz w:val="20"/>
                <w:szCs w:val="20"/>
              </w:rPr>
              <w:t xml:space="preserve">1</w:t>
            </w:r>
          </w:p>
        </w:tc>
      </w:tr>
      <w:tr>
        <w:trPr>
          <w:cantSplit/>
        </w:trPr>
        <w:tc>
          <w:tcPr>
            <w:tcW w:type="dxa" w:w="1096"/>
            <w:vAlign w:val="center"/>
          </w:tcPr>
          <w:p>
            <w:pPr>
              <w:spacing w:before="20" w:after="20" w:line="260" w:lineRule="auto"/>
              <w:ind w:firstLine="0"/>
              <w:jc w:val="center"/>
            </w:pPr>
            <w:r>
              <w:rPr>
                <w:sz w:val="20"/>
                <w:szCs w:val="20"/>
              </w:rPr>
              <w:t xml:space="preserve">32</w:t>
            </w:r>
          </w:p>
        </w:tc>
        <w:tc>
          <w:tcPr>
            <w:tcW w:type="dxa" w:w="1096"/>
            <w:vAlign w:val="center"/>
          </w:tcPr>
          <w:p>
            <w:pPr>
              <w:spacing w:before="20" w:after="20" w:line="260" w:lineRule="auto"/>
              <w:ind w:firstLine="0"/>
              <w:jc w:val="center"/>
            </w:pPr>
            <w:r>
              <w:rPr>
                <w:sz w:val="20"/>
                <w:szCs w:val="20"/>
              </w:rPr>
              <w:t xml:space="preserve">59.540</w:t>
            </w:r>
          </w:p>
        </w:tc>
        <w:tc>
          <w:tcPr>
            <w:tcW w:type="dxa" w:w="1096"/>
            <w:vAlign w:val="center"/>
          </w:tcPr>
          <w:p>
            <w:pPr>
              <w:spacing w:before="20" w:after="20" w:line="260" w:lineRule="auto"/>
              <w:ind w:firstLine="0"/>
              <w:jc w:val="center"/>
            </w:pPr>
            <w:r>
              <w:rPr>
                <w:sz w:val="20"/>
                <w:szCs w:val="20"/>
              </w:rPr>
              <w:t xml:space="preserve">77.504</w:t>
            </w:r>
          </w:p>
        </w:tc>
        <w:tc>
          <w:tcPr>
            <w:tcW w:type="dxa" w:w="1096"/>
            <w:vAlign w:val="center"/>
          </w:tcPr>
          <w:p>
            <w:pPr>
              <w:spacing w:before="20" w:after="20" w:line="260" w:lineRule="auto"/>
              <w:ind w:firstLine="0"/>
              <w:jc w:val="center"/>
            </w:pPr>
            <w:r>
              <w:rPr>
                <w:sz w:val="20"/>
                <w:szCs w:val="20"/>
              </w:rPr>
              <w:t xml:space="preserve">105.702</w:t>
            </w:r>
          </w:p>
        </w:tc>
        <w:tc>
          <w:tcPr>
            <w:tcW w:type="dxa" w:w="1397"/>
            <w:vAlign w:val="center"/>
          </w:tcPr>
          <w:p>
            <w:pPr>
              <w:spacing w:before="20" w:after="20" w:line="260" w:lineRule="auto"/>
              <w:ind w:firstLine="0"/>
              <w:jc w:val="center"/>
            </w:pPr>
            <w:r>
              <w:rPr>
                <w:sz w:val="20"/>
                <w:szCs w:val="20"/>
              </w:rPr>
              <w:t xml:space="preserve">43.699</w:t>
            </w:r>
          </w:p>
        </w:tc>
        <w:tc>
          <w:tcPr>
            <w:tcW w:type="dxa" w:w="1096"/>
            <w:vAlign w:val="center"/>
          </w:tcPr>
          <w:p>
            <w:pPr>
              <w:spacing w:before="20" w:after="20" w:line="260" w:lineRule="auto"/>
              <w:ind w:firstLine="0"/>
              <w:jc w:val="center"/>
            </w:pPr>
            <w:r>
              <w:rPr>
                <w:sz w:val="20"/>
                <w:szCs w:val="20"/>
              </w:rPr>
              <w:t xml:space="preserve">24</w:t>
            </w:r>
          </w:p>
        </w:tc>
        <w:tc>
          <w:tcPr>
            <w:tcW w:type="dxa" w:w="1096"/>
            <w:vAlign w:val="center"/>
          </w:tcPr>
          <w:p>
            <w:pPr>
              <w:spacing w:before="20" w:after="20" w:line="260" w:lineRule="auto"/>
              <w:ind w:firstLine="0"/>
              <w:jc w:val="center"/>
            </w:pPr>
            <w:r>
              <w:rPr>
                <w:sz w:val="20"/>
                <w:szCs w:val="20"/>
              </w:rPr>
              <w:t xml:space="preserve">9</w:t>
            </w:r>
          </w:p>
        </w:tc>
        <w:tc>
          <w:tcPr>
            <w:tcW w:type="dxa" w:w="1098"/>
            <w:vAlign w:val="center"/>
          </w:tcPr>
          <w:p>
            <w:pPr>
              <w:spacing w:before="20" w:after="20" w:line="260" w:lineRule="auto"/>
              <w:ind w:firstLine="0"/>
              <w:jc w:val="center"/>
            </w:pPr>
            <w:r>
              <w:rPr>
                <w:sz w:val="20"/>
                <w:szCs w:val="20"/>
              </w:rPr>
              <w:t xml:space="preserve">0</w:t>
            </w:r>
          </w:p>
        </w:tc>
      </w:tr>
      <w:tr>
        <w:trPr>
          <w:cantSplit/>
        </w:trPr>
        <w:tc>
          <w:tcPr>
            <w:tcW w:type="dxa" w:w="1096"/>
            <w:vAlign w:val="center"/>
          </w:tcPr>
          <w:p>
            <w:pPr>
              <w:spacing w:before="20" w:after="20" w:line="260" w:lineRule="auto"/>
              <w:ind w:firstLine="0"/>
              <w:jc w:val="center"/>
            </w:pPr>
            <w:r>
              <w:rPr>
                <w:sz w:val="20"/>
                <w:szCs w:val="20"/>
              </w:rPr>
              <w:t xml:space="preserve">33</w:t>
            </w:r>
          </w:p>
        </w:tc>
        <w:tc>
          <w:tcPr>
            <w:tcW w:type="dxa" w:w="1096"/>
            <w:vAlign w:val="center"/>
          </w:tcPr>
          <w:p>
            <w:pPr>
              <w:spacing w:before="20" w:after="20" w:line="260" w:lineRule="auto"/>
              <w:ind w:firstLine="0"/>
              <w:jc w:val="center"/>
            </w:pPr>
            <w:r>
              <w:rPr>
                <w:sz w:val="20"/>
                <w:szCs w:val="20"/>
              </w:rPr>
              <w:t xml:space="preserve">134.399</w:t>
            </w:r>
          </w:p>
        </w:tc>
        <w:tc>
          <w:tcPr>
            <w:tcW w:type="dxa" w:w="1096"/>
            <w:vAlign w:val="center"/>
          </w:tcPr>
          <w:p>
            <w:pPr>
              <w:spacing w:before="20" w:after="20" w:line="260" w:lineRule="auto"/>
              <w:ind w:firstLine="0"/>
              <w:jc w:val="center"/>
            </w:pPr>
            <w:r>
              <w:rPr>
                <w:sz w:val="20"/>
                <w:szCs w:val="20"/>
              </w:rPr>
              <w:t xml:space="preserve">164.525</w:t>
            </w:r>
          </w:p>
        </w:tc>
        <w:tc>
          <w:tcPr>
            <w:tcW w:type="dxa" w:w="1096"/>
            <w:vAlign w:val="center"/>
          </w:tcPr>
          <w:p>
            <w:pPr>
              <w:spacing w:before="20" w:after="20" w:line="260" w:lineRule="auto"/>
              <w:ind w:firstLine="0"/>
              <w:jc w:val="center"/>
            </w:pPr>
            <w:r>
              <w:rPr>
                <w:sz w:val="20"/>
                <w:szCs w:val="20"/>
              </w:rPr>
              <w:t xml:space="preserve">213.793</w:t>
            </w:r>
          </w:p>
        </w:tc>
        <w:tc>
          <w:tcPr>
            <w:tcW w:type="dxa" w:w="1397"/>
            <w:vAlign w:val="center"/>
          </w:tcPr>
          <w:p>
            <w:pPr>
              <w:spacing w:before="20" w:after="20" w:line="260" w:lineRule="auto"/>
              <w:ind w:firstLine="0"/>
              <w:jc w:val="center"/>
            </w:pPr>
            <w:r>
              <w:rPr>
                <w:sz w:val="20"/>
                <w:szCs w:val="20"/>
              </w:rPr>
              <w:t xml:space="preserve">82.173</w:t>
            </w:r>
          </w:p>
        </w:tc>
        <w:tc>
          <w:tcPr>
            <w:tcW w:type="dxa" w:w="1096"/>
            <w:vAlign w:val="center"/>
          </w:tcPr>
          <w:p>
            <w:pPr>
              <w:spacing w:before="20" w:after="20" w:line="260" w:lineRule="auto"/>
              <w:ind w:firstLine="0"/>
              <w:jc w:val="center"/>
            </w:pPr>
            <w:r>
              <w:rPr>
                <w:sz w:val="20"/>
                <w:szCs w:val="20"/>
              </w:rPr>
              <w:t xml:space="preserve">21</w:t>
            </w:r>
          </w:p>
        </w:tc>
        <w:tc>
          <w:tcPr>
            <w:tcW w:type="dxa" w:w="1096"/>
            <w:vAlign w:val="center"/>
          </w:tcPr>
          <w:p>
            <w:pPr>
              <w:spacing w:before="20" w:after="20" w:line="260" w:lineRule="auto"/>
              <w:ind w:firstLine="0"/>
              <w:jc w:val="center"/>
            </w:pPr>
            <w:r>
              <w:rPr>
                <w:sz w:val="20"/>
                <w:szCs w:val="20"/>
              </w:rPr>
              <w:t xml:space="preserve">12</w:t>
            </w:r>
          </w:p>
        </w:tc>
        <w:tc>
          <w:tcPr>
            <w:tcW w:type="dxa" w:w="1098"/>
            <w:vAlign w:val="center"/>
          </w:tcPr>
          <w:p>
            <w:pPr>
              <w:spacing w:before="20" w:after="20" w:line="260" w:lineRule="auto"/>
              <w:ind w:firstLine="0"/>
              <w:jc w:val="center"/>
            </w:pPr>
            <w:r>
              <w:rPr>
                <w:sz w:val="20"/>
                <w:szCs w:val="20"/>
              </w:rPr>
              <w:t xml:space="preserve">0</w:t>
            </w:r>
          </w:p>
        </w:tc>
      </w:tr>
      <w:tr>
        <w:trPr>
          <w:cantSplit/>
        </w:trPr>
        <w:tc>
          <w:tcPr>
            <w:tcW w:type="dxa" w:w="1096"/>
            <w:vAlign w:val="center"/>
          </w:tcPr>
          <w:p>
            <w:pPr>
              <w:spacing w:before="20" w:after="20" w:line="260" w:lineRule="auto"/>
              <w:ind w:firstLine="0"/>
              <w:jc w:val="center"/>
            </w:pPr>
            <w:r>
              <w:rPr>
                <w:sz w:val="20"/>
                <w:szCs w:val="20"/>
              </w:rPr>
              <w:t xml:space="preserve">34</w:t>
            </w:r>
          </w:p>
        </w:tc>
        <w:tc>
          <w:tcPr>
            <w:tcW w:type="dxa" w:w="1096"/>
            <w:vAlign w:val="center"/>
          </w:tcPr>
          <w:p>
            <w:pPr>
              <w:spacing w:before="20" w:after="20" w:line="260" w:lineRule="auto"/>
              <w:ind w:firstLine="0"/>
              <w:jc w:val="center"/>
            </w:pPr>
            <w:r>
              <w:rPr>
                <w:sz w:val="20"/>
                <w:szCs w:val="20"/>
              </w:rPr>
              <w:t xml:space="preserve">148.490</w:t>
            </w:r>
          </w:p>
        </w:tc>
        <w:tc>
          <w:tcPr>
            <w:tcW w:type="dxa" w:w="1096"/>
            <w:vAlign w:val="center"/>
          </w:tcPr>
          <w:p>
            <w:pPr>
              <w:spacing w:before="20" w:after="20" w:line="260" w:lineRule="auto"/>
              <w:ind w:firstLine="0"/>
              <w:jc w:val="center"/>
            </w:pPr>
            <w:r>
              <w:rPr>
                <w:sz w:val="20"/>
                <w:szCs w:val="20"/>
              </w:rPr>
              <w:t xml:space="preserve">177.271</w:t>
            </w:r>
          </w:p>
        </w:tc>
        <w:tc>
          <w:tcPr>
            <w:tcW w:type="dxa" w:w="1096"/>
            <w:vAlign w:val="center"/>
          </w:tcPr>
          <w:p>
            <w:pPr>
              <w:spacing w:before="20" w:after="20" w:line="260" w:lineRule="auto"/>
              <w:ind w:firstLine="0"/>
              <w:jc w:val="center"/>
            </w:pPr>
            <w:r>
              <w:rPr>
                <w:sz w:val="20"/>
                <w:szCs w:val="20"/>
              </w:rPr>
              <w:t xml:space="preserve">222.067</w:t>
            </w:r>
          </w:p>
        </w:tc>
        <w:tc>
          <w:tcPr>
            <w:tcW w:type="dxa" w:w="1397"/>
            <w:vAlign w:val="center"/>
          </w:tcPr>
          <w:p>
            <w:pPr>
              <w:spacing w:before="20" w:after="20" w:line="260" w:lineRule="auto"/>
              <w:ind w:firstLine="0"/>
              <w:jc w:val="center"/>
            </w:pPr>
            <w:r>
              <w:rPr>
                <w:sz w:val="20"/>
                <w:szCs w:val="20"/>
              </w:rPr>
              <w:t xml:space="preserve">80.251</w:t>
            </w:r>
          </w:p>
        </w:tc>
        <w:tc>
          <w:tcPr>
            <w:tcW w:type="dxa" w:w="1096"/>
            <w:vAlign w:val="center"/>
          </w:tcPr>
          <w:p>
            <w:pPr>
              <w:spacing w:before="20" w:after="20" w:line="260" w:lineRule="auto"/>
              <w:ind w:firstLine="0"/>
              <w:jc w:val="center"/>
            </w:pPr>
            <w:r>
              <w:rPr>
                <w:sz w:val="20"/>
                <w:szCs w:val="20"/>
              </w:rPr>
              <w:t xml:space="preserve">21</w:t>
            </w:r>
          </w:p>
        </w:tc>
        <w:tc>
          <w:tcPr>
            <w:tcW w:type="dxa" w:w="1096"/>
            <w:vAlign w:val="center"/>
          </w:tcPr>
          <w:p>
            <w:pPr>
              <w:spacing w:before="20" w:after="20" w:line="260" w:lineRule="auto"/>
              <w:ind w:firstLine="0"/>
              <w:jc w:val="center"/>
            </w:pPr>
            <w:r>
              <w:rPr>
                <w:sz w:val="20"/>
                <w:szCs w:val="20"/>
              </w:rPr>
              <w:t xml:space="preserve">10</w:t>
            </w:r>
          </w:p>
        </w:tc>
        <w:tc>
          <w:tcPr>
            <w:tcW w:type="dxa" w:w="1098"/>
            <w:vAlign w:val="center"/>
          </w:tcPr>
          <w:p>
            <w:pPr>
              <w:spacing w:before="20" w:after="20" w:line="260" w:lineRule="auto"/>
              <w:ind w:firstLine="0"/>
              <w:jc w:val="center"/>
            </w:pPr>
            <w:r>
              <w:rPr>
                <w:sz w:val="20"/>
                <w:szCs w:val="20"/>
              </w:rPr>
              <w:t xml:space="preserve">2</w:t>
            </w:r>
          </w:p>
        </w:tc>
      </w:tr>
      <w:tr>
        <w:trPr>
          <w:cantSplit/>
        </w:trPr>
        <w:tc>
          <w:tcPr>
            <w:tcW w:type="dxa" w:w="1096"/>
            <w:vAlign w:val="center"/>
          </w:tcPr>
          <w:p>
            <w:pPr>
              <w:spacing w:before="20" w:after="20" w:line="260" w:lineRule="auto"/>
              <w:ind w:firstLine="0"/>
              <w:jc w:val="center"/>
            </w:pPr>
            <w:r>
              <w:rPr>
                <w:sz w:val="20"/>
                <w:szCs w:val="20"/>
              </w:rPr>
              <w:t xml:space="preserve">35</w:t>
            </w:r>
          </w:p>
        </w:tc>
        <w:tc>
          <w:tcPr>
            <w:tcW w:type="dxa" w:w="1096"/>
            <w:vAlign w:val="center"/>
          </w:tcPr>
          <w:p>
            <w:pPr>
              <w:spacing w:before="20" w:after="20" w:line="260" w:lineRule="auto"/>
              <w:ind w:firstLine="0"/>
              <w:jc w:val="center"/>
            </w:pPr>
            <w:r>
              <w:rPr>
                <w:sz w:val="20"/>
                <w:szCs w:val="20"/>
              </w:rPr>
              <w:t xml:space="preserve">67.522</w:t>
            </w:r>
          </w:p>
        </w:tc>
        <w:tc>
          <w:tcPr>
            <w:tcW w:type="dxa" w:w="1096"/>
            <w:vAlign w:val="center"/>
          </w:tcPr>
          <w:p>
            <w:pPr>
              <w:spacing w:before="20" w:after="20" w:line="260" w:lineRule="auto"/>
              <w:ind w:firstLine="0"/>
              <w:jc w:val="center"/>
            </w:pPr>
            <w:r>
              <w:rPr>
                <w:sz w:val="20"/>
                <w:szCs w:val="20"/>
              </w:rPr>
              <w:t xml:space="preserve">89.447</w:t>
            </w:r>
          </w:p>
        </w:tc>
        <w:tc>
          <w:tcPr>
            <w:tcW w:type="dxa" w:w="1096"/>
            <w:vAlign w:val="center"/>
          </w:tcPr>
          <w:p>
            <w:pPr>
              <w:spacing w:before="20" w:after="20" w:line="260" w:lineRule="auto"/>
              <w:ind w:firstLine="0"/>
              <w:jc w:val="center"/>
            </w:pPr>
            <w:r>
              <w:rPr>
                <w:sz w:val="20"/>
                <w:szCs w:val="20"/>
              </w:rPr>
              <w:t xml:space="preserve">124.865</w:t>
            </w:r>
          </w:p>
        </w:tc>
        <w:tc>
          <w:tcPr>
            <w:tcW w:type="dxa" w:w="1397"/>
            <w:vAlign w:val="center"/>
          </w:tcPr>
          <w:p>
            <w:pPr>
              <w:spacing w:before="20" w:after="20" w:line="260" w:lineRule="auto"/>
              <w:ind w:firstLine="0"/>
              <w:jc w:val="center"/>
            </w:pPr>
            <w:r>
              <w:rPr>
                <w:sz w:val="20"/>
                <w:szCs w:val="20"/>
              </w:rPr>
              <w:t xml:space="preserve">53.307</w:t>
            </w:r>
          </w:p>
        </w:tc>
        <w:tc>
          <w:tcPr>
            <w:tcW w:type="dxa" w:w="1096"/>
            <w:vAlign w:val="center"/>
          </w:tcPr>
          <w:p>
            <w:pPr>
              <w:spacing w:before="20" w:after="20" w:line="260" w:lineRule="auto"/>
              <w:ind w:firstLine="0"/>
              <w:jc w:val="center"/>
            </w:pPr>
            <w:r>
              <w:rPr>
                <w:sz w:val="20"/>
                <w:szCs w:val="20"/>
              </w:rPr>
              <w:t xml:space="preserve">24</w:t>
            </w:r>
          </w:p>
        </w:tc>
        <w:tc>
          <w:tcPr>
            <w:tcW w:type="dxa" w:w="1096"/>
            <w:vAlign w:val="center"/>
          </w:tcPr>
          <w:p>
            <w:pPr>
              <w:spacing w:before="20" w:after="20" w:line="260" w:lineRule="auto"/>
              <w:ind w:firstLine="0"/>
              <w:jc w:val="center"/>
            </w:pPr>
            <w:r>
              <w:rPr>
                <w:sz w:val="20"/>
                <w:szCs w:val="20"/>
              </w:rPr>
              <w:t xml:space="preserve">9</w:t>
            </w:r>
          </w:p>
        </w:tc>
        <w:tc>
          <w:tcPr>
            <w:tcW w:type="dxa" w:w="1098"/>
            <w:vAlign w:val="center"/>
          </w:tcPr>
          <w:p>
            <w:pPr>
              <w:spacing w:before="20" w:after="20" w:line="260" w:lineRule="auto"/>
              <w:ind w:firstLine="0"/>
              <w:jc w:val="center"/>
            </w:pPr>
            <w:r>
              <w:rPr>
                <w:sz w:val="20"/>
                <w:szCs w:val="20"/>
              </w:rPr>
              <w:t xml:space="preserve">0</w:t>
            </w:r>
          </w:p>
        </w:tc>
      </w:tr>
      <w:tr>
        <w:trPr>
          <w:cantSplit/>
        </w:trPr>
        <w:tc>
          <w:tcPr>
            <w:tcW w:type="dxa" w:w="1096"/>
            <w:vAlign w:val="center"/>
          </w:tcPr>
          <w:p>
            <w:pPr>
              <w:spacing w:before="20" w:after="20" w:line="260" w:lineRule="auto"/>
              <w:ind w:firstLine="0"/>
              <w:jc w:val="center"/>
            </w:pPr>
            <w:r>
              <w:rPr>
                <w:sz w:val="20"/>
                <w:szCs w:val="20"/>
              </w:rPr>
              <w:t xml:space="preserve">36</w:t>
            </w:r>
          </w:p>
        </w:tc>
        <w:tc>
          <w:tcPr>
            <w:tcW w:type="dxa" w:w="1096"/>
            <w:vAlign w:val="center"/>
          </w:tcPr>
          <w:p>
            <w:pPr>
              <w:spacing w:before="20" w:after="20" w:line="260" w:lineRule="auto"/>
              <w:ind w:firstLine="0"/>
              <w:jc w:val="center"/>
            </w:pPr>
            <w:r>
              <w:rPr>
                <w:sz w:val="20"/>
                <w:szCs w:val="20"/>
              </w:rPr>
              <w:t xml:space="preserve">158.019</w:t>
            </w:r>
          </w:p>
        </w:tc>
        <w:tc>
          <w:tcPr>
            <w:tcW w:type="dxa" w:w="1096"/>
            <w:vAlign w:val="center"/>
          </w:tcPr>
          <w:p>
            <w:pPr>
              <w:spacing w:before="20" w:after="20" w:line="260" w:lineRule="auto"/>
              <w:ind w:firstLine="0"/>
              <w:jc w:val="center"/>
            </w:pPr>
            <w:r>
              <w:rPr>
                <w:sz w:val="20"/>
                <w:szCs w:val="20"/>
              </w:rPr>
              <w:t xml:space="preserve">188.139</w:t>
            </w:r>
          </w:p>
        </w:tc>
        <w:tc>
          <w:tcPr>
            <w:tcW w:type="dxa" w:w="1096"/>
            <w:vAlign w:val="center"/>
          </w:tcPr>
          <w:p>
            <w:pPr>
              <w:spacing w:before="20" w:after="20" w:line="260" w:lineRule="auto"/>
              <w:ind w:firstLine="0"/>
              <w:jc w:val="center"/>
            </w:pPr>
            <w:r>
              <w:rPr>
                <w:sz w:val="20"/>
                <w:szCs w:val="20"/>
              </w:rPr>
              <w:t xml:space="preserve">236.126</w:t>
            </w:r>
          </w:p>
        </w:tc>
        <w:tc>
          <w:tcPr>
            <w:tcW w:type="dxa" w:w="1397"/>
            <w:vAlign w:val="center"/>
          </w:tcPr>
          <w:p>
            <w:pPr>
              <w:spacing w:before="20" w:after="20" w:line="260" w:lineRule="auto"/>
              <w:ind w:firstLine="0"/>
              <w:jc w:val="center"/>
            </w:pPr>
            <w:r>
              <w:rPr>
                <w:sz w:val="20"/>
                <w:szCs w:val="20"/>
              </w:rPr>
              <w:t xml:space="preserve">85.615</w:t>
            </w:r>
          </w:p>
        </w:tc>
        <w:tc>
          <w:tcPr>
            <w:tcW w:type="dxa" w:w="1096"/>
            <w:vAlign w:val="center"/>
          </w:tcPr>
          <w:p>
            <w:pPr>
              <w:spacing w:before="20" w:after="20" w:line="260" w:lineRule="auto"/>
              <w:ind w:firstLine="0"/>
              <w:jc w:val="center"/>
            </w:pPr>
            <w:r>
              <w:rPr>
                <w:sz w:val="20"/>
                <w:szCs w:val="20"/>
              </w:rPr>
              <w:t xml:space="preserve">20</w:t>
            </w:r>
          </w:p>
        </w:tc>
        <w:tc>
          <w:tcPr>
            <w:tcW w:type="dxa" w:w="1096"/>
            <w:vAlign w:val="center"/>
          </w:tcPr>
          <w:p>
            <w:pPr>
              <w:spacing w:before="20" w:after="20" w:line="260" w:lineRule="auto"/>
              <w:ind w:firstLine="0"/>
              <w:jc w:val="center"/>
            </w:pPr>
            <w:r>
              <w:rPr>
                <w:sz w:val="20"/>
                <w:szCs w:val="20"/>
              </w:rPr>
              <w:t xml:space="preserve">11</w:t>
            </w:r>
          </w:p>
        </w:tc>
        <w:tc>
          <w:tcPr>
            <w:tcW w:type="dxa" w:w="1098"/>
            <w:vAlign w:val="center"/>
          </w:tcPr>
          <w:p>
            <w:pPr>
              <w:spacing w:before="20" w:after="20" w:line="260" w:lineRule="auto"/>
              <w:ind w:firstLine="0"/>
              <w:jc w:val="center"/>
            </w:pPr>
            <w:r>
              <w:rPr>
                <w:sz w:val="20"/>
                <w:szCs w:val="20"/>
              </w:rPr>
              <w:t xml:space="preserve">2</w:t>
            </w:r>
          </w:p>
        </w:tc>
      </w:tr>
      <w:tr>
        <w:trPr>
          <w:cantSplit/>
        </w:trPr>
        <w:tc>
          <w:tcPr>
            <w:tcW w:type="dxa" w:w="1096"/>
            <w:vAlign w:val="center"/>
          </w:tcPr>
          <w:p>
            <w:pPr>
              <w:spacing w:before="20" w:after="20" w:line="260" w:lineRule="auto"/>
              <w:ind w:firstLine="0"/>
              <w:jc w:val="center"/>
            </w:pPr>
            <w:r>
              <w:rPr>
                <w:sz w:val="20"/>
                <w:szCs w:val="20"/>
              </w:rPr>
              <w:t xml:space="preserve">37</w:t>
            </w:r>
          </w:p>
        </w:tc>
        <w:tc>
          <w:tcPr>
            <w:tcW w:type="dxa" w:w="1096"/>
            <w:vAlign w:val="center"/>
          </w:tcPr>
          <w:p>
            <w:pPr>
              <w:spacing w:before="20" w:after="20" w:line="260" w:lineRule="auto"/>
              <w:ind w:firstLine="0"/>
              <w:jc w:val="center"/>
            </w:pPr>
            <w:r>
              <w:rPr>
                <w:sz w:val="20"/>
                <w:szCs w:val="20"/>
              </w:rPr>
              <w:t xml:space="preserve">191.247</w:t>
            </w:r>
          </w:p>
        </w:tc>
        <w:tc>
          <w:tcPr>
            <w:tcW w:type="dxa" w:w="1096"/>
            <w:vAlign w:val="center"/>
          </w:tcPr>
          <w:p>
            <w:pPr>
              <w:spacing w:before="20" w:after="20" w:line="260" w:lineRule="auto"/>
              <w:ind w:firstLine="0"/>
              <w:jc w:val="center"/>
            </w:pPr>
            <w:r>
              <w:rPr>
                <w:sz w:val="20"/>
                <w:szCs w:val="20"/>
              </w:rPr>
              <w:t xml:space="preserve">226.680</w:t>
            </w:r>
          </w:p>
        </w:tc>
        <w:tc>
          <w:tcPr>
            <w:tcW w:type="dxa" w:w="1096"/>
            <w:vAlign w:val="center"/>
          </w:tcPr>
          <w:p>
            <w:pPr>
              <w:spacing w:before="20" w:after="20" w:line="260" w:lineRule="auto"/>
              <w:ind w:firstLine="0"/>
              <w:jc w:val="center"/>
            </w:pPr>
            <w:r>
              <w:rPr>
                <w:sz w:val="20"/>
                <w:szCs w:val="20"/>
              </w:rPr>
              <w:t xml:space="preserve">283.898</w:t>
            </w:r>
          </w:p>
        </w:tc>
        <w:tc>
          <w:tcPr>
            <w:tcW w:type="dxa" w:w="1397"/>
            <w:vAlign w:val="center"/>
          </w:tcPr>
          <w:p>
            <w:pPr>
              <w:spacing w:before="20" w:after="20" w:line="260" w:lineRule="auto"/>
              <w:ind w:firstLine="0"/>
              <w:jc w:val="center"/>
            </w:pPr>
            <w:r>
              <w:rPr>
                <w:sz w:val="20"/>
                <w:szCs w:val="20"/>
              </w:rPr>
              <w:t xml:space="preserve">102.554</w:t>
            </w:r>
          </w:p>
        </w:tc>
        <w:tc>
          <w:tcPr>
            <w:tcW w:type="dxa" w:w="1096"/>
            <w:vAlign w:val="center"/>
          </w:tcPr>
          <w:p>
            <w:pPr>
              <w:spacing w:before="20" w:after="20" w:line="260" w:lineRule="auto"/>
              <w:ind w:firstLine="0"/>
              <w:jc w:val="center"/>
            </w:pPr>
            <w:r>
              <w:rPr>
                <w:sz w:val="20"/>
                <w:szCs w:val="20"/>
              </w:rPr>
              <w:t xml:space="preserve">19</w:t>
            </w:r>
          </w:p>
        </w:tc>
        <w:tc>
          <w:tcPr>
            <w:tcW w:type="dxa" w:w="1096"/>
            <w:vAlign w:val="center"/>
          </w:tcPr>
          <w:p>
            <w:pPr>
              <w:spacing w:before="20" w:after="20" w:line="260" w:lineRule="auto"/>
              <w:ind w:firstLine="0"/>
              <w:jc w:val="center"/>
            </w:pPr>
            <w:r>
              <w:rPr>
                <w:sz w:val="20"/>
                <w:szCs w:val="20"/>
              </w:rPr>
              <w:t xml:space="preserve">12</w:t>
            </w:r>
          </w:p>
        </w:tc>
        <w:tc>
          <w:tcPr>
            <w:tcW w:type="dxa" w:w="1098"/>
            <w:vAlign w:val="center"/>
          </w:tcPr>
          <w:p>
            <w:pPr>
              <w:spacing w:before="20" w:after="20" w:line="260" w:lineRule="auto"/>
              <w:ind w:firstLine="0"/>
              <w:jc w:val="center"/>
            </w:pPr>
            <w:r>
              <w:rPr>
                <w:sz w:val="20"/>
                <w:szCs w:val="20"/>
              </w:rPr>
              <w:t xml:space="preserve">2</w:t>
            </w:r>
          </w:p>
        </w:tc>
      </w:tr>
      <w:tr>
        <w:trPr>
          <w:cantSplit/>
        </w:trPr>
        <w:tc>
          <w:tcPr>
            <w:tcW w:type="dxa" w:w="1096"/>
            <w:vAlign w:val="center"/>
          </w:tcPr>
          <w:p>
            <w:pPr>
              <w:spacing w:before="20" w:after="20" w:line="260" w:lineRule="auto"/>
              <w:ind w:firstLine="0"/>
              <w:jc w:val="center"/>
            </w:pPr>
            <w:r>
              <w:rPr>
                <w:sz w:val="20"/>
                <w:szCs w:val="20"/>
              </w:rPr>
              <w:t xml:space="preserve">38</w:t>
            </w:r>
          </w:p>
        </w:tc>
        <w:tc>
          <w:tcPr>
            <w:tcW w:type="dxa" w:w="1096"/>
            <w:vAlign w:val="center"/>
          </w:tcPr>
          <w:p>
            <w:pPr>
              <w:spacing w:before="20" w:after="20" w:line="260" w:lineRule="auto"/>
              <w:ind w:firstLine="0"/>
              <w:jc w:val="center"/>
            </w:pPr>
            <w:r>
              <w:rPr>
                <w:sz w:val="20"/>
                <w:szCs w:val="20"/>
              </w:rPr>
              <w:t xml:space="preserve">180.097</w:t>
            </w:r>
          </w:p>
        </w:tc>
        <w:tc>
          <w:tcPr>
            <w:tcW w:type="dxa" w:w="1096"/>
            <w:vAlign w:val="center"/>
          </w:tcPr>
          <w:p>
            <w:pPr>
              <w:spacing w:before="20" w:after="20" w:line="260" w:lineRule="auto"/>
              <w:ind w:firstLine="0"/>
              <w:jc w:val="center"/>
            </w:pPr>
            <w:r>
              <w:rPr>
                <w:sz w:val="20"/>
                <w:szCs w:val="20"/>
              </w:rPr>
              <w:t xml:space="preserve">216.077</w:t>
            </w:r>
          </w:p>
        </w:tc>
        <w:tc>
          <w:tcPr>
            <w:tcW w:type="dxa" w:w="1096"/>
            <w:vAlign w:val="center"/>
          </w:tcPr>
          <w:p>
            <w:pPr>
              <w:spacing w:before="20" w:after="20" w:line="260" w:lineRule="auto"/>
              <w:ind w:firstLine="0"/>
              <w:jc w:val="center"/>
            </w:pPr>
            <w:r>
              <w:rPr>
                <w:sz w:val="20"/>
                <w:szCs w:val="20"/>
              </w:rPr>
              <w:t xml:space="preserve">274.074</w:t>
            </w:r>
          </w:p>
        </w:tc>
        <w:tc>
          <w:tcPr>
            <w:tcW w:type="dxa" w:w="1397"/>
            <w:vAlign w:val="center"/>
          </w:tcPr>
          <w:p>
            <w:pPr>
              <w:spacing w:before="20" w:after="20" w:line="260" w:lineRule="auto"/>
              <w:ind w:firstLine="0"/>
              <w:jc w:val="center"/>
            </w:pPr>
            <w:r>
              <w:rPr>
                <w:sz w:val="20"/>
                <w:szCs w:val="20"/>
              </w:rPr>
              <w:t xml:space="preserve">101.212</w:t>
            </w:r>
          </w:p>
        </w:tc>
        <w:tc>
          <w:tcPr>
            <w:tcW w:type="dxa" w:w="1096"/>
            <w:vAlign w:val="center"/>
          </w:tcPr>
          <w:p>
            <w:pPr>
              <w:spacing w:before="20" w:after="20" w:line="260" w:lineRule="auto"/>
              <w:ind w:firstLine="0"/>
              <w:jc w:val="center"/>
            </w:pPr>
            <w:r>
              <w:rPr>
                <w:sz w:val="20"/>
                <w:szCs w:val="20"/>
              </w:rPr>
              <w:t xml:space="preserve">19</w:t>
            </w:r>
          </w:p>
        </w:tc>
        <w:tc>
          <w:tcPr>
            <w:tcW w:type="dxa" w:w="1096"/>
            <w:vAlign w:val="center"/>
          </w:tcPr>
          <w:p>
            <w:pPr>
              <w:spacing w:before="20" w:after="20" w:line="260" w:lineRule="auto"/>
              <w:ind w:firstLine="0"/>
              <w:jc w:val="center"/>
            </w:pPr>
            <w:r>
              <w:rPr>
                <w:sz w:val="20"/>
                <w:szCs w:val="20"/>
              </w:rPr>
              <w:t xml:space="preserve">12</w:t>
            </w:r>
          </w:p>
        </w:tc>
        <w:tc>
          <w:tcPr>
            <w:tcW w:type="dxa" w:w="1098"/>
            <w:vAlign w:val="center"/>
          </w:tcPr>
          <w:p>
            <w:pPr>
              <w:spacing w:before="20" w:after="20" w:line="260" w:lineRule="auto"/>
              <w:ind w:firstLine="0"/>
              <w:jc w:val="center"/>
            </w:pPr>
            <w:r>
              <w:rPr>
                <w:sz w:val="20"/>
                <w:szCs w:val="20"/>
              </w:rPr>
              <w:t xml:space="preserve">2</w:t>
            </w:r>
          </w:p>
        </w:tc>
      </w:tr>
      <w:tr>
        <w:trPr>
          <w:cantSplit/>
        </w:trPr>
        <w:tc>
          <w:tcPr>
            <w:tcW w:type="dxa" w:w="1096"/>
            <w:vAlign w:val="center"/>
          </w:tcPr>
          <w:p>
            <w:pPr>
              <w:spacing w:before="20" w:after="20" w:line="260" w:lineRule="auto"/>
              <w:ind w:firstLine="0"/>
              <w:jc w:val="center"/>
            </w:pPr>
            <w:r>
              <w:rPr>
                <w:sz w:val="20"/>
                <w:szCs w:val="20"/>
              </w:rPr>
              <w:t xml:space="preserve">39</w:t>
            </w:r>
          </w:p>
        </w:tc>
        <w:tc>
          <w:tcPr>
            <w:tcW w:type="dxa" w:w="1096"/>
            <w:vAlign w:val="center"/>
          </w:tcPr>
          <w:p>
            <w:pPr>
              <w:spacing w:before="20" w:after="20" w:line="260" w:lineRule="auto"/>
              <w:ind w:firstLine="0"/>
              <w:jc w:val="center"/>
            </w:pPr>
            <w:r>
              <w:rPr>
                <w:sz w:val="20"/>
                <w:szCs w:val="20"/>
              </w:rPr>
              <w:t xml:space="preserve">235.450</w:t>
            </w:r>
          </w:p>
        </w:tc>
        <w:tc>
          <w:tcPr>
            <w:tcW w:type="dxa" w:w="1096"/>
            <w:vAlign w:val="center"/>
          </w:tcPr>
          <w:p>
            <w:pPr>
              <w:spacing w:before="20" w:after="20" w:line="260" w:lineRule="auto"/>
              <w:ind w:firstLine="0"/>
              <w:jc w:val="center"/>
            </w:pPr>
            <w:r>
              <w:rPr>
                <w:sz w:val="20"/>
                <w:szCs w:val="20"/>
              </w:rPr>
              <w:t xml:space="preserve">275.875</w:t>
            </w:r>
          </w:p>
        </w:tc>
        <w:tc>
          <w:tcPr>
            <w:tcW w:type="dxa" w:w="1096"/>
            <w:vAlign w:val="center"/>
          </w:tcPr>
          <w:p>
            <w:pPr>
              <w:spacing w:before="20" w:after="20" w:line="260" w:lineRule="auto"/>
              <w:ind w:firstLine="0"/>
              <w:jc w:val="center"/>
            </w:pPr>
            <w:r>
              <w:rPr>
                <w:sz w:val="20"/>
                <w:szCs w:val="20"/>
              </w:rPr>
              <w:t xml:space="preserve">342.459</w:t>
            </w:r>
          </w:p>
        </w:tc>
        <w:tc>
          <w:tcPr>
            <w:tcW w:type="dxa" w:w="1397"/>
            <w:vAlign w:val="center"/>
          </w:tcPr>
          <w:p>
            <w:pPr>
              <w:spacing w:before="20" w:after="20" w:line="260" w:lineRule="auto"/>
              <w:ind w:firstLine="0"/>
              <w:jc w:val="center"/>
            </w:pPr>
            <w:r>
              <w:rPr>
                <w:sz w:val="20"/>
                <w:szCs w:val="20"/>
              </w:rPr>
              <w:t xml:space="preserve">121.759</w:t>
            </w:r>
          </w:p>
        </w:tc>
        <w:tc>
          <w:tcPr>
            <w:tcW w:type="dxa" w:w="1096"/>
            <w:vAlign w:val="center"/>
          </w:tcPr>
          <w:p>
            <w:pPr>
              <w:spacing w:before="20" w:after="20" w:line="260" w:lineRule="auto"/>
              <w:ind w:firstLine="0"/>
              <w:jc w:val="center"/>
            </w:pPr>
            <w:r>
              <w:rPr>
                <w:sz w:val="20"/>
                <w:szCs w:val="20"/>
              </w:rPr>
              <w:t xml:space="preserve">20</w:t>
            </w:r>
          </w:p>
        </w:tc>
        <w:tc>
          <w:tcPr>
            <w:tcW w:type="dxa" w:w="1096"/>
            <w:vAlign w:val="center"/>
          </w:tcPr>
          <w:p>
            <w:pPr>
              <w:spacing w:before="20" w:after="20" w:line="260" w:lineRule="auto"/>
              <w:ind w:firstLine="0"/>
              <w:jc w:val="center"/>
            </w:pPr>
            <w:r>
              <w:rPr>
                <w:sz w:val="20"/>
                <w:szCs w:val="20"/>
              </w:rPr>
              <w:t xml:space="preserve">10</w:t>
            </w:r>
          </w:p>
        </w:tc>
        <w:tc>
          <w:tcPr>
            <w:tcW w:type="dxa" w:w="1098"/>
            <w:vAlign w:val="center"/>
          </w:tcPr>
          <w:p>
            <w:pPr>
              <w:spacing w:before="20" w:after="20" w:line="260" w:lineRule="auto"/>
              <w:ind w:firstLine="0"/>
              <w:jc w:val="center"/>
            </w:pPr>
            <w:r>
              <w:rPr>
                <w:sz w:val="20"/>
                <w:szCs w:val="20"/>
              </w:rPr>
              <w:t xml:space="preserve">3</w:t>
            </w:r>
          </w:p>
        </w:tc>
      </w:tr>
      <w:tr>
        <w:trPr>
          <w:cantSplit/>
        </w:trPr>
        <w:tc>
          <w:tcPr>
            <w:tcW w:type="dxa" w:w="1096"/>
            <w:vAlign w:val="center"/>
          </w:tcPr>
          <w:p>
            <w:pPr>
              <w:spacing w:before="20" w:after="20" w:line="260" w:lineRule="auto"/>
              <w:ind w:firstLine="0"/>
              <w:jc w:val="center"/>
            </w:pPr>
            <w:r>
              <w:rPr>
                <w:sz w:val="20"/>
                <w:szCs w:val="20"/>
              </w:rPr>
              <w:t xml:space="preserve">40</w:t>
            </w:r>
          </w:p>
        </w:tc>
        <w:tc>
          <w:tcPr>
            <w:tcW w:type="dxa" w:w="1096"/>
            <w:vAlign w:val="center"/>
          </w:tcPr>
          <w:p>
            <w:pPr>
              <w:spacing w:before="20" w:after="20" w:line="260" w:lineRule="auto"/>
              <w:ind w:firstLine="0"/>
              <w:jc w:val="center"/>
            </w:pPr>
            <w:r>
              <w:rPr>
                <w:sz w:val="20"/>
                <w:szCs w:val="20"/>
              </w:rPr>
              <w:t xml:space="preserve">220.541</w:t>
            </w:r>
          </w:p>
        </w:tc>
        <w:tc>
          <w:tcPr>
            <w:tcW w:type="dxa" w:w="1096"/>
            <w:vAlign w:val="center"/>
          </w:tcPr>
          <w:p>
            <w:pPr>
              <w:spacing w:before="20" w:after="20" w:line="260" w:lineRule="auto"/>
              <w:ind w:firstLine="0"/>
              <w:jc w:val="center"/>
            </w:pPr>
            <w:r>
              <w:rPr>
                <w:sz w:val="20"/>
                <w:szCs w:val="20"/>
              </w:rPr>
              <w:t xml:space="preserve">254.851</w:t>
            </w:r>
          </w:p>
        </w:tc>
        <w:tc>
          <w:tcPr>
            <w:tcW w:type="dxa" w:w="1096"/>
            <w:vAlign w:val="center"/>
          </w:tcPr>
          <w:p>
            <w:pPr>
              <w:spacing w:before="20" w:after="20" w:line="260" w:lineRule="auto"/>
              <w:ind w:firstLine="0"/>
              <w:jc w:val="center"/>
            </w:pPr>
            <w:r>
              <w:rPr>
                <w:sz w:val="20"/>
                <w:szCs w:val="20"/>
              </w:rPr>
              <w:t xml:space="preserve">311.129</w:t>
            </w:r>
          </w:p>
        </w:tc>
        <w:tc>
          <w:tcPr>
            <w:tcW w:type="dxa" w:w="1397"/>
            <w:vAlign w:val="center"/>
          </w:tcPr>
          <w:p>
            <w:pPr>
              <w:spacing w:before="20" w:after="20" w:line="260" w:lineRule="auto"/>
              <w:ind w:firstLine="0"/>
              <w:jc w:val="center"/>
            </w:pPr>
            <w:r>
              <w:rPr>
                <w:sz w:val="20"/>
                <w:szCs w:val="20"/>
              </w:rPr>
              <w:t xml:space="preserve">107.248</w:t>
            </w:r>
          </w:p>
        </w:tc>
        <w:tc>
          <w:tcPr>
            <w:tcW w:type="dxa" w:w="1096"/>
            <w:vAlign w:val="center"/>
          </w:tcPr>
          <w:p>
            <w:pPr>
              <w:spacing w:before="20" w:after="20" w:line="260" w:lineRule="auto"/>
              <w:ind w:firstLine="0"/>
              <w:jc w:val="center"/>
            </w:pPr>
            <w:r>
              <w:rPr>
                <w:sz w:val="20"/>
                <w:szCs w:val="20"/>
              </w:rPr>
              <w:t xml:space="preserve">20</w:t>
            </w:r>
          </w:p>
        </w:tc>
        <w:tc>
          <w:tcPr>
            <w:tcW w:type="dxa" w:w="1096"/>
            <w:vAlign w:val="center"/>
          </w:tcPr>
          <w:p>
            <w:pPr>
              <w:spacing w:before="20" w:after="20" w:line="260" w:lineRule="auto"/>
              <w:ind w:firstLine="0"/>
              <w:jc w:val="center"/>
            </w:pPr>
            <w:r>
              <w:rPr>
                <w:sz w:val="20"/>
                <w:szCs w:val="20"/>
              </w:rPr>
              <w:t xml:space="preserve">11</w:t>
            </w:r>
          </w:p>
        </w:tc>
        <w:tc>
          <w:tcPr>
            <w:tcW w:type="dxa" w:w="1098"/>
            <w:vAlign w:val="center"/>
          </w:tcPr>
          <w:p>
            <w:pPr>
              <w:spacing w:before="20" w:after="20" w:line="260" w:lineRule="auto"/>
              <w:ind w:firstLine="0"/>
              <w:jc w:val="center"/>
            </w:pPr>
            <w:r>
              <w:rPr>
                <w:sz w:val="20"/>
                <w:szCs w:val="20"/>
              </w:rPr>
              <w:t xml:space="preserve">2</w:t>
            </w:r>
          </w:p>
        </w:tc>
      </w:tr>
      <w:tr>
        <w:trPr>
          <w:cantSplit/>
        </w:trPr>
        <w:tc>
          <w:tcPr>
            <w:tcW w:type="dxa" w:w="1096"/>
            <w:vAlign w:val="center"/>
          </w:tcPr>
          <w:p>
            <w:pPr>
              <w:spacing w:before="20" w:after="20" w:line="260" w:lineRule="auto"/>
              <w:ind w:firstLine="0"/>
              <w:jc w:val="center"/>
            </w:pPr>
            <w:r>
              <w:rPr>
                <w:sz w:val="20"/>
                <w:szCs w:val="20"/>
              </w:rPr>
              <w:t xml:space="preserve">41</w:t>
            </w:r>
          </w:p>
        </w:tc>
        <w:tc>
          <w:tcPr>
            <w:tcW w:type="dxa" w:w="1096"/>
            <w:vAlign w:val="center"/>
          </w:tcPr>
          <w:p>
            <w:pPr>
              <w:spacing w:before="20" w:after="20" w:line="260" w:lineRule="auto"/>
              <w:ind w:firstLine="0"/>
              <w:jc w:val="center"/>
            </w:pPr>
            <w:r>
              <w:rPr>
                <w:sz w:val="20"/>
                <w:szCs w:val="20"/>
              </w:rPr>
              <w:t xml:space="preserve">186.112</w:t>
            </w:r>
          </w:p>
        </w:tc>
        <w:tc>
          <w:tcPr>
            <w:tcW w:type="dxa" w:w="1096"/>
            <w:vAlign w:val="center"/>
          </w:tcPr>
          <w:p>
            <w:pPr>
              <w:spacing w:before="20" w:after="20" w:line="260" w:lineRule="auto"/>
              <w:ind w:firstLine="0"/>
              <w:jc w:val="center"/>
            </w:pPr>
            <w:r>
              <w:rPr>
                <w:sz w:val="20"/>
                <w:szCs w:val="20"/>
              </w:rPr>
              <w:t xml:space="preserve">223.992</w:t>
            </w:r>
          </w:p>
        </w:tc>
        <w:tc>
          <w:tcPr>
            <w:tcW w:type="dxa" w:w="1096"/>
            <w:vAlign w:val="center"/>
          </w:tcPr>
          <w:p>
            <w:pPr>
              <w:spacing w:before="20" w:after="20" w:line="260" w:lineRule="auto"/>
              <w:ind w:firstLine="0"/>
              <w:jc w:val="center"/>
            </w:pPr>
            <w:r>
              <w:rPr>
                <w:sz w:val="20"/>
                <w:szCs w:val="20"/>
              </w:rPr>
              <w:t xml:space="preserve">285.709</w:t>
            </w:r>
          </w:p>
        </w:tc>
        <w:tc>
          <w:tcPr>
            <w:tcW w:type="dxa" w:w="1397"/>
            <w:vAlign w:val="center"/>
          </w:tcPr>
          <w:p>
            <w:pPr>
              <w:spacing w:before="20" w:after="20" w:line="260" w:lineRule="auto"/>
              <w:ind w:firstLine="0"/>
              <w:jc w:val="center"/>
            </w:pPr>
            <w:r>
              <w:rPr>
                <w:sz w:val="20"/>
                <w:szCs w:val="20"/>
              </w:rPr>
              <w:t xml:space="preserve">106.516</w:t>
            </w:r>
          </w:p>
        </w:tc>
        <w:tc>
          <w:tcPr>
            <w:tcW w:type="dxa" w:w="1096"/>
            <w:vAlign w:val="center"/>
          </w:tcPr>
          <w:p>
            <w:pPr>
              <w:spacing w:before="20" w:after="20" w:line="260" w:lineRule="auto"/>
              <w:ind w:firstLine="0"/>
              <w:jc w:val="center"/>
            </w:pPr>
            <w:r>
              <w:rPr>
                <w:sz w:val="20"/>
                <w:szCs w:val="20"/>
              </w:rPr>
              <w:t xml:space="preserve">19</w:t>
            </w:r>
          </w:p>
        </w:tc>
        <w:tc>
          <w:tcPr>
            <w:tcW w:type="dxa" w:w="1096"/>
            <w:vAlign w:val="center"/>
          </w:tcPr>
          <w:p>
            <w:pPr>
              <w:spacing w:before="20" w:after="20" w:line="260" w:lineRule="auto"/>
              <w:ind w:firstLine="0"/>
              <w:jc w:val="center"/>
            </w:pPr>
            <w:r>
              <w:rPr>
                <w:sz w:val="20"/>
                <w:szCs w:val="20"/>
              </w:rPr>
              <w:t xml:space="preserve">13</w:t>
            </w:r>
          </w:p>
        </w:tc>
        <w:tc>
          <w:tcPr>
            <w:tcW w:type="dxa" w:w="1098"/>
            <w:vAlign w:val="center"/>
          </w:tcPr>
          <w:p>
            <w:pPr>
              <w:spacing w:before="20" w:after="20" w:line="260" w:lineRule="auto"/>
              <w:ind w:firstLine="0"/>
              <w:jc w:val="center"/>
            </w:pPr>
            <w:r>
              <w:rPr>
                <w:sz w:val="20"/>
                <w:szCs w:val="20"/>
              </w:rPr>
              <w:t xml:space="preserve">1</w:t>
            </w:r>
          </w:p>
        </w:tc>
      </w:tr>
      <w:tr>
        <w:trPr>
          <w:cantSplit/>
        </w:trPr>
        <w:tc>
          <w:tcPr>
            <w:tcW w:type="dxa" w:w="1096"/>
            <w:vAlign w:val="center"/>
          </w:tcPr>
          <w:p>
            <w:pPr>
              <w:spacing w:before="20" w:after="20" w:line="260" w:lineRule="auto"/>
              <w:ind w:firstLine="0"/>
              <w:jc w:val="center"/>
            </w:pPr>
            <w:r>
              <w:rPr>
                <w:sz w:val="20"/>
                <w:szCs w:val="20"/>
              </w:rPr>
              <w:t xml:space="preserve">42</w:t>
            </w:r>
          </w:p>
        </w:tc>
        <w:tc>
          <w:tcPr>
            <w:tcW w:type="dxa" w:w="1096"/>
            <w:vAlign w:val="center"/>
          </w:tcPr>
          <w:p>
            <w:pPr>
              <w:spacing w:before="20" w:after="20" w:line="260" w:lineRule="auto"/>
              <w:ind w:firstLine="0"/>
              <w:jc w:val="center"/>
            </w:pPr>
            <w:r>
              <w:rPr>
                <w:sz w:val="20"/>
                <w:szCs w:val="20"/>
              </w:rPr>
              <w:t xml:space="preserve">180.551</w:t>
            </w:r>
          </w:p>
        </w:tc>
        <w:tc>
          <w:tcPr>
            <w:tcW w:type="dxa" w:w="1096"/>
            <w:vAlign w:val="center"/>
          </w:tcPr>
          <w:p>
            <w:pPr>
              <w:spacing w:before="20" w:after="20" w:line="260" w:lineRule="auto"/>
              <w:ind w:firstLine="0"/>
              <w:jc w:val="center"/>
            </w:pPr>
            <w:r>
              <w:rPr>
                <w:sz w:val="20"/>
                <w:szCs w:val="20"/>
              </w:rPr>
              <w:t xml:space="preserve">215.015</w:t>
            </w:r>
          </w:p>
        </w:tc>
        <w:tc>
          <w:tcPr>
            <w:tcW w:type="dxa" w:w="1096"/>
            <w:vAlign w:val="center"/>
          </w:tcPr>
          <w:p>
            <w:pPr>
              <w:spacing w:before="20" w:after="20" w:line="260" w:lineRule="auto"/>
              <w:ind w:firstLine="0"/>
              <w:jc w:val="center"/>
            </w:pPr>
            <w:r>
              <w:rPr>
                <w:sz w:val="20"/>
                <w:szCs w:val="20"/>
              </w:rPr>
              <w:t xml:space="preserve">270.379</w:t>
            </w:r>
          </w:p>
        </w:tc>
        <w:tc>
          <w:tcPr>
            <w:tcW w:type="dxa" w:w="1397"/>
            <w:vAlign w:val="center"/>
          </w:tcPr>
          <w:p>
            <w:pPr>
              <w:spacing w:before="20" w:after="20" w:line="260" w:lineRule="auto"/>
              <w:ind w:firstLine="0"/>
              <w:jc w:val="center"/>
            </w:pPr>
            <w:r>
              <w:rPr>
                <w:sz w:val="20"/>
                <w:szCs w:val="20"/>
              </w:rPr>
              <w:t xml:space="preserve">98.368</w:t>
            </w:r>
          </w:p>
        </w:tc>
        <w:tc>
          <w:tcPr>
            <w:tcW w:type="dxa" w:w="1096"/>
            <w:vAlign w:val="center"/>
          </w:tcPr>
          <w:p>
            <w:pPr>
              <w:spacing w:before="20" w:after="20" w:line="260" w:lineRule="auto"/>
              <w:ind w:firstLine="0"/>
              <w:jc w:val="center"/>
            </w:pPr>
            <w:r>
              <w:rPr>
                <w:sz w:val="20"/>
                <w:szCs w:val="20"/>
              </w:rPr>
              <w:t xml:space="preserve">20</w:t>
            </w:r>
          </w:p>
        </w:tc>
        <w:tc>
          <w:tcPr>
            <w:tcW w:type="dxa" w:w="1096"/>
            <w:vAlign w:val="center"/>
          </w:tcPr>
          <w:p>
            <w:pPr>
              <w:spacing w:before="20" w:after="20" w:line="260" w:lineRule="auto"/>
              <w:ind w:firstLine="0"/>
              <w:jc w:val="center"/>
            </w:pPr>
            <w:r>
              <w:rPr>
                <w:sz w:val="20"/>
                <w:szCs w:val="20"/>
              </w:rPr>
              <w:t xml:space="preserve">11</w:t>
            </w:r>
          </w:p>
        </w:tc>
        <w:tc>
          <w:tcPr>
            <w:tcW w:type="dxa" w:w="1098"/>
            <w:vAlign w:val="center"/>
          </w:tcPr>
          <w:p>
            <w:pPr>
              <w:spacing w:before="20" w:after="20" w:line="260" w:lineRule="auto"/>
              <w:ind w:firstLine="0"/>
              <w:jc w:val="center"/>
            </w:pPr>
            <w:r>
              <w:rPr>
                <w:sz w:val="20"/>
                <w:szCs w:val="20"/>
              </w:rPr>
              <w:t xml:space="preserve">2</w:t>
            </w:r>
          </w:p>
        </w:tc>
      </w:tr>
      <w:tr>
        <w:trPr>
          <w:cantSplit/>
        </w:trPr>
        <w:tc>
          <w:tcPr>
            <w:tcW w:type="dxa" w:w="1096"/>
            <w:vAlign w:val="center"/>
          </w:tcPr>
          <w:p>
            <w:pPr>
              <w:spacing w:before="20" w:after="20" w:line="260" w:lineRule="auto"/>
              <w:ind w:firstLine="0"/>
              <w:jc w:val="center"/>
            </w:pPr>
            <w:r>
              <w:rPr>
                <w:sz w:val="20"/>
                <w:szCs w:val="20"/>
              </w:rPr>
              <w:t xml:space="preserve">43</w:t>
            </w:r>
          </w:p>
        </w:tc>
        <w:tc>
          <w:tcPr>
            <w:tcW w:type="dxa" w:w="1096"/>
            <w:vAlign w:val="center"/>
          </w:tcPr>
          <w:p>
            <w:pPr>
              <w:spacing w:before="20" w:after="20" w:line="260" w:lineRule="auto"/>
              <w:ind w:firstLine="0"/>
              <w:jc w:val="center"/>
            </w:pPr>
            <w:r>
              <w:rPr>
                <w:sz w:val="20"/>
                <w:szCs w:val="20"/>
              </w:rPr>
              <w:t xml:space="preserve">226.052</w:t>
            </w:r>
          </w:p>
        </w:tc>
        <w:tc>
          <w:tcPr>
            <w:tcW w:type="dxa" w:w="1096"/>
            <w:vAlign w:val="center"/>
          </w:tcPr>
          <w:p>
            <w:pPr>
              <w:spacing w:before="20" w:after="20" w:line="260" w:lineRule="auto"/>
              <w:ind w:firstLine="0"/>
              <w:jc w:val="center"/>
            </w:pPr>
            <w:r>
              <w:rPr>
                <w:sz w:val="20"/>
                <w:szCs w:val="20"/>
              </w:rPr>
              <w:t xml:space="preserve">259.467</w:t>
            </w:r>
          </w:p>
        </w:tc>
        <w:tc>
          <w:tcPr>
            <w:tcW w:type="dxa" w:w="1096"/>
            <w:vAlign w:val="center"/>
          </w:tcPr>
          <w:p>
            <w:pPr>
              <w:spacing w:before="20" w:after="20" w:line="260" w:lineRule="auto"/>
              <w:ind w:firstLine="0"/>
              <w:jc w:val="center"/>
            </w:pPr>
            <w:r>
              <w:rPr>
                <w:sz w:val="20"/>
                <w:szCs w:val="20"/>
              </w:rPr>
              <w:t xml:space="preserve">313.190</w:t>
            </w:r>
          </w:p>
        </w:tc>
        <w:tc>
          <w:tcPr>
            <w:tcW w:type="dxa" w:w="1397"/>
            <w:vAlign w:val="center"/>
          </w:tcPr>
          <w:p>
            <w:pPr>
              <w:spacing w:before="20" w:after="20" w:line="260" w:lineRule="auto"/>
              <w:ind w:firstLine="0"/>
              <w:jc w:val="center"/>
            </w:pPr>
            <w:r>
              <w:rPr>
                <w:sz w:val="20"/>
                <w:szCs w:val="20"/>
              </w:rPr>
              <w:t xml:space="preserve">105.617</w:t>
            </w:r>
          </w:p>
        </w:tc>
        <w:tc>
          <w:tcPr>
            <w:tcW w:type="dxa" w:w="1096"/>
            <w:vAlign w:val="center"/>
          </w:tcPr>
          <w:p>
            <w:pPr>
              <w:spacing w:before="20" w:after="20" w:line="260" w:lineRule="auto"/>
              <w:ind w:firstLine="0"/>
              <w:jc w:val="center"/>
            </w:pPr>
            <w:r>
              <w:rPr>
                <w:sz w:val="20"/>
                <w:szCs w:val="20"/>
              </w:rPr>
              <w:t xml:space="preserve">19</w:t>
            </w:r>
          </w:p>
        </w:tc>
        <w:tc>
          <w:tcPr>
            <w:tcW w:type="dxa" w:w="1096"/>
            <w:vAlign w:val="center"/>
          </w:tcPr>
          <w:p>
            <w:pPr>
              <w:spacing w:before="20" w:after="20" w:line="260" w:lineRule="auto"/>
              <w:ind w:firstLine="0"/>
              <w:jc w:val="center"/>
            </w:pPr>
            <w:r>
              <w:rPr>
                <w:sz w:val="20"/>
                <w:szCs w:val="20"/>
              </w:rPr>
              <w:t xml:space="preserve">12</w:t>
            </w:r>
          </w:p>
        </w:tc>
        <w:tc>
          <w:tcPr>
            <w:tcW w:type="dxa" w:w="1098"/>
            <w:vAlign w:val="center"/>
          </w:tcPr>
          <w:p>
            <w:pPr>
              <w:spacing w:before="20" w:after="20" w:line="260" w:lineRule="auto"/>
              <w:ind w:firstLine="0"/>
              <w:jc w:val="center"/>
            </w:pPr>
            <w:r>
              <w:rPr>
                <w:sz w:val="20"/>
                <w:szCs w:val="20"/>
              </w:rPr>
              <w:t xml:space="preserve">2</w:t>
            </w:r>
          </w:p>
        </w:tc>
      </w:tr>
      <w:tr>
        <w:trPr>
          <w:cantSplit/>
        </w:trPr>
        <w:tc>
          <w:tcPr>
            <w:tcW w:type="dxa" w:w="1096"/>
            <w:vAlign w:val="center"/>
          </w:tcPr>
          <w:p>
            <w:pPr>
              <w:spacing w:before="20" w:after="20" w:line="260" w:lineRule="auto"/>
              <w:ind w:firstLine="0"/>
              <w:jc w:val="center"/>
            </w:pPr>
            <w:r>
              <w:rPr>
                <w:sz w:val="20"/>
                <w:szCs w:val="20"/>
              </w:rPr>
              <w:t xml:space="preserve">44</w:t>
            </w:r>
          </w:p>
        </w:tc>
        <w:tc>
          <w:tcPr>
            <w:tcW w:type="dxa" w:w="1096"/>
            <w:vAlign w:val="center"/>
          </w:tcPr>
          <w:p>
            <w:pPr>
              <w:spacing w:before="20" w:after="20" w:line="260" w:lineRule="auto"/>
              <w:ind w:firstLine="0"/>
              <w:jc w:val="center"/>
            </w:pPr>
            <w:r>
              <w:rPr>
                <w:sz w:val="20"/>
                <w:szCs w:val="20"/>
              </w:rPr>
              <w:t xml:space="preserve">662.662</w:t>
            </w:r>
          </w:p>
        </w:tc>
        <w:tc>
          <w:tcPr>
            <w:tcW w:type="dxa" w:w="1096"/>
            <w:vAlign w:val="center"/>
          </w:tcPr>
          <w:p>
            <w:pPr>
              <w:spacing w:before="20" w:after="20" w:line="260" w:lineRule="auto"/>
              <w:ind w:firstLine="0"/>
              <w:jc w:val="center"/>
            </w:pPr>
            <w:r>
              <w:rPr>
                <w:sz w:val="20"/>
                <w:szCs w:val="20"/>
              </w:rPr>
              <w:t xml:space="preserve">726.743</w:t>
            </w:r>
          </w:p>
        </w:tc>
        <w:tc>
          <w:tcPr>
            <w:tcW w:type="dxa" w:w="1096"/>
            <w:vAlign w:val="center"/>
          </w:tcPr>
          <w:p>
            <w:pPr>
              <w:spacing w:before="20" w:after="20" w:line="260" w:lineRule="auto"/>
              <w:ind w:firstLine="0"/>
              <w:jc w:val="center"/>
            </w:pPr>
            <w:r>
              <w:rPr>
                <w:sz w:val="20"/>
                <w:szCs w:val="20"/>
              </w:rPr>
              <w:t xml:space="preserve">832.808</w:t>
            </w:r>
          </w:p>
        </w:tc>
        <w:tc>
          <w:tcPr>
            <w:tcW w:type="dxa" w:w="1397"/>
            <w:vAlign w:val="center"/>
          </w:tcPr>
          <w:p>
            <w:pPr>
              <w:spacing w:before="20" w:after="20" w:line="260" w:lineRule="auto"/>
              <w:ind w:firstLine="0"/>
              <w:jc w:val="center"/>
            </w:pPr>
            <w:r>
              <w:rPr>
                <w:sz w:val="20"/>
                <w:szCs w:val="20"/>
              </w:rPr>
              <w:t xml:space="preserve">251.413</w:t>
            </w:r>
          </w:p>
        </w:tc>
        <w:tc>
          <w:tcPr>
            <w:tcW w:type="dxa" w:w="1096"/>
            <w:vAlign w:val="center"/>
          </w:tcPr>
          <w:p>
            <w:pPr>
              <w:spacing w:before="20" w:after="20" w:line="260" w:lineRule="auto"/>
              <w:ind w:firstLine="0"/>
              <w:jc w:val="center"/>
            </w:pPr>
            <w:r>
              <w:rPr>
                <w:sz w:val="20"/>
                <w:szCs w:val="20"/>
              </w:rPr>
              <w:t xml:space="preserve">13</w:t>
            </w:r>
          </w:p>
        </w:tc>
        <w:tc>
          <w:tcPr>
            <w:tcW w:type="dxa" w:w="1096"/>
            <w:vAlign w:val="center"/>
          </w:tcPr>
          <w:p>
            <w:pPr>
              <w:spacing w:before="20" w:after="20" w:line="260" w:lineRule="auto"/>
              <w:ind w:firstLine="0"/>
              <w:jc w:val="center"/>
            </w:pPr>
            <w:r>
              <w:rPr>
                <w:sz w:val="20"/>
                <w:szCs w:val="20"/>
              </w:rPr>
              <w:t xml:space="preserve">17</w:t>
            </w:r>
          </w:p>
        </w:tc>
        <w:tc>
          <w:tcPr>
            <w:tcW w:type="dxa" w:w="1098"/>
            <w:vAlign w:val="center"/>
          </w:tcPr>
          <w:p>
            <w:pPr>
              <w:spacing w:before="20" w:after="20" w:line="260" w:lineRule="auto"/>
              <w:ind w:firstLine="0"/>
              <w:jc w:val="center"/>
            </w:pPr>
            <w:r>
              <w:rPr>
                <w:sz w:val="20"/>
                <w:szCs w:val="20"/>
              </w:rPr>
              <w:t xml:space="preserve">3</w:t>
            </w:r>
          </w:p>
        </w:tc>
      </w:tr>
      <w:tr>
        <w:trPr>
          <w:cantSplit/>
        </w:trPr>
        <w:tc>
          <w:tcPr>
            <w:tcW w:type="dxa" w:w="1096"/>
            <w:vAlign w:val="center"/>
          </w:tcPr>
          <w:p>
            <w:pPr>
              <w:spacing w:before="20" w:after="20" w:line="260" w:lineRule="auto"/>
              <w:ind w:firstLine="0"/>
              <w:jc w:val="center"/>
            </w:pPr>
            <w:r>
              <w:rPr>
                <w:sz w:val="20"/>
                <w:szCs w:val="20"/>
              </w:rPr>
              <w:t xml:space="preserve">45</w:t>
            </w:r>
          </w:p>
        </w:tc>
        <w:tc>
          <w:tcPr>
            <w:tcW w:type="dxa" w:w="1096"/>
            <w:vAlign w:val="center"/>
          </w:tcPr>
          <w:p>
            <w:pPr>
              <w:spacing w:before="20" w:after="20" w:line="260" w:lineRule="auto"/>
              <w:ind w:firstLine="0"/>
              <w:jc w:val="center"/>
            </w:pPr>
            <w:r>
              <w:rPr>
                <w:sz w:val="20"/>
                <w:szCs w:val="20"/>
              </w:rPr>
              <w:t xml:space="preserve">600.844</w:t>
            </w:r>
          </w:p>
        </w:tc>
        <w:tc>
          <w:tcPr>
            <w:tcW w:type="dxa" w:w="1096"/>
            <w:vAlign w:val="center"/>
          </w:tcPr>
          <w:p>
            <w:pPr>
              <w:spacing w:before="20" w:after="20" w:line="260" w:lineRule="auto"/>
              <w:ind w:firstLine="0"/>
              <w:jc w:val="center"/>
            </w:pPr>
            <w:r>
              <w:rPr>
                <w:sz w:val="20"/>
                <w:szCs w:val="20"/>
              </w:rPr>
              <w:t xml:space="preserve">663.022</w:t>
            </w:r>
          </w:p>
        </w:tc>
        <w:tc>
          <w:tcPr>
            <w:tcW w:type="dxa" w:w="1096"/>
            <w:vAlign w:val="center"/>
          </w:tcPr>
          <w:p>
            <w:pPr>
              <w:spacing w:before="20" w:after="20" w:line="260" w:lineRule="auto"/>
              <w:ind w:firstLine="0"/>
              <w:jc w:val="center"/>
            </w:pPr>
            <w:r>
              <w:rPr>
                <w:sz w:val="20"/>
                <w:szCs w:val="20"/>
              </w:rPr>
              <w:t xml:space="preserve">766.781</w:t>
            </w:r>
          </w:p>
        </w:tc>
        <w:tc>
          <w:tcPr>
            <w:tcW w:type="dxa" w:w="1397"/>
            <w:vAlign w:val="center"/>
          </w:tcPr>
          <w:p>
            <w:pPr>
              <w:spacing w:before="20" w:after="20" w:line="260" w:lineRule="auto"/>
              <w:ind w:firstLine="0"/>
              <w:jc w:val="center"/>
            </w:pPr>
            <w:r>
              <w:rPr>
                <w:sz w:val="20"/>
                <w:szCs w:val="20"/>
              </w:rPr>
              <w:t xml:space="preserve">236.363</w:t>
            </w:r>
          </w:p>
        </w:tc>
        <w:tc>
          <w:tcPr>
            <w:tcW w:type="dxa" w:w="1096"/>
            <w:vAlign w:val="center"/>
          </w:tcPr>
          <w:p>
            <w:pPr>
              <w:spacing w:before="20" w:after="20" w:line="260" w:lineRule="auto"/>
              <w:ind w:firstLine="0"/>
              <w:jc w:val="center"/>
            </w:pPr>
            <w:r>
              <w:rPr>
                <w:sz w:val="20"/>
                <w:szCs w:val="20"/>
              </w:rPr>
              <w:t xml:space="preserve">15</w:t>
            </w:r>
          </w:p>
        </w:tc>
        <w:tc>
          <w:tcPr>
            <w:tcW w:type="dxa" w:w="1096"/>
            <w:vAlign w:val="center"/>
          </w:tcPr>
          <w:p>
            <w:pPr>
              <w:spacing w:before="20" w:after="20" w:line="260" w:lineRule="auto"/>
              <w:ind w:firstLine="0"/>
              <w:jc w:val="center"/>
            </w:pPr>
            <w:r>
              <w:rPr>
                <w:sz w:val="20"/>
                <w:szCs w:val="20"/>
              </w:rPr>
              <w:t xml:space="preserve">15</w:t>
            </w:r>
          </w:p>
        </w:tc>
        <w:tc>
          <w:tcPr>
            <w:tcW w:type="dxa" w:w="1098"/>
            <w:vAlign w:val="center"/>
          </w:tcPr>
          <w:p>
            <w:pPr>
              <w:spacing w:before="20" w:after="20" w:line="260" w:lineRule="auto"/>
              <w:ind w:firstLine="0"/>
              <w:jc w:val="center"/>
            </w:pPr>
            <w:r>
              <w:rPr>
                <w:sz w:val="20"/>
                <w:szCs w:val="20"/>
              </w:rPr>
              <w:t xml:space="preserve">3</w:t>
            </w:r>
          </w:p>
        </w:tc>
      </w:tr>
      <w:tr>
        <w:trPr>
          <w:cantSplit/>
        </w:trPr>
        <w:tc>
          <w:tcPr>
            <w:tcW w:type="dxa" w:w="1096"/>
            <w:vAlign w:val="center"/>
          </w:tcPr>
          <w:p>
            <w:pPr>
              <w:spacing w:before="20" w:after="20" w:line="260" w:lineRule="auto"/>
              <w:ind w:firstLine="0"/>
              <w:jc w:val="center"/>
            </w:pPr>
            <w:r>
              <w:rPr>
                <w:sz w:val="20"/>
                <w:szCs w:val="20"/>
              </w:rPr>
              <w:t xml:space="preserve">46</w:t>
            </w:r>
          </w:p>
        </w:tc>
        <w:tc>
          <w:tcPr>
            <w:tcW w:type="dxa" w:w="1096"/>
            <w:vAlign w:val="center"/>
          </w:tcPr>
          <w:p>
            <w:pPr>
              <w:spacing w:before="20" w:after="20" w:line="260" w:lineRule="auto"/>
              <w:ind w:firstLine="0"/>
              <w:jc w:val="center"/>
            </w:pPr>
            <w:r>
              <w:rPr>
                <w:sz w:val="20"/>
                <w:szCs w:val="20"/>
              </w:rPr>
              <w:t xml:space="preserve">441.072</w:t>
            </w:r>
          </w:p>
        </w:tc>
        <w:tc>
          <w:tcPr>
            <w:tcW w:type="dxa" w:w="1096"/>
            <w:vAlign w:val="center"/>
          </w:tcPr>
          <w:p>
            <w:pPr>
              <w:spacing w:before="20" w:after="20" w:line="260" w:lineRule="auto"/>
              <w:ind w:firstLine="0"/>
              <w:jc w:val="center"/>
            </w:pPr>
            <w:r>
              <w:rPr>
                <w:sz w:val="20"/>
                <w:szCs w:val="20"/>
              </w:rPr>
              <w:t xml:space="preserve">495.780</w:t>
            </w:r>
          </w:p>
        </w:tc>
        <w:tc>
          <w:tcPr>
            <w:tcW w:type="dxa" w:w="1096"/>
            <w:vAlign w:val="center"/>
          </w:tcPr>
          <w:p>
            <w:pPr>
              <w:spacing w:before="20" w:after="20" w:line="260" w:lineRule="auto"/>
              <w:ind w:firstLine="0"/>
              <w:jc w:val="center"/>
            </w:pPr>
            <w:r>
              <w:rPr>
                <w:sz w:val="20"/>
                <w:szCs w:val="20"/>
              </w:rPr>
              <w:t xml:space="preserve">586.288</w:t>
            </w:r>
          </w:p>
        </w:tc>
        <w:tc>
          <w:tcPr>
            <w:tcW w:type="dxa" w:w="1397"/>
            <w:vAlign w:val="center"/>
          </w:tcPr>
          <w:p>
            <w:pPr>
              <w:spacing w:before="20" w:after="20" w:line="260" w:lineRule="auto"/>
              <w:ind w:firstLine="0"/>
              <w:jc w:val="center"/>
            </w:pPr>
            <w:r>
              <w:rPr>
                <w:sz w:val="20"/>
                <w:szCs w:val="20"/>
              </w:rPr>
              <w:t xml:space="preserve">189.665</w:t>
            </w:r>
          </w:p>
        </w:tc>
        <w:tc>
          <w:tcPr>
            <w:tcW w:type="dxa" w:w="1096"/>
            <w:vAlign w:val="center"/>
          </w:tcPr>
          <w:p>
            <w:pPr>
              <w:spacing w:before="20" w:after="20" w:line="260" w:lineRule="auto"/>
              <w:ind w:firstLine="0"/>
              <w:jc w:val="center"/>
            </w:pPr>
            <w:r>
              <w:rPr>
                <w:sz w:val="20"/>
                <w:szCs w:val="20"/>
              </w:rPr>
              <w:t xml:space="preserve">17</w:t>
            </w:r>
          </w:p>
        </w:tc>
        <w:tc>
          <w:tcPr>
            <w:tcW w:type="dxa" w:w="1096"/>
            <w:vAlign w:val="center"/>
          </w:tcPr>
          <w:p>
            <w:pPr>
              <w:spacing w:before="20" w:after="20" w:line="260" w:lineRule="auto"/>
              <w:ind w:firstLine="0"/>
              <w:jc w:val="center"/>
            </w:pPr>
            <w:r>
              <w:rPr>
                <w:sz w:val="20"/>
                <w:szCs w:val="20"/>
              </w:rPr>
              <w:t xml:space="preserve">14</w:t>
            </w:r>
          </w:p>
        </w:tc>
        <w:tc>
          <w:tcPr>
            <w:tcW w:type="dxa" w:w="1098"/>
            <w:vAlign w:val="center"/>
          </w:tcPr>
          <w:p>
            <w:pPr>
              <w:spacing w:before="20" w:after="20" w:line="260" w:lineRule="auto"/>
              <w:ind w:firstLine="0"/>
              <w:jc w:val="center"/>
            </w:pPr>
            <w:r>
              <w:rPr>
                <w:sz w:val="20"/>
                <w:szCs w:val="20"/>
              </w:rPr>
              <w:t xml:space="preserve">2</w:t>
            </w:r>
          </w:p>
        </w:tc>
      </w:tr>
      <w:tr>
        <w:trPr>
          <w:cantSplit/>
        </w:trPr>
        <w:tc>
          <w:tcPr>
            <w:tcW w:type="dxa" w:w="1096"/>
            <w:vAlign w:val="center"/>
          </w:tcPr>
          <w:p>
            <w:pPr>
              <w:spacing w:before="20" w:after="20" w:line="260" w:lineRule="auto"/>
              <w:ind w:firstLine="0"/>
              <w:jc w:val="center"/>
            </w:pPr>
            <w:r>
              <w:rPr>
                <w:sz w:val="20"/>
                <w:szCs w:val="20"/>
              </w:rPr>
              <w:t xml:space="preserve">47</w:t>
            </w:r>
          </w:p>
        </w:tc>
        <w:tc>
          <w:tcPr>
            <w:tcW w:type="dxa" w:w="1096"/>
            <w:vAlign w:val="center"/>
          </w:tcPr>
          <w:p>
            <w:pPr>
              <w:spacing w:before="20" w:after="20" w:line="260" w:lineRule="auto"/>
              <w:ind w:firstLine="0"/>
              <w:jc w:val="center"/>
            </w:pPr>
            <w:r>
              <w:rPr>
                <w:sz w:val="20"/>
                <w:szCs w:val="20"/>
              </w:rPr>
              <w:t xml:space="preserve">556.760</w:t>
            </w:r>
          </w:p>
        </w:tc>
        <w:tc>
          <w:tcPr>
            <w:tcW w:type="dxa" w:w="1096"/>
            <w:vAlign w:val="center"/>
          </w:tcPr>
          <w:p>
            <w:pPr>
              <w:spacing w:before="20" w:after="20" w:line="260" w:lineRule="auto"/>
              <w:ind w:firstLine="0"/>
              <w:jc w:val="center"/>
            </w:pPr>
            <w:r>
              <w:rPr>
                <w:sz w:val="20"/>
                <w:szCs w:val="20"/>
              </w:rPr>
              <w:t xml:space="preserve">615.195</w:t>
            </w:r>
          </w:p>
        </w:tc>
        <w:tc>
          <w:tcPr>
            <w:tcW w:type="dxa" w:w="1096"/>
            <w:vAlign w:val="center"/>
          </w:tcPr>
          <w:p>
            <w:pPr>
              <w:spacing w:before="20" w:after="20" w:line="260" w:lineRule="auto"/>
              <w:ind w:firstLine="0"/>
              <w:jc w:val="center"/>
            </w:pPr>
            <w:r>
              <w:rPr>
                <w:sz w:val="20"/>
                <w:szCs w:val="20"/>
              </w:rPr>
              <w:t xml:space="preserve">712.275</w:t>
            </w:r>
          </w:p>
        </w:tc>
        <w:tc>
          <w:tcPr>
            <w:tcW w:type="dxa" w:w="1397"/>
            <w:vAlign w:val="center"/>
          </w:tcPr>
          <w:p>
            <w:pPr>
              <w:spacing w:before="20" w:after="20" w:line="260" w:lineRule="auto"/>
              <w:ind w:firstLine="0"/>
              <w:jc w:val="center"/>
            </w:pPr>
            <w:r>
              <w:rPr>
                <w:sz w:val="20"/>
                <w:szCs w:val="20"/>
              </w:rPr>
              <w:t xml:space="preserve">220.120</w:t>
            </w:r>
          </w:p>
        </w:tc>
        <w:tc>
          <w:tcPr>
            <w:tcW w:type="dxa" w:w="1096"/>
            <w:vAlign w:val="center"/>
          </w:tcPr>
          <w:p>
            <w:pPr>
              <w:spacing w:before="20" w:after="20" w:line="260" w:lineRule="auto"/>
              <w:ind w:firstLine="0"/>
              <w:jc w:val="center"/>
            </w:pPr>
            <w:r>
              <w:rPr>
                <w:sz w:val="20"/>
                <w:szCs w:val="20"/>
              </w:rPr>
              <w:t xml:space="preserve">18</w:t>
            </w:r>
          </w:p>
        </w:tc>
        <w:tc>
          <w:tcPr>
            <w:tcW w:type="dxa" w:w="1096"/>
            <w:vAlign w:val="center"/>
          </w:tcPr>
          <w:p>
            <w:pPr>
              <w:spacing w:before="20" w:after="20" w:line="260" w:lineRule="auto"/>
              <w:ind w:firstLine="0"/>
              <w:jc w:val="center"/>
            </w:pPr>
            <w:r>
              <w:rPr>
                <w:sz w:val="20"/>
                <w:szCs w:val="20"/>
              </w:rPr>
              <w:t xml:space="preserve">12</w:t>
            </w:r>
          </w:p>
        </w:tc>
        <w:tc>
          <w:tcPr>
            <w:tcW w:type="dxa" w:w="1098"/>
            <w:vAlign w:val="center"/>
          </w:tcPr>
          <w:p>
            <w:pPr>
              <w:spacing w:before="20" w:after="20" w:line="260" w:lineRule="auto"/>
              <w:ind w:firstLine="0"/>
              <w:jc w:val="center"/>
            </w:pPr>
            <w:r>
              <w:rPr>
                <w:sz w:val="20"/>
                <w:szCs w:val="20"/>
              </w:rPr>
              <w:t xml:space="preserve">3</w:t>
            </w:r>
          </w:p>
        </w:tc>
      </w:tr>
      <w:tr>
        <w:trPr>
          <w:cantSplit/>
        </w:trPr>
        <w:tc>
          <w:tcPr>
            <w:tcW w:type="dxa" w:w="1096"/>
            <w:vAlign w:val="center"/>
          </w:tcPr>
          <w:p>
            <w:pPr>
              <w:spacing w:before="20" w:after="20" w:line="260" w:lineRule="auto"/>
              <w:ind w:firstLine="0"/>
              <w:jc w:val="center"/>
            </w:pPr>
            <w:r>
              <w:rPr>
                <w:sz w:val="20"/>
                <w:szCs w:val="20"/>
              </w:rPr>
              <w:t xml:space="preserve">48</w:t>
            </w:r>
          </w:p>
        </w:tc>
        <w:tc>
          <w:tcPr>
            <w:tcW w:type="dxa" w:w="1096"/>
            <w:vAlign w:val="center"/>
          </w:tcPr>
          <w:p>
            <w:pPr>
              <w:spacing w:before="20" w:after="20" w:line="260" w:lineRule="auto"/>
              <w:ind w:firstLine="0"/>
              <w:jc w:val="center"/>
            </w:pPr>
            <w:r>
              <w:rPr>
                <w:sz w:val="20"/>
                <w:szCs w:val="20"/>
              </w:rPr>
              <w:t xml:space="preserve">356.615</w:t>
            </w:r>
          </w:p>
        </w:tc>
        <w:tc>
          <w:tcPr>
            <w:tcW w:type="dxa" w:w="1096"/>
            <w:vAlign w:val="center"/>
          </w:tcPr>
          <w:p>
            <w:pPr>
              <w:spacing w:before="20" w:after="20" w:line="260" w:lineRule="auto"/>
              <w:ind w:firstLine="0"/>
              <w:jc w:val="center"/>
            </w:pPr>
            <w:r>
              <w:rPr>
                <w:sz w:val="20"/>
                <w:szCs w:val="20"/>
              </w:rPr>
              <w:t xml:space="preserve">407.751</w:t>
            </w:r>
          </w:p>
        </w:tc>
        <w:tc>
          <w:tcPr>
            <w:tcW w:type="dxa" w:w="1096"/>
            <w:vAlign w:val="center"/>
          </w:tcPr>
          <w:p>
            <w:pPr>
              <w:spacing w:before="20" w:after="20" w:line="260" w:lineRule="auto"/>
              <w:ind w:firstLine="0"/>
              <w:jc w:val="center"/>
            </w:pPr>
            <w:r>
              <w:rPr>
                <w:sz w:val="20"/>
                <w:szCs w:val="20"/>
              </w:rPr>
              <w:t xml:space="preserve">491.432</w:t>
            </w:r>
          </w:p>
        </w:tc>
        <w:tc>
          <w:tcPr>
            <w:tcW w:type="dxa" w:w="1397"/>
            <w:vAlign w:val="center"/>
          </w:tcPr>
          <w:p>
            <w:pPr>
              <w:spacing w:before="20" w:after="20" w:line="260" w:lineRule="auto"/>
              <w:ind w:firstLine="0"/>
              <w:jc w:val="center"/>
            </w:pPr>
            <w:r>
              <w:rPr>
                <w:sz w:val="20"/>
                <w:szCs w:val="20"/>
              </w:rPr>
              <w:t xml:space="preserve">165.231</w:t>
            </w:r>
          </w:p>
        </w:tc>
        <w:tc>
          <w:tcPr>
            <w:tcW w:type="dxa" w:w="1096"/>
            <w:vAlign w:val="center"/>
          </w:tcPr>
          <w:p>
            <w:pPr>
              <w:spacing w:before="20" w:after="20" w:line="260" w:lineRule="auto"/>
              <w:ind w:firstLine="0"/>
              <w:jc w:val="center"/>
            </w:pPr>
            <w:r>
              <w:rPr>
                <w:sz w:val="20"/>
                <w:szCs w:val="20"/>
              </w:rPr>
              <w:t xml:space="preserve">18</w:t>
            </w:r>
          </w:p>
        </w:tc>
        <w:tc>
          <w:tcPr>
            <w:tcW w:type="dxa" w:w="1096"/>
            <w:vAlign w:val="center"/>
          </w:tcPr>
          <w:p>
            <w:pPr>
              <w:spacing w:before="20" w:after="20" w:line="260" w:lineRule="auto"/>
              <w:ind w:firstLine="0"/>
              <w:jc w:val="center"/>
            </w:pPr>
            <w:r>
              <w:rPr>
                <w:sz w:val="20"/>
                <w:szCs w:val="20"/>
              </w:rPr>
              <w:t xml:space="preserve">13</w:t>
            </w:r>
          </w:p>
        </w:tc>
        <w:tc>
          <w:tcPr>
            <w:tcW w:type="dxa" w:w="1098"/>
            <w:vAlign w:val="center"/>
          </w:tcPr>
          <w:p>
            <w:pPr>
              <w:spacing w:before="20" w:after="20" w:line="260" w:lineRule="auto"/>
              <w:ind w:firstLine="0"/>
              <w:jc w:val="center"/>
            </w:pPr>
            <w:r>
              <w:rPr>
                <w:sz w:val="20"/>
                <w:szCs w:val="20"/>
              </w:rPr>
              <w:t xml:space="preserve">2</w:t>
            </w:r>
          </w:p>
        </w:tc>
      </w:tr>
      <w:tr>
        <w:trPr>
          <w:cantSplit/>
        </w:trPr>
        <w:tc>
          <w:tcPr>
            <w:tcW w:type="dxa" w:w="1096"/>
            <w:vAlign w:val="center"/>
          </w:tcPr>
          <w:p>
            <w:pPr>
              <w:spacing w:before="20" w:after="20" w:line="260" w:lineRule="auto"/>
              <w:ind w:firstLine="0"/>
              <w:jc w:val="center"/>
            </w:pPr>
            <w:r>
              <w:rPr>
                <w:sz w:val="20"/>
                <w:szCs w:val="20"/>
              </w:rPr>
              <w:t xml:space="preserve">49</w:t>
            </w:r>
          </w:p>
        </w:tc>
        <w:tc>
          <w:tcPr>
            <w:tcW w:type="dxa" w:w="1096"/>
            <w:vAlign w:val="center"/>
          </w:tcPr>
          <w:p>
            <w:pPr>
              <w:spacing w:before="20" w:after="20" w:line="260" w:lineRule="auto"/>
              <w:ind w:firstLine="0"/>
              <w:jc w:val="center"/>
            </w:pPr>
            <w:r>
              <w:rPr>
                <w:sz w:val="20"/>
                <w:szCs w:val="20"/>
              </w:rPr>
              <w:t xml:space="preserve">508.341</w:t>
            </w:r>
          </w:p>
        </w:tc>
        <w:tc>
          <w:tcPr>
            <w:tcW w:type="dxa" w:w="1096"/>
            <w:vAlign w:val="center"/>
          </w:tcPr>
          <w:p>
            <w:pPr>
              <w:spacing w:before="20" w:after="20" w:line="260" w:lineRule="auto"/>
              <w:ind w:firstLine="0"/>
              <w:jc w:val="center"/>
            </w:pPr>
            <w:r>
              <w:rPr>
                <w:sz w:val="20"/>
                <w:szCs w:val="20"/>
              </w:rPr>
              <w:t xml:space="preserve">567.382</w:t>
            </w:r>
          </w:p>
        </w:tc>
        <w:tc>
          <w:tcPr>
            <w:tcW w:type="dxa" w:w="1096"/>
            <w:vAlign w:val="center"/>
          </w:tcPr>
          <w:p>
            <w:pPr>
              <w:spacing w:before="20" w:after="20" w:line="260" w:lineRule="auto"/>
              <w:ind w:firstLine="0"/>
              <w:jc w:val="center"/>
            </w:pPr>
            <w:r>
              <w:rPr>
                <w:sz w:val="20"/>
                <w:szCs w:val="20"/>
              </w:rPr>
              <w:t xml:space="preserve">665.039</w:t>
            </w:r>
          </w:p>
        </w:tc>
        <w:tc>
          <w:tcPr>
            <w:tcW w:type="dxa" w:w="1397"/>
            <w:vAlign w:val="center"/>
          </w:tcPr>
          <w:p>
            <w:pPr>
              <w:spacing w:before="20" w:after="20" w:line="260" w:lineRule="auto"/>
              <w:ind w:firstLine="0"/>
              <w:jc w:val="center"/>
            </w:pPr>
            <w:r>
              <w:rPr>
                <w:sz w:val="20"/>
                <w:szCs w:val="20"/>
              </w:rPr>
              <w:t xml:space="preserve">211.133</w:t>
            </w:r>
          </w:p>
        </w:tc>
        <w:tc>
          <w:tcPr>
            <w:tcW w:type="dxa" w:w="1096"/>
            <w:vAlign w:val="center"/>
          </w:tcPr>
          <w:p>
            <w:pPr>
              <w:spacing w:before="20" w:after="20" w:line="260" w:lineRule="auto"/>
              <w:ind w:firstLine="0"/>
              <w:jc w:val="center"/>
            </w:pPr>
            <w:r>
              <w:rPr>
                <w:sz w:val="20"/>
                <w:szCs w:val="20"/>
              </w:rPr>
              <w:t xml:space="preserve">17</w:t>
            </w:r>
          </w:p>
        </w:tc>
        <w:tc>
          <w:tcPr>
            <w:tcW w:type="dxa" w:w="1096"/>
            <w:vAlign w:val="center"/>
          </w:tcPr>
          <w:p>
            <w:pPr>
              <w:spacing w:before="20" w:after="20" w:line="260" w:lineRule="auto"/>
              <w:ind w:firstLine="0"/>
              <w:jc w:val="center"/>
            </w:pPr>
            <w:r>
              <w:rPr>
                <w:sz w:val="20"/>
                <w:szCs w:val="20"/>
              </w:rPr>
              <w:t xml:space="preserve">13</w:t>
            </w:r>
          </w:p>
        </w:tc>
        <w:tc>
          <w:tcPr>
            <w:tcW w:type="dxa" w:w="1098"/>
            <w:vAlign w:val="center"/>
          </w:tcPr>
          <w:p>
            <w:pPr>
              <w:spacing w:before="20" w:after="20" w:line="260" w:lineRule="auto"/>
              <w:ind w:firstLine="0"/>
              <w:jc w:val="center"/>
            </w:pPr>
            <w:r>
              <w:rPr>
                <w:sz w:val="20"/>
                <w:szCs w:val="20"/>
              </w:rPr>
              <w:t xml:space="preserve">3</w:t>
            </w:r>
          </w:p>
        </w:tc>
      </w:tr>
      <w:tr>
        <w:trPr>
          <w:cantSplit/>
        </w:trPr>
        <w:tc>
          <w:tcPr>
            <w:tcW w:type="dxa" w:w="1096"/>
            <w:vAlign w:val="center"/>
          </w:tcPr>
          <w:p>
            <w:pPr>
              <w:spacing w:before="20" w:after="20" w:line="260" w:lineRule="auto"/>
              <w:ind w:firstLine="0"/>
              <w:jc w:val="center"/>
            </w:pPr>
            <w:r>
              <w:rPr>
                <w:sz w:val="20"/>
                <w:szCs w:val="20"/>
              </w:rPr>
              <w:t xml:space="preserve">50</w:t>
            </w:r>
          </w:p>
        </w:tc>
        <w:tc>
          <w:tcPr>
            <w:tcW w:type="dxa" w:w="1096"/>
            <w:vAlign w:val="center"/>
          </w:tcPr>
          <w:p>
            <w:pPr>
              <w:spacing w:before="20" w:after="20" w:line="260" w:lineRule="auto"/>
              <w:ind w:firstLine="0"/>
              <w:jc w:val="center"/>
            </w:pPr>
            <w:r>
              <w:rPr>
                <w:sz w:val="20"/>
                <w:szCs w:val="20"/>
              </w:rPr>
              <w:t xml:space="preserve">298.153</w:t>
            </w:r>
          </w:p>
        </w:tc>
        <w:tc>
          <w:tcPr>
            <w:tcW w:type="dxa" w:w="1096"/>
            <w:vAlign w:val="center"/>
          </w:tcPr>
          <w:p>
            <w:pPr>
              <w:spacing w:before="20" w:after="20" w:line="260" w:lineRule="auto"/>
              <w:ind w:firstLine="0"/>
              <w:jc w:val="center"/>
            </w:pPr>
            <w:r>
              <w:rPr>
                <w:sz w:val="20"/>
                <w:szCs w:val="20"/>
              </w:rPr>
              <w:t xml:space="preserve">345.275</w:t>
            </w:r>
          </w:p>
        </w:tc>
        <w:tc>
          <w:tcPr>
            <w:tcW w:type="dxa" w:w="1096"/>
            <w:vAlign w:val="center"/>
          </w:tcPr>
          <w:p>
            <w:pPr>
              <w:spacing w:before="20" w:after="20" w:line="260" w:lineRule="auto"/>
              <w:ind w:firstLine="0"/>
              <w:jc w:val="center"/>
            </w:pPr>
            <w:r>
              <w:rPr>
                <w:sz w:val="20"/>
                <w:szCs w:val="20"/>
              </w:rPr>
              <w:t xml:space="preserve">421.503</w:t>
            </w:r>
          </w:p>
        </w:tc>
        <w:tc>
          <w:tcPr>
            <w:tcW w:type="dxa" w:w="1397"/>
            <w:vAlign w:val="center"/>
          </w:tcPr>
          <w:p>
            <w:pPr>
              <w:spacing w:before="20" w:after="20" w:line="260" w:lineRule="auto"/>
              <w:ind w:firstLine="0"/>
              <w:jc w:val="center"/>
            </w:pPr>
            <w:r>
              <w:rPr>
                <w:sz w:val="20"/>
                <w:szCs w:val="20"/>
              </w:rPr>
              <w:t xml:space="preserve">145.282</w:t>
            </w:r>
          </w:p>
        </w:tc>
        <w:tc>
          <w:tcPr>
            <w:tcW w:type="dxa" w:w="1096"/>
            <w:vAlign w:val="center"/>
          </w:tcPr>
          <w:p>
            <w:pPr>
              <w:spacing w:before="20" w:after="20" w:line="260" w:lineRule="auto"/>
              <w:ind w:firstLine="0"/>
              <w:jc w:val="center"/>
            </w:pPr>
            <w:r>
              <w:rPr>
                <w:sz w:val="20"/>
                <w:szCs w:val="20"/>
              </w:rPr>
              <w:t xml:space="preserve">18</w:t>
            </w:r>
          </w:p>
        </w:tc>
        <w:tc>
          <w:tcPr>
            <w:tcW w:type="dxa" w:w="1096"/>
            <w:vAlign w:val="center"/>
          </w:tcPr>
          <w:p>
            <w:pPr>
              <w:spacing w:before="20" w:after="20" w:line="260" w:lineRule="auto"/>
              <w:ind w:firstLine="0"/>
              <w:jc w:val="center"/>
            </w:pPr>
            <w:r>
              <w:rPr>
                <w:sz w:val="20"/>
                <w:szCs w:val="20"/>
              </w:rPr>
              <w:t xml:space="preserve">13</w:t>
            </w:r>
          </w:p>
        </w:tc>
        <w:tc>
          <w:tcPr>
            <w:tcW w:type="dxa" w:w="1098"/>
            <w:vAlign w:val="center"/>
          </w:tcPr>
          <w:p>
            <w:pPr>
              <w:spacing w:before="20" w:after="20" w:line="260" w:lineRule="auto"/>
              <w:ind w:firstLine="0"/>
              <w:jc w:val="center"/>
            </w:pPr>
            <w:r>
              <w:rPr>
                <w:sz w:val="20"/>
                <w:szCs w:val="20"/>
              </w:rPr>
              <w:t xml:space="preserve">2</w:t>
            </w:r>
          </w:p>
        </w:tc>
      </w:tr>
      <w:tr>
        <w:trPr>
          <w:cantSplit/>
        </w:trPr>
        <w:tc>
          <w:tcPr>
            <w:tcW w:type="dxa" w:w="1096"/>
            <w:vAlign w:val="center"/>
          </w:tcPr>
          <w:p>
            <w:pPr>
              <w:spacing w:before="20" w:after="20" w:line="260" w:lineRule="auto"/>
              <w:ind w:firstLine="0"/>
              <w:jc w:val="center"/>
            </w:pPr>
            <w:r>
              <w:rPr>
                <w:sz w:val="20"/>
                <w:szCs w:val="20"/>
              </w:rPr>
              <w:t xml:space="preserve">51</w:t>
            </w:r>
          </w:p>
        </w:tc>
        <w:tc>
          <w:tcPr>
            <w:tcW w:type="dxa" w:w="1096"/>
            <w:vAlign w:val="center"/>
          </w:tcPr>
          <w:p>
            <w:pPr>
              <w:spacing w:before="20" w:after="20" w:line="260" w:lineRule="auto"/>
              <w:ind w:firstLine="0"/>
              <w:jc w:val="center"/>
            </w:pPr>
            <w:r>
              <w:rPr>
                <w:sz w:val="20"/>
                <w:szCs w:val="20"/>
              </w:rPr>
              <w:t xml:space="preserve">331.967</w:t>
            </w:r>
          </w:p>
        </w:tc>
        <w:tc>
          <w:tcPr>
            <w:tcW w:type="dxa" w:w="1096"/>
            <w:vAlign w:val="center"/>
          </w:tcPr>
          <w:p>
            <w:pPr>
              <w:spacing w:before="20" w:after="20" w:line="260" w:lineRule="auto"/>
              <w:ind w:firstLine="0"/>
              <w:jc w:val="center"/>
            </w:pPr>
            <w:r>
              <w:rPr>
                <w:sz w:val="20"/>
                <w:szCs w:val="20"/>
              </w:rPr>
              <w:t xml:space="preserve">380.231</w:t>
            </w:r>
          </w:p>
        </w:tc>
        <w:tc>
          <w:tcPr>
            <w:tcW w:type="dxa" w:w="1096"/>
            <w:vAlign w:val="center"/>
          </w:tcPr>
          <w:p>
            <w:pPr>
              <w:spacing w:before="20" w:after="20" w:line="260" w:lineRule="auto"/>
              <w:ind w:firstLine="0"/>
              <w:jc w:val="center"/>
            </w:pPr>
            <w:r>
              <w:rPr>
                <w:sz w:val="20"/>
                <w:szCs w:val="20"/>
              </w:rPr>
              <w:t xml:space="preserve">460.477</w:t>
            </w:r>
          </w:p>
        </w:tc>
        <w:tc>
          <w:tcPr>
            <w:tcW w:type="dxa" w:w="1397"/>
            <w:vAlign w:val="center"/>
          </w:tcPr>
          <w:p>
            <w:pPr>
              <w:spacing w:before="20" w:after="20" w:line="260" w:lineRule="auto"/>
              <w:ind w:firstLine="0"/>
              <w:jc w:val="center"/>
            </w:pPr>
            <w:r>
              <w:rPr>
                <w:sz w:val="20"/>
                <w:szCs w:val="20"/>
              </w:rPr>
              <w:t xml:space="preserve">156.292</w:t>
            </w:r>
          </w:p>
        </w:tc>
        <w:tc>
          <w:tcPr>
            <w:tcW w:type="dxa" w:w="1096"/>
            <w:vAlign w:val="center"/>
          </w:tcPr>
          <w:p>
            <w:pPr>
              <w:spacing w:before="20" w:after="20" w:line="260" w:lineRule="auto"/>
              <w:ind w:firstLine="0"/>
              <w:jc w:val="center"/>
            </w:pPr>
            <w:r>
              <w:rPr>
                <w:sz w:val="20"/>
                <w:szCs w:val="20"/>
              </w:rPr>
              <w:t xml:space="preserve">18</w:t>
            </w:r>
          </w:p>
        </w:tc>
        <w:tc>
          <w:tcPr>
            <w:tcW w:type="dxa" w:w="1096"/>
            <w:vAlign w:val="center"/>
          </w:tcPr>
          <w:p>
            <w:pPr>
              <w:spacing w:before="20" w:after="20" w:line="260" w:lineRule="auto"/>
              <w:ind w:firstLine="0"/>
              <w:jc w:val="center"/>
            </w:pPr>
            <w:r>
              <w:rPr>
                <w:sz w:val="20"/>
                <w:szCs w:val="20"/>
              </w:rPr>
              <w:t xml:space="preserve">12</w:t>
            </w:r>
          </w:p>
        </w:tc>
        <w:tc>
          <w:tcPr>
            <w:tcW w:type="dxa" w:w="1098"/>
            <w:vAlign w:val="center"/>
          </w:tcPr>
          <w:p>
            <w:pPr>
              <w:spacing w:before="20" w:after="20" w:line="260" w:lineRule="auto"/>
              <w:ind w:firstLine="0"/>
              <w:jc w:val="center"/>
            </w:pPr>
            <w:r>
              <w:rPr>
                <w:sz w:val="20"/>
                <w:szCs w:val="20"/>
              </w:rPr>
              <w:t xml:space="preserve">3</w:t>
            </w:r>
          </w:p>
        </w:tc>
      </w:tr>
      <w:tr>
        <w:trPr>
          <w:cantSplit/>
        </w:trPr>
        <w:tc>
          <w:tcPr>
            <w:tcW w:type="dxa" w:w="1096"/>
            <w:vAlign w:val="center"/>
          </w:tcPr>
          <w:p>
            <w:pPr>
              <w:spacing w:before="20" w:after="20" w:line="260" w:lineRule="auto"/>
              <w:ind w:firstLine="0"/>
              <w:jc w:val="center"/>
            </w:pPr>
            <w:r>
              <w:rPr>
                <w:sz w:val="20"/>
                <w:szCs w:val="20"/>
              </w:rPr>
              <w:t xml:space="preserve">52</w:t>
            </w:r>
          </w:p>
        </w:tc>
        <w:tc>
          <w:tcPr>
            <w:tcW w:type="dxa" w:w="1096"/>
            <w:vAlign w:val="center"/>
          </w:tcPr>
          <w:p>
            <w:pPr>
              <w:spacing w:before="20" w:after="20" w:line="260" w:lineRule="auto"/>
              <w:ind w:firstLine="0"/>
              <w:jc w:val="center"/>
            </w:pPr>
            <w:r>
              <w:rPr>
                <w:sz w:val="20"/>
                <w:szCs w:val="20"/>
              </w:rPr>
              <w:t xml:space="preserve">312.200</w:t>
            </w:r>
          </w:p>
        </w:tc>
        <w:tc>
          <w:tcPr>
            <w:tcW w:type="dxa" w:w="1096"/>
            <w:vAlign w:val="center"/>
          </w:tcPr>
          <w:p>
            <w:pPr>
              <w:spacing w:before="20" w:after="20" w:line="260" w:lineRule="auto"/>
              <w:ind w:firstLine="0"/>
              <w:jc w:val="center"/>
            </w:pPr>
            <w:r>
              <w:rPr>
                <w:sz w:val="20"/>
                <w:szCs w:val="20"/>
              </w:rPr>
              <w:t xml:space="preserve">357.179</w:t>
            </w:r>
          </w:p>
        </w:tc>
        <w:tc>
          <w:tcPr>
            <w:tcW w:type="dxa" w:w="1096"/>
            <w:vAlign w:val="center"/>
          </w:tcPr>
          <w:p>
            <w:pPr>
              <w:spacing w:before="20" w:after="20" w:line="260" w:lineRule="auto"/>
              <w:ind w:firstLine="0"/>
              <w:jc w:val="center"/>
            </w:pPr>
            <w:r>
              <w:rPr>
                <w:sz w:val="20"/>
                <w:szCs w:val="20"/>
              </w:rPr>
              <w:t xml:space="preserve">430.401</w:t>
            </w:r>
          </w:p>
        </w:tc>
        <w:tc>
          <w:tcPr>
            <w:tcW w:type="dxa" w:w="1397"/>
            <w:vAlign w:val="center"/>
          </w:tcPr>
          <w:p>
            <w:pPr>
              <w:spacing w:before="20" w:after="20" w:line="260" w:lineRule="auto"/>
              <w:ind w:firstLine="0"/>
              <w:jc w:val="center"/>
            </w:pPr>
            <w:r>
              <w:rPr>
                <w:sz w:val="20"/>
                <w:szCs w:val="20"/>
              </w:rPr>
              <w:t xml:space="preserve">144.658</w:t>
            </w:r>
          </w:p>
        </w:tc>
        <w:tc>
          <w:tcPr>
            <w:tcW w:type="dxa" w:w="1096"/>
            <w:vAlign w:val="center"/>
          </w:tcPr>
          <w:p>
            <w:pPr>
              <w:spacing w:before="20" w:after="20" w:line="260" w:lineRule="auto"/>
              <w:ind w:firstLine="0"/>
              <w:jc w:val="center"/>
            </w:pPr>
            <w:r>
              <w:rPr>
                <w:sz w:val="20"/>
                <w:szCs w:val="20"/>
              </w:rPr>
              <w:t xml:space="preserve">18</w:t>
            </w:r>
          </w:p>
        </w:tc>
        <w:tc>
          <w:tcPr>
            <w:tcW w:type="dxa" w:w="1096"/>
            <w:vAlign w:val="center"/>
          </w:tcPr>
          <w:p>
            <w:pPr>
              <w:spacing w:before="20" w:after="20" w:line="260" w:lineRule="auto"/>
              <w:ind w:firstLine="0"/>
              <w:jc w:val="center"/>
            </w:pPr>
            <w:r>
              <w:rPr>
                <w:sz w:val="20"/>
                <w:szCs w:val="20"/>
              </w:rPr>
              <w:t xml:space="preserve">11</w:t>
            </w:r>
          </w:p>
        </w:tc>
        <w:tc>
          <w:tcPr>
            <w:tcW w:type="dxa" w:w="1098"/>
            <w:vAlign w:val="center"/>
          </w:tcPr>
          <w:p>
            <w:pPr>
              <w:spacing w:before="20" w:after="20" w:line="260" w:lineRule="auto"/>
              <w:ind w:firstLine="0"/>
              <w:jc w:val="center"/>
            </w:pPr>
            <w:r>
              <w:rPr>
                <w:sz w:val="20"/>
                <w:szCs w:val="20"/>
              </w:rPr>
              <w:t xml:space="preserve">4</w:t>
            </w:r>
          </w:p>
        </w:tc>
      </w:tr>
      <w:tr>
        <w:trPr>
          <w:cantSplit/>
        </w:trPr>
        <w:tc>
          <w:tcPr>
            <w:tcW w:type="dxa" w:w="1096"/>
            <w:vAlign w:val="center"/>
          </w:tcPr>
          <w:p>
            <w:pPr>
              <w:spacing w:before="20" w:after="20" w:line="260" w:lineRule="auto"/>
              <w:ind w:firstLine="0"/>
              <w:jc w:val="center"/>
            </w:pPr>
            <w:r>
              <w:rPr>
                <w:sz w:val="20"/>
                <w:szCs w:val="20"/>
              </w:rPr>
              <w:t xml:space="preserve">53</w:t>
            </w:r>
          </w:p>
        </w:tc>
        <w:tc>
          <w:tcPr>
            <w:tcW w:type="dxa" w:w="1096"/>
            <w:vAlign w:val="center"/>
          </w:tcPr>
          <w:p>
            <w:pPr>
              <w:spacing w:before="20" w:after="20" w:line="260" w:lineRule="auto"/>
              <w:ind w:firstLine="0"/>
              <w:jc w:val="center"/>
            </w:pPr>
            <w:r>
              <w:rPr>
                <w:sz w:val="20"/>
                <w:szCs w:val="20"/>
              </w:rPr>
              <w:t xml:space="preserve">156.178</w:t>
            </w:r>
          </w:p>
        </w:tc>
        <w:tc>
          <w:tcPr>
            <w:tcW w:type="dxa" w:w="1096"/>
            <w:vAlign w:val="center"/>
          </w:tcPr>
          <w:p>
            <w:pPr>
              <w:spacing w:before="20" w:after="20" w:line="260" w:lineRule="auto"/>
              <w:ind w:firstLine="0"/>
              <w:jc w:val="center"/>
            </w:pPr>
            <w:r>
              <w:rPr>
                <w:sz w:val="20"/>
                <w:szCs w:val="20"/>
              </w:rPr>
              <w:t xml:space="preserve">190.859</w:t>
            </w:r>
          </w:p>
        </w:tc>
        <w:tc>
          <w:tcPr>
            <w:tcW w:type="dxa" w:w="1096"/>
            <w:vAlign w:val="center"/>
          </w:tcPr>
          <w:p>
            <w:pPr>
              <w:spacing w:before="20" w:after="20" w:line="260" w:lineRule="auto"/>
              <w:ind w:firstLine="0"/>
              <w:jc w:val="center"/>
            </w:pPr>
            <w:r>
              <w:rPr>
                <w:sz w:val="20"/>
                <w:szCs w:val="20"/>
              </w:rPr>
              <w:t xml:space="preserve">247.279</w:t>
            </w:r>
          </w:p>
        </w:tc>
        <w:tc>
          <w:tcPr>
            <w:tcW w:type="dxa" w:w="1397"/>
            <w:vAlign w:val="center"/>
          </w:tcPr>
          <w:p>
            <w:pPr>
              <w:spacing w:before="20" w:after="20" w:line="260" w:lineRule="auto"/>
              <w:ind w:firstLine="0"/>
              <w:jc w:val="center"/>
            </w:pPr>
            <w:r>
              <w:rPr>
                <w:sz w:val="20"/>
                <w:szCs w:val="20"/>
              </w:rPr>
              <w:t xml:space="preserve">94.592</w:t>
            </w:r>
          </w:p>
        </w:tc>
        <w:tc>
          <w:tcPr>
            <w:tcW w:type="dxa" w:w="1096"/>
            <w:vAlign w:val="center"/>
          </w:tcPr>
          <w:p>
            <w:pPr>
              <w:spacing w:before="20" w:after="20" w:line="260" w:lineRule="auto"/>
              <w:ind w:firstLine="0"/>
              <w:jc w:val="center"/>
            </w:pPr>
            <w:r>
              <w:rPr>
                <w:sz w:val="20"/>
                <w:szCs w:val="20"/>
              </w:rPr>
              <w:t xml:space="preserve">19</w:t>
            </w:r>
          </w:p>
        </w:tc>
        <w:tc>
          <w:tcPr>
            <w:tcW w:type="dxa" w:w="1096"/>
            <w:vAlign w:val="center"/>
          </w:tcPr>
          <w:p>
            <w:pPr>
              <w:spacing w:before="20" w:after="20" w:line="260" w:lineRule="auto"/>
              <w:ind w:firstLine="0"/>
              <w:jc w:val="center"/>
            </w:pPr>
            <w:r>
              <w:rPr>
                <w:sz w:val="20"/>
                <w:szCs w:val="20"/>
              </w:rPr>
              <w:t xml:space="preserve">13</w:t>
            </w:r>
          </w:p>
        </w:tc>
        <w:tc>
          <w:tcPr>
            <w:tcW w:type="dxa" w:w="1098"/>
            <w:vAlign w:val="center"/>
          </w:tcPr>
          <w:p>
            <w:pPr>
              <w:spacing w:before="20" w:after="20" w:line="260" w:lineRule="auto"/>
              <w:ind w:firstLine="0"/>
              <w:jc w:val="center"/>
            </w:pPr>
            <w:r>
              <w:rPr>
                <w:sz w:val="20"/>
                <w:szCs w:val="20"/>
              </w:rPr>
              <w:t xml:space="preserve">1</w:t>
            </w:r>
          </w:p>
        </w:tc>
      </w:tr>
      <w:tr>
        <w:trPr>
          <w:cantSplit/>
        </w:trPr>
        <w:tc>
          <w:tcPr>
            <w:tcW w:type="dxa" w:w="1096"/>
            <w:vAlign w:val="center"/>
          </w:tcPr>
          <w:p>
            <w:pPr>
              <w:spacing w:before="20" w:after="20" w:line="260" w:lineRule="auto"/>
              <w:ind w:firstLine="0"/>
              <w:jc w:val="center"/>
            </w:pPr>
            <w:r>
              <w:rPr>
                <w:sz w:val="20"/>
                <w:szCs w:val="20"/>
              </w:rPr>
              <w:t xml:space="preserve">54</w:t>
            </w:r>
          </w:p>
        </w:tc>
        <w:tc>
          <w:tcPr>
            <w:tcW w:type="dxa" w:w="1096"/>
            <w:vAlign w:val="center"/>
          </w:tcPr>
          <w:p>
            <w:pPr>
              <w:spacing w:before="20" w:after="20" w:line="260" w:lineRule="auto"/>
              <w:ind w:firstLine="0"/>
              <w:jc w:val="center"/>
            </w:pPr>
            <w:r>
              <w:rPr>
                <w:sz w:val="20"/>
                <w:szCs w:val="20"/>
              </w:rPr>
              <w:t xml:space="preserve">137.637</w:t>
            </w:r>
          </w:p>
        </w:tc>
        <w:tc>
          <w:tcPr>
            <w:tcW w:type="dxa" w:w="1096"/>
            <w:vAlign w:val="center"/>
          </w:tcPr>
          <w:p>
            <w:pPr>
              <w:spacing w:before="20" w:after="20" w:line="260" w:lineRule="auto"/>
              <w:ind w:firstLine="0"/>
              <w:jc w:val="center"/>
            </w:pPr>
            <w:r>
              <w:rPr>
                <w:sz w:val="20"/>
                <w:szCs w:val="20"/>
              </w:rPr>
              <w:t xml:space="preserve">163.687</w:t>
            </w:r>
          </w:p>
        </w:tc>
        <w:tc>
          <w:tcPr>
            <w:tcW w:type="dxa" w:w="1096"/>
            <w:vAlign w:val="center"/>
          </w:tcPr>
          <w:p>
            <w:pPr>
              <w:spacing w:before="20" w:after="20" w:line="260" w:lineRule="auto"/>
              <w:ind w:firstLine="0"/>
              <w:jc w:val="center"/>
            </w:pPr>
            <w:r>
              <w:rPr>
                <w:sz w:val="20"/>
                <w:szCs w:val="20"/>
              </w:rPr>
              <w:t xml:space="preserve">206.406</w:t>
            </w:r>
          </w:p>
        </w:tc>
        <w:tc>
          <w:tcPr>
            <w:tcW w:type="dxa" w:w="1397"/>
            <w:vAlign w:val="center"/>
          </w:tcPr>
          <w:p>
            <w:pPr>
              <w:spacing w:before="20" w:after="20" w:line="260" w:lineRule="auto"/>
              <w:ind w:firstLine="0"/>
              <w:jc w:val="center"/>
            </w:pPr>
            <w:r>
              <w:rPr>
                <w:sz w:val="20"/>
                <w:szCs w:val="20"/>
              </w:rPr>
              <w:t xml:space="preserve">75.456</w:t>
            </w:r>
          </w:p>
        </w:tc>
        <w:tc>
          <w:tcPr>
            <w:tcW w:type="dxa" w:w="1096"/>
            <w:vAlign w:val="center"/>
          </w:tcPr>
          <w:p>
            <w:pPr>
              <w:spacing w:before="20" w:after="20" w:line="260" w:lineRule="auto"/>
              <w:ind w:firstLine="0"/>
              <w:jc w:val="center"/>
            </w:pPr>
            <w:r>
              <w:rPr>
                <w:sz w:val="20"/>
                <w:szCs w:val="20"/>
              </w:rPr>
              <w:t xml:space="preserve">23</w:t>
            </w:r>
          </w:p>
        </w:tc>
        <w:tc>
          <w:tcPr>
            <w:tcW w:type="dxa" w:w="1096"/>
            <w:vAlign w:val="center"/>
          </w:tcPr>
          <w:p>
            <w:pPr>
              <w:spacing w:before="20" w:after="20" w:line="260" w:lineRule="auto"/>
              <w:ind w:firstLine="0"/>
              <w:jc w:val="center"/>
            </w:pPr>
            <w:r>
              <w:rPr>
                <w:sz w:val="20"/>
                <w:szCs w:val="20"/>
              </w:rPr>
              <w:t xml:space="preserve">9</w:t>
            </w:r>
          </w:p>
        </w:tc>
        <w:tc>
          <w:tcPr>
            <w:tcW w:type="dxa" w:w="1098"/>
            <w:vAlign w:val="center"/>
          </w:tcPr>
          <w:p>
            <w:pPr>
              <w:spacing w:before="20" w:after="20" w:line="260" w:lineRule="auto"/>
              <w:ind w:firstLine="0"/>
              <w:jc w:val="center"/>
            </w:pPr>
            <w:r>
              <w:rPr>
                <w:sz w:val="20"/>
                <w:szCs w:val="20"/>
              </w:rPr>
              <w:t xml:space="preserve">1</w:t>
            </w:r>
          </w:p>
        </w:tc>
      </w:tr>
    </w:tbl>
    <w:p>
      <w:pPr>
        <w:spacing w:before="40" w:after="160"/>
        <w:ind w:firstLine="0"/>
      </w:pPr>
      <w:r>
        <w:rPr>
          <w:i/>
          <w:sz w:val="22"/>
          <w:szCs w:val="22"/>
        </w:rPr>
        <w:t xml:space="preserve">Nguồn: inventory_recommendations.csv (Stage 07). Tổng các phân vị chỉ mang tính mô tả.</w:t>
      </w:r>
    </w:p>
    <w:p>
      <w:pPr>
        <w:pStyle w:val="Heading3"/>
        <w:keepNext/>
      </w:pPr>
      <w:r>
        <w:t xml:space="preserve">A.1. Cửa hàng 1 (Quito, Pichincha; loại D, cụm 13)</w:t>
      </w:r>
    </w:p>
    <w:p>
      <w:pPr>
        <w:keepLines w:val="0"/>
        <w:spacing w:after="120"/>
        <w:ind w:firstLine="567"/>
      </w:pPr>
      <w:r>
        <w:t xml:space="preserve">Trong 16 ngày của tập kiểm tra cuối, cửa hàng 1 có tổng doanh số thực tế 155.136 (hạng 40/54 về quy mô) và tổng dự báo 171.222, tức dự báo cao hơn thực tế 10,37%. WAPE của cửa hàng là 15,58% (hạng 30/54 từ thấp đến cao), MAE 45,777, RMSE 124,178 và bias −30,466. Độ bao phủ thực nghiệm của khoảng P10–P90 đạt 73,86% (hạng 36/54), so với mức danh nghĩa 80%. Nhóm có doanh số thực tế lớn nhất là GROCERY I (36.789; WAPE 16,09%; bao phủ 62,50%). Trong các nhóm có quy mô từ trung vị của cửa hàng trở lên, nhóm có WAPE thấp nhất là PRODUCE (8,79%).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140.244, 171.035 và 220.005; tổng lượng bổ sung gợi ý theo giả định là 83.177. Cửa hàng có 19 nhóm mang nhãn HIGH, 14 nhóm MEDIUM và 0 nhóm LOW. Bảng A.3 liệt kê mười nhóm có doanh số thực tế lớn nhất của cửa hàng.</w:t>
      </w:r>
    </w:p>
    <w:p>
      <w:pPr>
        <w:keepNext/>
        <w:spacing w:before="120" w:after="60"/>
        <w:ind w:firstLine="0"/>
        <w:jc w:val="center"/>
      </w:pPr>
      <w:r>
        <w:t xml:space="preserve">Bảng A.3. Mười nhóm sản phẩm có doanh số thực tế lớn nhất của cửa hàng 1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36.789</w:t>
            </w:r>
          </w:p>
        </w:tc>
        <w:tc>
          <w:tcPr>
            <w:tcW w:type="dxa" w:w="1201"/>
            <w:vAlign w:val="center"/>
          </w:tcPr>
          <w:p>
            <w:pPr>
              <w:spacing w:before="20" w:after="20" w:line="260" w:lineRule="auto"/>
              <w:ind w:firstLine="0"/>
              <w:jc w:val="center"/>
            </w:pPr>
            <w:r>
              <w:rPr>
                <w:sz w:val="20"/>
                <w:szCs w:val="20"/>
              </w:rPr>
              <w:t xml:space="preserve">41.897</w:t>
            </w:r>
          </w:p>
        </w:tc>
        <w:tc>
          <w:tcPr>
            <w:tcW w:type="dxa" w:w="1201"/>
            <w:vAlign w:val="center"/>
          </w:tcPr>
          <w:p>
            <w:pPr>
              <w:spacing w:before="20" w:after="20" w:line="260" w:lineRule="auto"/>
              <w:ind w:firstLine="0"/>
              <w:jc w:val="center"/>
            </w:pPr>
            <w:r>
              <w:rPr>
                <w:sz w:val="20"/>
                <w:szCs w:val="20"/>
              </w:rPr>
              <w:t xml:space="preserve">16,09%</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19.327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36.709</w:t>
            </w:r>
          </w:p>
        </w:tc>
        <w:tc>
          <w:tcPr>
            <w:tcW w:type="dxa" w:w="1201"/>
            <w:vAlign w:val="center"/>
          </w:tcPr>
          <w:p>
            <w:pPr>
              <w:spacing w:before="20" w:after="20" w:line="260" w:lineRule="auto"/>
              <w:ind w:firstLine="0"/>
              <w:jc w:val="center"/>
            </w:pPr>
            <w:r>
              <w:rPr>
                <w:sz w:val="20"/>
                <w:szCs w:val="20"/>
              </w:rPr>
              <w:t xml:space="preserve">38.792</w:t>
            </w:r>
          </w:p>
        </w:tc>
        <w:tc>
          <w:tcPr>
            <w:tcW w:type="dxa" w:w="1201"/>
            <w:vAlign w:val="center"/>
          </w:tcPr>
          <w:p>
            <w:pPr>
              <w:spacing w:before="20" w:after="20" w:line="260" w:lineRule="auto"/>
              <w:ind w:firstLine="0"/>
              <w:jc w:val="center"/>
            </w:pPr>
            <w:r>
              <w:rPr>
                <w:sz w:val="20"/>
                <w:szCs w:val="20"/>
              </w:rPr>
              <w:t xml:space="preserve">8,79%</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18.706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32.066</w:t>
            </w:r>
          </w:p>
        </w:tc>
        <w:tc>
          <w:tcPr>
            <w:tcW w:type="dxa" w:w="1201"/>
            <w:vAlign w:val="center"/>
          </w:tcPr>
          <w:p>
            <w:pPr>
              <w:spacing w:before="20" w:after="20" w:line="260" w:lineRule="auto"/>
              <w:ind w:firstLine="0"/>
              <w:jc w:val="center"/>
            </w:pPr>
            <w:r>
              <w:rPr>
                <w:sz w:val="20"/>
                <w:szCs w:val="20"/>
              </w:rPr>
              <w:t xml:space="preserve">35.023</w:t>
            </w:r>
          </w:p>
        </w:tc>
        <w:tc>
          <w:tcPr>
            <w:tcW w:type="dxa" w:w="1201"/>
            <w:vAlign w:val="center"/>
          </w:tcPr>
          <w:p>
            <w:pPr>
              <w:spacing w:before="20" w:after="20" w:line="260" w:lineRule="auto"/>
              <w:ind w:firstLine="0"/>
              <w:jc w:val="center"/>
            </w:pPr>
            <w:r>
              <w:rPr>
                <w:sz w:val="20"/>
                <w:szCs w:val="20"/>
              </w:rPr>
              <w:t xml:space="preserve">11,93%</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17.952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9.815</w:t>
            </w:r>
          </w:p>
        </w:tc>
        <w:tc>
          <w:tcPr>
            <w:tcW w:type="dxa" w:w="1201"/>
            <w:vAlign w:val="center"/>
          </w:tcPr>
          <w:p>
            <w:pPr>
              <w:spacing w:before="20" w:after="20" w:line="260" w:lineRule="auto"/>
              <w:ind w:firstLine="0"/>
              <w:jc w:val="center"/>
            </w:pPr>
            <w:r>
              <w:rPr>
                <w:sz w:val="20"/>
                <w:szCs w:val="20"/>
              </w:rPr>
              <w:t xml:space="preserve">11.512</w:t>
            </w:r>
          </w:p>
        </w:tc>
        <w:tc>
          <w:tcPr>
            <w:tcW w:type="dxa" w:w="1201"/>
            <w:vAlign w:val="center"/>
          </w:tcPr>
          <w:p>
            <w:pPr>
              <w:spacing w:before="20" w:after="20" w:line="260" w:lineRule="auto"/>
              <w:ind w:firstLine="0"/>
              <w:jc w:val="center"/>
            </w:pPr>
            <w:r>
              <w:rPr>
                <w:sz w:val="20"/>
                <w:szCs w:val="20"/>
              </w:rPr>
              <w:t xml:space="preserve">18,84%</w:t>
            </w:r>
          </w:p>
        </w:tc>
        <w:tc>
          <w:tcPr>
            <w:tcW w:type="dxa" w:w="1201"/>
            <w:vAlign w:val="center"/>
          </w:tcPr>
          <w:p>
            <w:pPr>
              <w:spacing w:before="20" w:after="20" w:line="260" w:lineRule="auto"/>
              <w:ind w:firstLine="0"/>
              <w:jc w:val="center"/>
            </w:pPr>
            <w:r>
              <w:rPr>
                <w:sz w:val="20"/>
                <w:szCs w:val="20"/>
              </w:rPr>
              <w:t xml:space="preserve">50,00%</w:t>
            </w:r>
          </w:p>
        </w:tc>
        <w:tc>
          <w:tcPr>
            <w:tcW w:type="dxa" w:w="1531"/>
            <w:vAlign w:val="center"/>
          </w:tcPr>
          <w:p>
            <w:pPr>
              <w:spacing w:before="20" w:after="20" w:line="260" w:lineRule="auto"/>
              <w:ind w:firstLine="0"/>
              <w:jc w:val="center"/>
            </w:pPr>
            <w:r>
              <w:rPr>
                <w:sz w:val="20"/>
                <w:szCs w:val="20"/>
              </w:rPr>
              <w:t xml:space="preserve">4.574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9.503</w:t>
            </w:r>
          </w:p>
        </w:tc>
        <w:tc>
          <w:tcPr>
            <w:tcW w:type="dxa" w:w="1201"/>
            <w:vAlign w:val="center"/>
          </w:tcPr>
          <w:p>
            <w:pPr>
              <w:spacing w:before="20" w:after="20" w:line="260" w:lineRule="auto"/>
              <w:ind w:firstLine="0"/>
              <w:jc w:val="center"/>
            </w:pPr>
            <w:r>
              <w:rPr>
                <w:sz w:val="20"/>
                <w:szCs w:val="20"/>
              </w:rPr>
              <w:t xml:space="preserve">10.867</w:t>
            </w:r>
          </w:p>
        </w:tc>
        <w:tc>
          <w:tcPr>
            <w:tcW w:type="dxa" w:w="1201"/>
            <w:vAlign w:val="center"/>
          </w:tcPr>
          <w:p>
            <w:pPr>
              <w:spacing w:before="20" w:after="20" w:line="260" w:lineRule="auto"/>
              <w:ind w:firstLine="0"/>
              <w:jc w:val="center"/>
            </w:pPr>
            <w:r>
              <w:rPr>
                <w:sz w:val="20"/>
                <w:szCs w:val="20"/>
              </w:rPr>
              <w:t xml:space="preserve">18,17%</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4.445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4.964</w:t>
            </w:r>
          </w:p>
        </w:tc>
        <w:tc>
          <w:tcPr>
            <w:tcW w:type="dxa" w:w="1201"/>
            <w:vAlign w:val="center"/>
          </w:tcPr>
          <w:p>
            <w:pPr>
              <w:spacing w:before="20" w:after="20" w:line="260" w:lineRule="auto"/>
              <w:ind w:firstLine="0"/>
              <w:jc w:val="center"/>
            </w:pPr>
            <w:r>
              <w:rPr>
                <w:sz w:val="20"/>
                <w:szCs w:val="20"/>
              </w:rPr>
              <w:t xml:space="preserve">5.786</w:t>
            </w:r>
          </w:p>
        </w:tc>
        <w:tc>
          <w:tcPr>
            <w:tcW w:type="dxa" w:w="1201"/>
            <w:vAlign w:val="center"/>
          </w:tcPr>
          <w:p>
            <w:pPr>
              <w:spacing w:before="20" w:after="20" w:line="260" w:lineRule="auto"/>
              <w:ind w:firstLine="0"/>
              <w:jc w:val="center"/>
            </w:pPr>
            <w:r>
              <w:rPr>
                <w:sz w:val="20"/>
                <w:szCs w:val="20"/>
              </w:rPr>
              <w:t xml:space="preserve">20,48%</w:t>
            </w:r>
          </w:p>
        </w:tc>
        <w:tc>
          <w:tcPr>
            <w:tcW w:type="dxa" w:w="1201"/>
            <w:vAlign w:val="center"/>
          </w:tcPr>
          <w:p>
            <w:pPr>
              <w:spacing w:before="20" w:after="20" w:line="260" w:lineRule="auto"/>
              <w:ind w:firstLine="0"/>
              <w:jc w:val="center"/>
            </w:pPr>
            <w:r>
              <w:rPr>
                <w:sz w:val="20"/>
                <w:szCs w:val="20"/>
              </w:rPr>
              <w:t xml:space="preserve">50,00%</w:t>
            </w:r>
          </w:p>
        </w:tc>
        <w:tc>
          <w:tcPr>
            <w:tcW w:type="dxa" w:w="1531"/>
            <w:vAlign w:val="center"/>
          </w:tcPr>
          <w:p>
            <w:pPr>
              <w:spacing w:before="20" w:after="20" w:line="260" w:lineRule="auto"/>
              <w:ind w:firstLine="0"/>
              <w:jc w:val="center"/>
            </w:pPr>
            <w:r>
              <w:rPr>
                <w:sz w:val="20"/>
                <w:szCs w:val="20"/>
              </w:rPr>
              <w:t xml:space="preserve">2.569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4.605</w:t>
            </w:r>
          </w:p>
        </w:tc>
        <w:tc>
          <w:tcPr>
            <w:tcW w:type="dxa" w:w="1201"/>
            <w:vAlign w:val="center"/>
          </w:tcPr>
          <w:p>
            <w:pPr>
              <w:spacing w:before="20" w:after="20" w:line="260" w:lineRule="auto"/>
              <w:ind w:firstLine="0"/>
              <w:jc w:val="center"/>
            </w:pPr>
            <w:r>
              <w:rPr>
                <w:sz w:val="20"/>
                <w:szCs w:val="20"/>
              </w:rPr>
              <w:t xml:space="preserve">4.756</w:t>
            </w:r>
          </w:p>
        </w:tc>
        <w:tc>
          <w:tcPr>
            <w:tcW w:type="dxa" w:w="1201"/>
            <w:vAlign w:val="center"/>
          </w:tcPr>
          <w:p>
            <w:pPr>
              <w:spacing w:before="20" w:after="20" w:line="260" w:lineRule="auto"/>
              <w:ind w:firstLine="0"/>
              <w:jc w:val="center"/>
            </w:pPr>
            <w:r>
              <w:rPr>
                <w:sz w:val="20"/>
                <w:szCs w:val="20"/>
              </w:rPr>
              <w:t xml:space="preserve">21,49%</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2.203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4.460</w:t>
            </w:r>
          </w:p>
        </w:tc>
        <w:tc>
          <w:tcPr>
            <w:tcW w:type="dxa" w:w="1201"/>
            <w:vAlign w:val="center"/>
          </w:tcPr>
          <w:p>
            <w:pPr>
              <w:spacing w:before="20" w:after="20" w:line="260" w:lineRule="auto"/>
              <w:ind w:firstLine="0"/>
              <w:jc w:val="center"/>
            </w:pPr>
            <w:r>
              <w:rPr>
                <w:sz w:val="20"/>
                <w:szCs w:val="20"/>
              </w:rPr>
              <w:t xml:space="preserve">5.491</w:t>
            </w:r>
          </w:p>
        </w:tc>
        <w:tc>
          <w:tcPr>
            <w:tcW w:type="dxa" w:w="1201"/>
            <w:vAlign w:val="center"/>
          </w:tcPr>
          <w:p>
            <w:pPr>
              <w:spacing w:before="20" w:after="20" w:line="260" w:lineRule="auto"/>
              <w:ind w:firstLine="0"/>
              <w:jc w:val="center"/>
            </w:pPr>
            <w:r>
              <w:rPr>
                <w:sz w:val="20"/>
                <w:szCs w:val="20"/>
              </w:rPr>
              <w:t xml:space="preserve">26,73%</w:t>
            </w:r>
          </w:p>
        </w:tc>
        <w:tc>
          <w:tcPr>
            <w:tcW w:type="dxa" w:w="1201"/>
            <w:vAlign w:val="center"/>
          </w:tcPr>
          <w:p>
            <w:pPr>
              <w:spacing w:before="20" w:after="20" w:line="260" w:lineRule="auto"/>
              <w:ind w:firstLine="0"/>
              <w:jc w:val="center"/>
            </w:pPr>
            <w:r>
              <w:rPr>
                <w:sz w:val="20"/>
                <w:szCs w:val="20"/>
              </w:rPr>
              <w:t xml:space="preserve">43,75%</w:t>
            </w:r>
          </w:p>
        </w:tc>
        <w:tc>
          <w:tcPr>
            <w:tcW w:type="dxa" w:w="1531"/>
            <w:vAlign w:val="center"/>
          </w:tcPr>
          <w:p>
            <w:pPr>
              <w:spacing w:before="20" w:after="20" w:line="260" w:lineRule="auto"/>
              <w:ind w:firstLine="0"/>
              <w:jc w:val="center"/>
            </w:pPr>
            <w:r>
              <w:rPr>
                <w:sz w:val="20"/>
                <w:szCs w:val="20"/>
              </w:rPr>
              <w:t xml:space="preserve">2.430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2.598</w:t>
            </w:r>
          </w:p>
        </w:tc>
        <w:tc>
          <w:tcPr>
            <w:tcW w:type="dxa" w:w="1201"/>
            <w:vAlign w:val="center"/>
          </w:tcPr>
          <w:p>
            <w:pPr>
              <w:spacing w:before="20" w:after="20" w:line="260" w:lineRule="auto"/>
              <w:ind w:firstLine="0"/>
              <w:jc w:val="center"/>
            </w:pPr>
            <w:r>
              <w:rPr>
                <w:sz w:val="20"/>
                <w:szCs w:val="20"/>
              </w:rPr>
              <w:t xml:space="preserve">2.449</w:t>
            </w:r>
          </w:p>
        </w:tc>
        <w:tc>
          <w:tcPr>
            <w:tcW w:type="dxa" w:w="1201"/>
            <w:vAlign w:val="center"/>
          </w:tcPr>
          <w:p>
            <w:pPr>
              <w:spacing w:before="20" w:after="20" w:line="260" w:lineRule="auto"/>
              <w:ind w:firstLine="0"/>
              <w:jc w:val="center"/>
            </w:pPr>
            <w:r>
              <w:rPr>
                <w:sz w:val="20"/>
                <w:szCs w:val="20"/>
              </w:rPr>
              <w:t xml:space="preserve">25,40%</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1.217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2.592</w:t>
            </w:r>
          </w:p>
        </w:tc>
        <w:tc>
          <w:tcPr>
            <w:tcW w:type="dxa" w:w="1201"/>
            <w:vAlign w:val="center"/>
          </w:tcPr>
          <w:p>
            <w:pPr>
              <w:spacing w:before="20" w:after="20" w:line="260" w:lineRule="auto"/>
              <w:ind w:firstLine="0"/>
              <w:jc w:val="center"/>
            </w:pPr>
            <w:r>
              <w:rPr>
                <w:sz w:val="20"/>
                <w:szCs w:val="20"/>
              </w:rPr>
              <w:t xml:space="preserve">2.927</w:t>
            </w:r>
          </w:p>
        </w:tc>
        <w:tc>
          <w:tcPr>
            <w:tcW w:type="dxa" w:w="1201"/>
            <w:vAlign w:val="center"/>
          </w:tcPr>
          <w:p>
            <w:pPr>
              <w:spacing w:before="20" w:after="20" w:line="260" w:lineRule="auto"/>
              <w:ind w:firstLine="0"/>
              <w:jc w:val="center"/>
            </w:pPr>
            <w:r>
              <w:rPr>
                <w:sz w:val="20"/>
                <w:szCs w:val="20"/>
              </w:rPr>
              <w:t xml:space="preserve">23,82%</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1.424</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A.2. Cửa hàng 2 (Quito, Pichincha; loại D, cụm 13)</w:t>
      </w:r>
    </w:p>
    <w:p>
      <w:pPr>
        <w:keepLines w:val="0"/>
        <w:spacing w:after="120"/>
        <w:ind w:firstLine="567"/>
      </w:pPr>
      <w:r>
        <w:t xml:space="preserve">Trong 16 ngày của tập kiểm tra cuối, cửa hàng 2 có tổng doanh số thực tế 213.635 (hạng 26/54 về quy mô) và tổng dự báo 245.019, tức dự báo cao hơn thực tế 14,69%. WAPE của cửa hàng là 17,60% (hạng 40/54 từ thấp đến cao), MAE 71,223, RMSE 230,082 và bias −59,441. Độ bao phủ thực nghiệm của khoảng P10–P90 đạt 73,11% (hạng 40/54), so với mức danh nghĩa 80%. Nhóm có doanh số thực tế lớn nhất là GROCERY I (58.528; WAPE 19,44%; bao phủ 25,00%). Trong các nhóm có quy mô từ trung vị của cửa hàng trở lên, nhóm có WAPE thấp nhất là PRODUCE (7,36%). Có 3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207.410, 244.646 và 303.881; tổng lượng bổ sung gợi ý theo giả định là 108.164. Cửa hàng có 18 nhóm mang nhãn HIGH, 13 nhóm MEDIUM và 2 nhóm LOW. Bảng A.4 liệt kê mười nhóm có doanh số thực tế lớn nhất của cửa hàng.</w:t>
      </w:r>
    </w:p>
    <w:p>
      <w:pPr>
        <w:keepNext/>
        <w:spacing w:before="120" w:after="60"/>
        <w:ind w:firstLine="0"/>
        <w:jc w:val="center"/>
      </w:pPr>
      <w:r>
        <w:t xml:space="preserve">Bảng A.4. Mười nhóm sản phẩm có doanh số thực tế lớn nhất của cửa hàng 2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58.528</w:t>
            </w:r>
          </w:p>
        </w:tc>
        <w:tc>
          <w:tcPr>
            <w:tcW w:type="dxa" w:w="1201"/>
            <w:vAlign w:val="center"/>
          </w:tcPr>
          <w:p>
            <w:pPr>
              <w:spacing w:before="20" w:after="20" w:line="260" w:lineRule="auto"/>
              <w:ind w:firstLine="0"/>
              <w:jc w:val="center"/>
            </w:pPr>
            <w:r>
              <w:rPr>
                <w:sz w:val="20"/>
                <w:szCs w:val="20"/>
              </w:rPr>
              <w:t xml:space="preserve">69.907</w:t>
            </w:r>
          </w:p>
        </w:tc>
        <w:tc>
          <w:tcPr>
            <w:tcW w:type="dxa" w:w="1201"/>
            <w:vAlign w:val="center"/>
          </w:tcPr>
          <w:p>
            <w:pPr>
              <w:spacing w:before="20" w:after="20" w:line="260" w:lineRule="auto"/>
              <w:ind w:firstLine="0"/>
              <w:jc w:val="center"/>
            </w:pPr>
            <w:r>
              <w:rPr>
                <w:sz w:val="20"/>
                <w:szCs w:val="20"/>
              </w:rPr>
              <w:t xml:space="preserve">19,44%</w:t>
            </w:r>
          </w:p>
        </w:tc>
        <w:tc>
          <w:tcPr>
            <w:tcW w:type="dxa" w:w="1201"/>
            <w:vAlign w:val="center"/>
          </w:tcPr>
          <w:p>
            <w:pPr>
              <w:spacing w:before="20" w:after="20" w:line="260" w:lineRule="auto"/>
              <w:ind w:firstLine="0"/>
              <w:jc w:val="center"/>
            </w:pPr>
            <w:r>
              <w:rPr>
                <w:sz w:val="20"/>
                <w:szCs w:val="20"/>
              </w:rPr>
              <w:t xml:space="preserve">25,00%</w:t>
            </w:r>
          </w:p>
        </w:tc>
        <w:tc>
          <w:tcPr>
            <w:tcW w:type="dxa" w:w="1531"/>
            <w:vAlign w:val="center"/>
          </w:tcPr>
          <w:p>
            <w:pPr>
              <w:spacing w:before="20" w:after="20" w:line="260" w:lineRule="auto"/>
              <w:ind w:firstLine="0"/>
              <w:jc w:val="center"/>
            </w:pPr>
            <w:r>
              <w:rPr>
                <w:sz w:val="20"/>
                <w:szCs w:val="20"/>
              </w:rPr>
              <w:t xml:space="preserve">26.146</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44.239</w:t>
            </w:r>
          </w:p>
        </w:tc>
        <w:tc>
          <w:tcPr>
            <w:tcW w:type="dxa" w:w="1201"/>
            <w:vAlign w:val="center"/>
          </w:tcPr>
          <w:p>
            <w:pPr>
              <w:spacing w:before="20" w:after="20" w:line="260" w:lineRule="auto"/>
              <w:ind w:firstLine="0"/>
              <w:jc w:val="center"/>
            </w:pPr>
            <w:r>
              <w:rPr>
                <w:sz w:val="20"/>
                <w:szCs w:val="20"/>
              </w:rPr>
              <w:t xml:space="preserve">51.705</w:t>
            </w:r>
          </w:p>
        </w:tc>
        <w:tc>
          <w:tcPr>
            <w:tcW w:type="dxa" w:w="1201"/>
            <w:vAlign w:val="center"/>
          </w:tcPr>
          <w:p>
            <w:pPr>
              <w:spacing w:before="20" w:after="20" w:line="260" w:lineRule="auto"/>
              <w:ind w:firstLine="0"/>
              <w:jc w:val="center"/>
            </w:pPr>
            <w:r>
              <w:rPr>
                <w:sz w:val="20"/>
                <w:szCs w:val="20"/>
              </w:rPr>
              <w:t xml:space="preserve">19,11%</w:t>
            </w:r>
          </w:p>
        </w:tc>
        <w:tc>
          <w:tcPr>
            <w:tcW w:type="dxa" w:w="1201"/>
            <w:vAlign w:val="center"/>
          </w:tcPr>
          <w:p>
            <w:pPr>
              <w:spacing w:before="20" w:after="20" w:line="260" w:lineRule="auto"/>
              <w:ind w:firstLine="0"/>
              <w:jc w:val="center"/>
            </w:pPr>
            <w:r>
              <w:rPr>
                <w:sz w:val="20"/>
                <w:szCs w:val="20"/>
              </w:rPr>
              <w:t xml:space="preserve">43,75%</w:t>
            </w:r>
          </w:p>
        </w:tc>
        <w:tc>
          <w:tcPr>
            <w:tcW w:type="dxa" w:w="1531"/>
            <w:vAlign w:val="center"/>
          </w:tcPr>
          <w:p>
            <w:pPr>
              <w:spacing w:before="20" w:after="20" w:line="260" w:lineRule="auto"/>
              <w:ind w:firstLine="0"/>
              <w:jc w:val="center"/>
            </w:pPr>
            <w:r>
              <w:rPr>
                <w:sz w:val="20"/>
                <w:szCs w:val="20"/>
              </w:rPr>
              <w:t xml:space="preserve">22.505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37.139</w:t>
            </w:r>
          </w:p>
        </w:tc>
        <w:tc>
          <w:tcPr>
            <w:tcW w:type="dxa" w:w="1201"/>
            <w:vAlign w:val="center"/>
          </w:tcPr>
          <w:p>
            <w:pPr>
              <w:spacing w:before="20" w:after="20" w:line="260" w:lineRule="auto"/>
              <w:ind w:firstLine="0"/>
              <w:jc w:val="center"/>
            </w:pPr>
            <w:r>
              <w:rPr>
                <w:sz w:val="20"/>
                <w:szCs w:val="20"/>
              </w:rPr>
              <w:t xml:space="preserve">39.795</w:t>
            </w:r>
          </w:p>
        </w:tc>
        <w:tc>
          <w:tcPr>
            <w:tcW w:type="dxa" w:w="1201"/>
            <w:vAlign w:val="center"/>
          </w:tcPr>
          <w:p>
            <w:pPr>
              <w:spacing w:before="20" w:after="20" w:line="260" w:lineRule="auto"/>
              <w:ind w:firstLine="0"/>
              <w:jc w:val="center"/>
            </w:pPr>
            <w:r>
              <w:rPr>
                <w:sz w:val="20"/>
                <w:szCs w:val="20"/>
              </w:rPr>
              <w:t xml:space="preserve">7,36%</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20.123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13.003</w:t>
            </w:r>
          </w:p>
        </w:tc>
        <w:tc>
          <w:tcPr>
            <w:tcW w:type="dxa" w:w="1201"/>
            <w:vAlign w:val="center"/>
          </w:tcPr>
          <w:p>
            <w:pPr>
              <w:spacing w:before="20" w:after="20" w:line="260" w:lineRule="auto"/>
              <w:ind w:firstLine="0"/>
              <w:jc w:val="center"/>
            </w:pPr>
            <w:r>
              <w:rPr>
                <w:sz w:val="20"/>
                <w:szCs w:val="20"/>
              </w:rPr>
              <w:t xml:space="preserve">16.199</w:t>
            </w:r>
          </w:p>
        </w:tc>
        <w:tc>
          <w:tcPr>
            <w:tcW w:type="dxa" w:w="1201"/>
            <w:vAlign w:val="center"/>
          </w:tcPr>
          <w:p>
            <w:pPr>
              <w:spacing w:before="20" w:after="20" w:line="260" w:lineRule="auto"/>
              <w:ind w:firstLine="0"/>
              <w:jc w:val="center"/>
            </w:pPr>
            <w:r>
              <w:rPr>
                <w:sz w:val="20"/>
                <w:szCs w:val="20"/>
              </w:rPr>
              <w:t xml:space="preserve">24,58%</w:t>
            </w:r>
          </w:p>
        </w:tc>
        <w:tc>
          <w:tcPr>
            <w:tcW w:type="dxa" w:w="1201"/>
            <w:vAlign w:val="center"/>
          </w:tcPr>
          <w:p>
            <w:pPr>
              <w:spacing w:before="20" w:after="20" w:line="260" w:lineRule="auto"/>
              <w:ind w:firstLine="0"/>
              <w:jc w:val="center"/>
            </w:pPr>
            <w:r>
              <w:rPr>
                <w:sz w:val="20"/>
                <w:szCs w:val="20"/>
              </w:rPr>
              <w:t xml:space="preserve">37,50%</w:t>
            </w:r>
          </w:p>
        </w:tc>
        <w:tc>
          <w:tcPr>
            <w:tcW w:type="dxa" w:w="1531"/>
            <w:vAlign w:val="center"/>
          </w:tcPr>
          <w:p>
            <w:pPr>
              <w:spacing w:before="20" w:after="20" w:line="260" w:lineRule="auto"/>
              <w:ind w:firstLine="0"/>
              <w:jc w:val="center"/>
            </w:pPr>
            <w:r>
              <w:rPr>
                <w:sz w:val="20"/>
                <w:szCs w:val="20"/>
              </w:rPr>
              <w:t xml:space="preserve">6.280</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12.677</w:t>
            </w:r>
          </w:p>
        </w:tc>
        <w:tc>
          <w:tcPr>
            <w:tcW w:type="dxa" w:w="1201"/>
            <w:vAlign w:val="center"/>
          </w:tcPr>
          <w:p>
            <w:pPr>
              <w:spacing w:before="20" w:after="20" w:line="260" w:lineRule="auto"/>
              <w:ind w:firstLine="0"/>
              <w:jc w:val="center"/>
            </w:pPr>
            <w:r>
              <w:rPr>
                <w:sz w:val="20"/>
                <w:szCs w:val="20"/>
              </w:rPr>
              <w:t xml:space="preserve">14.954</w:t>
            </w:r>
          </w:p>
        </w:tc>
        <w:tc>
          <w:tcPr>
            <w:tcW w:type="dxa" w:w="1201"/>
            <w:vAlign w:val="center"/>
          </w:tcPr>
          <w:p>
            <w:pPr>
              <w:spacing w:before="20" w:after="20" w:line="260" w:lineRule="auto"/>
              <w:ind w:firstLine="0"/>
              <w:jc w:val="center"/>
            </w:pPr>
            <w:r>
              <w:rPr>
                <w:sz w:val="20"/>
                <w:szCs w:val="20"/>
              </w:rPr>
              <w:t xml:space="preserve">17,97%</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6.031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9.987</w:t>
            </w:r>
          </w:p>
        </w:tc>
        <w:tc>
          <w:tcPr>
            <w:tcW w:type="dxa" w:w="1201"/>
            <w:vAlign w:val="center"/>
          </w:tcPr>
          <w:p>
            <w:pPr>
              <w:spacing w:before="20" w:after="20" w:line="260" w:lineRule="auto"/>
              <w:ind w:firstLine="0"/>
              <w:jc w:val="center"/>
            </w:pPr>
            <w:r>
              <w:rPr>
                <w:sz w:val="20"/>
                <w:szCs w:val="20"/>
              </w:rPr>
              <w:t xml:space="preserve">11.026</w:t>
            </w:r>
          </w:p>
        </w:tc>
        <w:tc>
          <w:tcPr>
            <w:tcW w:type="dxa" w:w="1201"/>
            <w:vAlign w:val="center"/>
          </w:tcPr>
          <w:p>
            <w:pPr>
              <w:spacing w:before="20" w:after="20" w:line="260" w:lineRule="auto"/>
              <w:ind w:firstLine="0"/>
              <w:jc w:val="center"/>
            </w:pPr>
            <w:r>
              <w:rPr>
                <w:sz w:val="20"/>
                <w:szCs w:val="20"/>
              </w:rPr>
              <w:t xml:space="preserve">10,84%</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4.637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8.344</w:t>
            </w:r>
          </w:p>
        </w:tc>
        <w:tc>
          <w:tcPr>
            <w:tcW w:type="dxa" w:w="1201"/>
            <w:vAlign w:val="center"/>
          </w:tcPr>
          <w:p>
            <w:pPr>
              <w:spacing w:before="20" w:after="20" w:line="260" w:lineRule="auto"/>
              <w:ind w:firstLine="0"/>
              <w:jc w:val="center"/>
            </w:pPr>
            <w:r>
              <w:rPr>
                <w:sz w:val="20"/>
                <w:szCs w:val="20"/>
              </w:rPr>
              <w:t xml:space="preserve">8.118</w:t>
            </w:r>
          </w:p>
        </w:tc>
        <w:tc>
          <w:tcPr>
            <w:tcW w:type="dxa" w:w="1201"/>
            <w:vAlign w:val="center"/>
          </w:tcPr>
          <w:p>
            <w:pPr>
              <w:spacing w:before="20" w:after="20" w:line="260" w:lineRule="auto"/>
              <w:ind w:firstLine="0"/>
              <w:jc w:val="center"/>
            </w:pPr>
            <w:r>
              <w:rPr>
                <w:sz w:val="20"/>
                <w:szCs w:val="20"/>
              </w:rPr>
              <w:t xml:space="preserve">21,81%</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4.102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7.180</w:t>
            </w:r>
          </w:p>
        </w:tc>
        <w:tc>
          <w:tcPr>
            <w:tcW w:type="dxa" w:w="1201"/>
            <w:vAlign w:val="center"/>
          </w:tcPr>
          <w:p>
            <w:pPr>
              <w:spacing w:before="20" w:after="20" w:line="260" w:lineRule="auto"/>
              <w:ind w:firstLine="0"/>
              <w:jc w:val="center"/>
            </w:pPr>
            <w:r>
              <w:rPr>
                <w:sz w:val="20"/>
                <w:szCs w:val="20"/>
              </w:rPr>
              <w:t xml:space="preserve">8.144</w:t>
            </w:r>
          </w:p>
        </w:tc>
        <w:tc>
          <w:tcPr>
            <w:tcW w:type="dxa" w:w="1201"/>
            <w:vAlign w:val="center"/>
          </w:tcPr>
          <w:p>
            <w:pPr>
              <w:spacing w:before="20" w:after="20" w:line="260" w:lineRule="auto"/>
              <w:ind w:firstLine="0"/>
              <w:jc w:val="center"/>
            </w:pPr>
            <w:r>
              <w:rPr>
                <w:sz w:val="20"/>
                <w:szCs w:val="20"/>
              </w:rPr>
              <w:t xml:space="preserve">13,70%</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3.820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4.183</w:t>
            </w:r>
          </w:p>
        </w:tc>
        <w:tc>
          <w:tcPr>
            <w:tcW w:type="dxa" w:w="1201"/>
            <w:vAlign w:val="center"/>
          </w:tcPr>
          <w:p>
            <w:pPr>
              <w:spacing w:before="20" w:after="20" w:line="260" w:lineRule="auto"/>
              <w:ind w:firstLine="0"/>
              <w:jc w:val="center"/>
            </w:pPr>
            <w:r>
              <w:rPr>
                <w:sz w:val="20"/>
                <w:szCs w:val="20"/>
              </w:rPr>
              <w:t xml:space="preserve">4.464</w:t>
            </w:r>
          </w:p>
        </w:tc>
        <w:tc>
          <w:tcPr>
            <w:tcW w:type="dxa" w:w="1201"/>
            <w:vAlign w:val="center"/>
          </w:tcPr>
          <w:p>
            <w:pPr>
              <w:spacing w:before="20" w:after="20" w:line="260" w:lineRule="auto"/>
              <w:ind w:firstLine="0"/>
              <w:jc w:val="center"/>
            </w:pPr>
            <w:r>
              <w:rPr>
                <w:sz w:val="20"/>
                <w:szCs w:val="20"/>
              </w:rPr>
              <w:t xml:space="preserve">17,58%</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2.011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3.784</w:t>
            </w:r>
          </w:p>
        </w:tc>
        <w:tc>
          <w:tcPr>
            <w:tcW w:type="dxa" w:w="1201"/>
            <w:vAlign w:val="center"/>
          </w:tcPr>
          <w:p>
            <w:pPr>
              <w:spacing w:before="20" w:after="20" w:line="260" w:lineRule="auto"/>
              <w:ind w:firstLine="0"/>
              <w:jc w:val="center"/>
            </w:pPr>
            <w:r>
              <w:rPr>
                <w:sz w:val="20"/>
                <w:szCs w:val="20"/>
              </w:rPr>
              <w:t xml:space="preserve">4.599</w:t>
            </w:r>
          </w:p>
        </w:tc>
        <w:tc>
          <w:tcPr>
            <w:tcW w:type="dxa" w:w="1201"/>
            <w:vAlign w:val="center"/>
          </w:tcPr>
          <w:p>
            <w:pPr>
              <w:spacing w:before="20" w:after="20" w:line="260" w:lineRule="auto"/>
              <w:ind w:firstLine="0"/>
              <w:jc w:val="center"/>
            </w:pPr>
            <w:r>
              <w:rPr>
                <w:sz w:val="20"/>
                <w:szCs w:val="20"/>
              </w:rPr>
              <w:t xml:space="preserve">25,22%</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2.066</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A.3. Cửa hàng 3 (Quito, Pichincha; loại D, cụm 8)</w:t>
      </w:r>
    </w:p>
    <w:p>
      <w:pPr>
        <w:keepLines w:val="0"/>
        <w:spacing w:after="120"/>
        <w:ind w:firstLine="567"/>
      </w:pPr>
      <w:r>
        <w:t xml:space="preserve">Trong 16 ngày của tập kiểm tra cuối, cửa hàng 3 có tổng doanh số thực tế 538.087 (hạng 4/54 về quy mô) và tổng dự báo 579.503, tức dự báo cao hơn thực tế 7,70%. WAPE của cửa hàng là 9,74% (hạng 3/54 từ thấp đến cao), MAE 99,288, RMSE 286,330 và bias −78,439. Độ bao phủ thực nghiệm của khoảng P10–P90 đạt 77,27% (hạng 18/54), so với mức danh nghĩa 80%. Nhóm có doanh số thực tế lớn nhất là BEVERAGES (126.131; WAPE 12,88%; bao phủ 31,25%). Trong các nhóm có quy mô từ trung vị của cửa hàng trở lên, nhóm có WAPE thấp nhất là PRODUCE (4,10%). Có 1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521.321, 578.914 và 674.312; tổng lượng bổ sung gợi ý theo giả định là 211.182. Cửa hàng có 18 nhóm mang nhãn HIGH, 12 nhóm MEDIUM và 3 nhóm LOW. Bảng A.5 liệt kê mười nhóm có doanh số thực tế lớn nhất của cửa hàng.</w:t>
      </w:r>
    </w:p>
    <w:p>
      <w:pPr>
        <w:keepNext/>
        <w:spacing w:before="120" w:after="60"/>
        <w:ind w:firstLine="0"/>
        <w:jc w:val="center"/>
      </w:pPr>
      <w:r>
        <w:t xml:space="preserve">Bảng A.5. Mười nhóm sản phẩm có doanh số thực tế lớn nhất của cửa hàng 3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126.131</w:t>
            </w:r>
          </w:p>
        </w:tc>
        <w:tc>
          <w:tcPr>
            <w:tcW w:type="dxa" w:w="1201"/>
            <w:vAlign w:val="center"/>
          </w:tcPr>
          <w:p>
            <w:pPr>
              <w:spacing w:before="20" w:after="20" w:line="260" w:lineRule="auto"/>
              <w:ind w:firstLine="0"/>
              <w:jc w:val="center"/>
            </w:pPr>
            <w:r>
              <w:rPr>
                <w:sz w:val="20"/>
                <w:szCs w:val="20"/>
              </w:rPr>
              <w:t xml:space="preserve">140.826</w:t>
            </w:r>
          </w:p>
        </w:tc>
        <w:tc>
          <w:tcPr>
            <w:tcW w:type="dxa" w:w="1201"/>
            <w:vAlign w:val="center"/>
          </w:tcPr>
          <w:p>
            <w:pPr>
              <w:spacing w:before="20" w:after="20" w:line="260" w:lineRule="auto"/>
              <w:ind w:firstLine="0"/>
              <w:jc w:val="center"/>
            </w:pPr>
            <w:r>
              <w:rPr>
                <w:sz w:val="20"/>
                <w:szCs w:val="20"/>
              </w:rPr>
              <w:t xml:space="preserve">12,88%</w:t>
            </w:r>
          </w:p>
        </w:tc>
        <w:tc>
          <w:tcPr>
            <w:tcW w:type="dxa" w:w="1201"/>
            <w:vAlign w:val="center"/>
          </w:tcPr>
          <w:p>
            <w:pPr>
              <w:spacing w:before="20" w:after="20" w:line="260" w:lineRule="auto"/>
              <w:ind w:firstLine="0"/>
              <w:jc w:val="center"/>
            </w:pPr>
            <w:r>
              <w:rPr>
                <w:sz w:val="20"/>
                <w:szCs w:val="20"/>
              </w:rPr>
              <w:t xml:space="preserve">31,25%</w:t>
            </w:r>
          </w:p>
        </w:tc>
        <w:tc>
          <w:tcPr>
            <w:tcW w:type="dxa" w:w="1531"/>
            <w:vAlign w:val="center"/>
          </w:tcPr>
          <w:p>
            <w:pPr>
              <w:spacing w:before="20" w:after="20" w:line="260" w:lineRule="auto"/>
              <w:ind w:firstLine="0"/>
              <w:jc w:val="center"/>
            </w:pPr>
            <w:r>
              <w:rPr>
                <w:sz w:val="20"/>
                <w:szCs w:val="20"/>
              </w:rPr>
              <w:t xml:space="preserve">40.329</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124.341</w:t>
            </w:r>
          </w:p>
        </w:tc>
        <w:tc>
          <w:tcPr>
            <w:tcW w:type="dxa" w:w="1201"/>
            <w:vAlign w:val="center"/>
          </w:tcPr>
          <w:p>
            <w:pPr>
              <w:spacing w:before="20" w:after="20" w:line="260" w:lineRule="auto"/>
              <w:ind w:firstLine="0"/>
              <w:jc w:val="center"/>
            </w:pPr>
            <w:r>
              <w:rPr>
                <w:sz w:val="20"/>
                <w:szCs w:val="20"/>
              </w:rPr>
              <w:t xml:space="preserve">128.394</w:t>
            </w:r>
          </w:p>
        </w:tc>
        <w:tc>
          <w:tcPr>
            <w:tcW w:type="dxa" w:w="1201"/>
            <w:vAlign w:val="center"/>
          </w:tcPr>
          <w:p>
            <w:pPr>
              <w:spacing w:before="20" w:after="20" w:line="260" w:lineRule="auto"/>
              <w:ind w:firstLine="0"/>
              <w:jc w:val="center"/>
            </w:pPr>
            <w:r>
              <w:rPr>
                <w:sz w:val="20"/>
                <w:szCs w:val="20"/>
              </w:rPr>
              <w:t xml:space="preserve">4,10%</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37.843</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122.681</w:t>
            </w:r>
          </w:p>
        </w:tc>
        <w:tc>
          <w:tcPr>
            <w:tcW w:type="dxa" w:w="1201"/>
            <w:vAlign w:val="center"/>
          </w:tcPr>
          <w:p>
            <w:pPr>
              <w:spacing w:before="20" w:after="20" w:line="260" w:lineRule="auto"/>
              <w:ind w:firstLine="0"/>
              <w:jc w:val="center"/>
            </w:pPr>
            <w:r>
              <w:rPr>
                <w:sz w:val="20"/>
                <w:szCs w:val="20"/>
              </w:rPr>
              <w:t xml:space="preserve">132.665</w:t>
            </w:r>
          </w:p>
        </w:tc>
        <w:tc>
          <w:tcPr>
            <w:tcW w:type="dxa" w:w="1201"/>
            <w:vAlign w:val="center"/>
          </w:tcPr>
          <w:p>
            <w:pPr>
              <w:spacing w:before="20" w:after="20" w:line="260" w:lineRule="auto"/>
              <w:ind w:firstLine="0"/>
              <w:jc w:val="center"/>
            </w:pPr>
            <w:r>
              <w:rPr>
                <w:sz w:val="20"/>
                <w:szCs w:val="20"/>
              </w:rPr>
              <w:t xml:space="preserve">8,60%</w:t>
            </w:r>
          </w:p>
        </w:tc>
        <w:tc>
          <w:tcPr>
            <w:tcW w:type="dxa" w:w="1201"/>
            <w:vAlign w:val="center"/>
          </w:tcPr>
          <w:p>
            <w:pPr>
              <w:spacing w:before="20" w:after="20" w:line="260" w:lineRule="auto"/>
              <w:ind w:firstLine="0"/>
              <w:jc w:val="center"/>
            </w:pPr>
            <w:r>
              <w:rPr>
                <w:sz w:val="20"/>
                <w:szCs w:val="20"/>
              </w:rPr>
              <w:t xml:space="preserve">37,50%</w:t>
            </w:r>
          </w:p>
        </w:tc>
        <w:tc>
          <w:tcPr>
            <w:tcW w:type="dxa" w:w="1531"/>
            <w:vAlign w:val="center"/>
          </w:tcPr>
          <w:p>
            <w:pPr>
              <w:spacing w:before="20" w:after="20" w:line="260" w:lineRule="auto"/>
              <w:ind w:firstLine="0"/>
              <w:jc w:val="center"/>
            </w:pPr>
            <w:r>
              <w:rPr>
                <w:sz w:val="20"/>
                <w:szCs w:val="20"/>
              </w:rPr>
              <w:t xml:space="preserve">38.697</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32.792</w:t>
            </w:r>
          </w:p>
        </w:tc>
        <w:tc>
          <w:tcPr>
            <w:tcW w:type="dxa" w:w="1201"/>
            <w:vAlign w:val="center"/>
          </w:tcPr>
          <w:p>
            <w:pPr>
              <w:spacing w:before="20" w:after="20" w:line="260" w:lineRule="auto"/>
              <w:ind w:firstLine="0"/>
              <w:jc w:val="center"/>
            </w:pPr>
            <w:r>
              <w:rPr>
                <w:sz w:val="20"/>
                <w:szCs w:val="20"/>
              </w:rPr>
              <w:t xml:space="preserve">35.286</w:t>
            </w:r>
          </w:p>
        </w:tc>
        <w:tc>
          <w:tcPr>
            <w:tcW w:type="dxa" w:w="1201"/>
            <w:vAlign w:val="center"/>
          </w:tcPr>
          <w:p>
            <w:pPr>
              <w:spacing w:before="20" w:after="20" w:line="260" w:lineRule="auto"/>
              <w:ind w:firstLine="0"/>
              <w:jc w:val="center"/>
            </w:pPr>
            <w:r>
              <w:rPr>
                <w:sz w:val="20"/>
                <w:szCs w:val="20"/>
              </w:rPr>
              <w:t xml:space="preserve">8,07%</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19.221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30.803</w:t>
            </w:r>
          </w:p>
        </w:tc>
        <w:tc>
          <w:tcPr>
            <w:tcW w:type="dxa" w:w="1201"/>
            <w:vAlign w:val="center"/>
          </w:tcPr>
          <w:p>
            <w:pPr>
              <w:spacing w:before="20" w:after="20" w:line="260" w:lineRule="auto"/>
              <w:ind w:firstLine="0"/>
              <w:jc w:val="center"/>
            </w:pPr>
            <w:r>
              <w:rPr>
                <w:sz w:val="20"/>
                <w:szCs w:val="20"/>
              </w:rPr>
              <w:t xml:space="preserve">34.179</w:t>
            </w:r>
          </w:p>
        </w:tc>
        <w:tc>
          <w:tcPr>
            <w:tcW w:type="dxa" w:w="1201"/>
            <w:vAlign w:val="center"/>
          </w:tcPr>
          <w:p>
            <w:pPr>
              <w:spacing w:before="20" w:after="20" w:line="260" w:lineRule="auto"/>
              <w:ind w:firstLine="0"/>
              <w:jc w:val="center"/>
            </w:pPr>
            <w:r>
              <w:rPr>
                <w:sz w:val="20"/>
                <w:szCs w:val="20"/>
              </w:rPr>
              <w:t xml:space="preserve">15,88%</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19.000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18.870</w:t>
            </w:r>
          </w:p>
        </w:tc>
        <w:tc>
          <w:tcPr>
            <w:tcW w:type="dxa" w:w="1201"/>
            <w:vAlign w:val="center"/>
          </w:tcPr>
          <w:p>
            <w:pPr>
              <w:spacing w:before="20" w:after="20" w:line="260" w:lineRule="auto"/>
              <w:ind w:firstLine="0"/>
              <w:jc w:val="center"/>
            </w:pPr>
            <w:r>
              <w:rPr>
                <w:sz w:val="20"/>
                <w:szCs w:val="20"/>
              </w:rPr>
              <w:t xml:space="preserve">19.987</w:t>
            </w:r>
          </w:p>
        </w:tc>
        <w:tc>
          <w:tcPr>
            <w:tcW w:type="dxa" w:w="1201"/>
            <w:vAlign w:val="center"/>
          </w:tcPr>
          <w:p>
            <w:pPr>
              <w:spacing w:before="20" w:after="20" w:line="260" w:lineRule="auto"/>
              <w:ind w:firstLine="0"/>
              <w:jc w:val="center"/>
            </w:pPr>
            <w:r>
              <w:rPr>
                <w:sz w:val="20"/>
                <w:szCs w:val="20"/>
              </w:rPr>
              <w:t xml:space="preserve">6,50%</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10.687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18.264</w:t>
            </w:r>
          </w:p>
        </w:tc>
        <w:tc>
          <w:tcPr>
            <w:tcW w:type="dxa" w:w="1201"/>
            <w:vAlign w:val="center"/>
          </w:tcPr>
          <w:p>
            <w:pPr>
              <w:spacing w:before="20" w:after="20" w:line="260" w:lineRule="auto"/>
              <w:ind w:firstLine="0"/>
              <w:jc w:val="center"/>
            </w:pPr>
            <w:r>
              <w:rPr>
                <w:sz w:val="20"/>
                <w:szCs w:val="20"/>
              </w:rPr>
              <w:t xml:space="preserve">19.408</w:t>
            </w:r>
          </w:p>
        </w:tc>
        <w:tc>
          <w:tcPr>
            <w:tcW w:type="dxa" w:w="1201"/>
            <w:vAlign w:val="center"/>
          </w:tcPr>
          <w:p>
            <w:pPr>
              <w:spacing w:before="20" w:after="20" w:line="260" w:lineRule="auto"/>
              <w:ind w:firstLine="0"/>
              <w:jc w:val="center"/>
            </w:pPr>
            <w:r>
              <w:rPr>
                <w:sz w:val="20"/>
                <w:szCs w:val="20"/>
              </w:rPr>
              <w:t xml:space="preserve">11,21%</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10.571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12.299</w:t>
            </w:r>
          </w:p>
        </w:tc>
        <w:tc>
          <w:tcPr>
            <w:tcW w:type="dxa" w:w="1201"/>
            <w:vAlign w:val="center"/>
          </w:tcPr>
          <w:p>
            <w:pPr>
              <w:spacing w:before="20" w:after="20" w:line="260" w:lineRule="auto"/>
              <w:ind w:firstLine="0"/>
              <w:jc w:val="center"/>
            </w:pPr>
            <w:r>
              <w:rPr>
                <w:sz w:val="20"/>
                <w:szCs w:val="20"/>
              </w:rPr>
              <w:t xml:space="preserve">13.119</w:t>
            </w:r>
          </w:p>
        </w:tc>
        <w:tc>
          <w:tcPr>
            <w:tcW w:type="dxa" w:w="1201"/>
            <w:vAlign w:val="center"/>
          </w:tcPr>
          <w:p>
            <w:pPr>
              <w:spacing w:before="20" w:after="20" w:line="260" w:lineRule="auto"/>
              <w:ind w:firstLine="0"/>
              <w:jc w:val="center"/>
            </w:pPr>
            <w:r>
              <w:rPr>
                <w:sz w:val="20"/>
                <w:szCs w:val="20"/>
              </w:rPr>
              <w:t xml:space="preserve">9,32%</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6.272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8.881</w:t>
            </w:r>
          </w:p>
        </w:tc>
        <w:tc>
          <w:tcPr>
            <w:tcW w:type="dxa" w:w="1201"/>
            <w:vAlign w:val="center"/>
          </w:tcPr>
          <w:p>
            <w:pPr>
              <w:spacing w:before="20" w:after="20" w:line="260" w:lineRule="auto"/>
              <w:ind w:firstLine="0"/>
              <w:jc w:val="center"/>
            </w:pPr>
            <w:r>
              <w:rPr>
                <w:sz w:val="20"/>
                <w:szCs w:val="20"/>
              </w:rPr>
              <w:t xml:space="preserve">8.865</w:t>
            </w:r>
          </w:p>
        </w:tc>
        <w:tc>
          <w:tcPr>
            <w:tcW w:type="dxa" w:w="1201"/>
            <w:vAlign w:val="center"/>
          </w:tcPr>
          <w:p>
            <w:pPr>
              <w:spacing w:before="20" w:after="20" w:line="260" w:lineRule="auto"/>
              <w:ind w:firstLine="0"/>
              <w:jc w:val="center"/>
            </w:pPr>
            <w:r>
              <w:rPr>
                <w:sz w:val="20"/>
                <w:szCs w:val="20"/>
              </w:rPr>
              <w:t xml:space="preserve">9,07%</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4.125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7.988</w:t>
            </w:r>
          </w:p>
        </w:tc>
        <w:tc>
          <w:tcPr>
            <w:tcW w:type="dxa" w:w="1201"/>
            <w:vAlign w:val="center"/>
          </w:tcPr>
          <w:p>
            <w:pPr>
              <w:spacing w:before="20" w:after="20" w:line="260" w:lineRule="auto"/>
              <w:ind w:firstLine="0"/>
              <w:jc w:val="center"/>
            </w:pPr>
            <w:r>
              <w:rPr>
                <w:sz w:val="20"/>
                <w:szCs w:val="20"/>
              </w:rPr>
              <w:t xml:space="preserve">8.929</w:t>
            </w:r>
          </w:p>
        </w:tc>
        <w:tc>
          <w:tcPr>
            <w:tcW w:type="dxa" w:w="1201"/>
            <w:vAlign w:val="center"/>
          </w:tcPr>
          <w:p>
            <w:pPr>
              <w:spacing w:before="20" w:after="20" w:line="260" w:lineRule="auto"/>
              <w:ind w:firstLine="0"/>
              <w:jc w:val="center"/>
            </w:pPr>
            <w:r>
              <w:rPr>
                <w:sz w:val="20"/>
                <w:szCs w:val="20"/>
              </w:rPr>
              <w:t xml:space="preserve">18,27%</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4.137</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A.4. Cửa hàng 4 (Quito, Pichincha; loại D, cụm 9)</w:t>
      </w:r>
    </w:p>
    <w:p>
      <w:pPr>
        <w:keepLines w:val="0"/>
        <w:spacing w:after="120"/>
        <w:ind w:firstLine="567"/>
      </w:pPr>
      <w:r>
        <w:t xml:space="preserve">Trong 16 ngày của tập kiểm tra cuối, cửa hàng 4 có tổng doanh số thực tế 187.479 (hạng 32/54 về quy mô) và tổng dự báo 205.240, tức dự báo cao hơn thực tế 9,47%. WAPE của cửa hàng là 15,51% (hạng 29/54 từ thấp đến cao), MAE 55,082, RMSE 141,520 và bias −33,637. Độ bao phủ thực nghiệm của khoảng P10–P90 đạt 78,41% (hạng 13/54), so với mức danh nghĩa 80%. Nhóm có doanh số thực tế lớn nhất là GROCERY I (52.449; WAPE 14,54%; bao phủ 43,75%). Trong các nhóm có quy mô từ trung vị của cửa hàng trở lên, nhóm có WAPE thấp nhất là PRODUCE (5,41%). Có 1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170.362, 205.051 và 260.995; tổng lượng bổ sung gợi ý theo giả định là 96.955. Cửa hàng có 19 nhóm mang nhãn HIGH, 13 nhóm MEDIUM và 1 nhóm LOW. Bảng A.6 liệt kê mười nhóm có doanh số thực tế lớn nhất của cửa hàng.</w:t>
      </w:r>
    </w:p>
    <w:p>
      <w:pPr>
        <w:keepNext/>
        <w:spacing w:before="120" w:after="60"/>
        <w:ind w:firstLine="0"/>
        <w:jc w:val="center"/>
      </w:pPr>
      <w:r>
        <w:t xml:space="preserve">Bảng A.6. Mười nhóm sản phẩm có doanh số thực tế lớn nhất của cửa hàng 4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52.449</w:t>
            </w:r>
          </w:p>
        </w:tc>
        <w:tc>
          <w:tcPr>
            <w:tcW w:type="dxa" w:w="1201"/>
            <w:vAlign w:val="center"/>
          </w:tcPr>
          <w:p>
            <w:pPr>
              <w:spacing w:before="20" w:after="20" w:line="260" w:lineRule="auto"/>
              <w:ind w:firstLine="0"/>
              <w:jc w:val="center"/>
            </w:pPr>
            <w:r>
              <w:rPr>
                <w:sz w:val="20"/>
                <w:szCs w:val="20"/>
              </w:rPr>
              <w:t xml:space="preserve">56.647</w:t>
            </w:r>
          </w:p>
        </w:tc>
        <w:tc>
          <w:tcPr>
            <w:tcW w:type="dxa" w:w="1201"/>
            <w:vAlign w:val="center"/>
          </w:tcPr>
          <w:p>
            <w:pPr>
              <w:spacing w:before="20" w:after="20" w:line="260" w:lineRule="auto"/>
              <w:ind w:firstLine="0"/>
              <w:jc w:val="center"/>
            </w:pPr>
            <w:r>
              <w:rPr>
                <w:sz w:val="20"/>
                <w:szCs w:val="20"/>
              </w:rPr>
              <w:t xml:space="preserve">14,54%</w:t>
            </w:r>
          </w:p>
        </w:tc>
        <w:tc>
          <w:tcPr>
            <w:tcW w:type="dxa" w:w="1201"/>
            <w:vAlign w:val="center"/>
          </w:tcPr>
          <w:p>
            <w:pPr>
              <w:spacing w:before="20" w:after="20" w:line="260" w:lineRule="auto"/>
              <w:ind w:firstLine="0"/>
              <w:jc w:val="center"/>
            </w:pPr>
            <w:r>
              <w:rPr>
                <w:sz w:val="20"/>
                <w:szCs w:val="20"/>
              </w:rPr>
              <w:t xml:space="preserve">43,75%</w:t>
            </w:r>
          </w:p>
        </w:tc>
        <w:tc>
          <w:tcPr>
            <w:tcW w:type="dxa" w:w="1531"/>
            <w:vAlign w:val="center"/>
          </w:tcPr>
          <w:p>
            <w:pPr>
              <w:spacing w:before="20" w:after="20" w:line="260" w:lineRule="auto"/>
              <w:ind w:firstLine="0"/>
              <w:jc w:val="center"/>
            </w:pPr>
            <w:r>
              <w:rPr>
                <w:sz w:val="20"/>
                <w:szCs w:val="20"/>
              </w:rPr>
              <w:t xml:space="preserve">23.494</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38.094</w:t>
            </w:r>
          </w:p>
        </w:tc>
        <w:tc>
          <w:tcPr>
            <w:tcW w:type="dxa" w:w="1201"/>
            <w:vAlign w:val="center"/>
          </w:tcPr>
          <w:p>
            <w:pPr>
              <w:spacing w:before="20" w:after="20" w:line="260" w:lineRule="auto"/>
              <w:ind w:firstLine="0"/>
              <w:jc w:val="center"/>
            </w:pPr>
            <w:r>
              <w:rPr>
                <w:sz w:val="20"/>
                <w:szCs w:val="20"/>
              </w:rPr>
              <w:t xml:space="preserve">43.618</w:t>
            </w:r>
          </w:p>
        </w:tc>
        <w:tc>
          <w:tcPr>
            <w:tcW w:type="dxa" w:w="1201"/>
            <w:vAlign w:val="center"/>
          </w:tcPr>
          <w:p>
            <w:pPr>
              <w:spacing w:before="20" w:after="20" w:line="260" w:lineRule="auto"/>
              <w:ind w:firstLine="0"/>
              <w:jc w:val="center"/>
            </w:pPr>
            <w:r>
              <w:rPr>
                <w:sz w:val="20"/>
                <w:szCs w:val="20"/>
              </w:rPr>
              <w:t xml:space="preserve">17,11%</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20.888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36.135</w:t>
            </w:r>
          </w:p>
        </w:tc>
        <w:tc>
          <w:tcPr>
            <w:tcW w:type="dxa" w:w="1201"/>
            <w:vAlign w:val="center"/>
          </w:tcPr>
          <w:p>
            <w:pPr>
              <w:spacing w:before="20" w:after="20" w:line="260" w:lineRule="auto"/>
              <w:ind w:firstLine="0"/>
              <w:jc w:val="center"/>
            </w:pPr>
            <w:r>
              <w:rPr>
                <w:sz w:val="20"/>
                <w:szCs w:val="20"/>
              </w:rPr>
              <w:t xml:space="preserve">37.310</w:t>
            </w:r>
          </w:p>
        </w:tc>
        <w:tc>
          <w:tcPr>
            <w:tcW w:type="dxa" w:w="1201"/>
            <w:vAlign w:val="center"/>
          </w:tcPr>
          <w:p>
            <w:pPr>
              <w:spacing w:before="20" w:after="20" w:line="260" w:lineRule="auto"/>
              <w:ind w:firstLine="0"/>
              <w:jc w:val="center"/>
            </w:pPr>
            <w:r>
              <w:rPr>
                <w:sz w:val="20"/>
                <w:szCs w:val="20"/>
              </w:rPr>
              <w:t xml:space="preserve">5,41%</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19.626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12.303</w:t>
            </w:r>
          </w:p>
        </w:tc>
        <w:tc>
          <w:tcPr>
            <w:tcW w:type="dxa" w:w="1201"/>
            <w:vAlign w:val="center"/>
          </w:tcPr>
          <w:p>
            <w:pPr>
              <w:spacing w:before="20" w:after="20" w:line="260" w:lineRule="auto"/>
              <w:ind w:firstLine="0"/>
              <w:jc w:val="center"/>
            </w:pPr>
            <w:r>
              <w:rPr>
                <w:sz w:val="20"/>
                <w:szCs w:val="20"/>
              </w:rPr>
              <w:t xml:space="preserve">14.229</w:t>
            </w:r>
          </w:p>
        </w:tc>
        <w:tc>
          <w:tcPr>
            <w:tcW w:type="dxa" w:w="1201"/>
            <w:vAlign w:val="center"/>
          </w:tcPr>
          <w:p>
            <w:pPr>
              <w:spacing w:before="20" w:after="20" w:line="260" w:lineRule="auto"/>
              <w:ind w:firstLine="0"/>
              <w:jc w:val="center"/>
            </w:pPr>
            <w:r>
              <w:rPr>
                <w:sz w:val="20"/>
                <w:szCs w:val="20"/>
              </w:rPr>
              <w:t xml:space="preserve">21,93%</w:t>
            </w:r>
          </w:p>
        </w:tc>
        <w:tc>
          <w:tcPr>
            <w:tcW w:type="dxa" w:w="1201"/>
            <w:vAlign w:val="center"/>
          </w:tcPr>
          <w:p>
            <w:pPr>
              <w:spacing w:before="20" w:after="20" w:line="260" w:lineRule="auto"/>
              <w:ind w:firstLine="0"/>
              <w:jc w:val="center"/>
            </w:pPr>
            <w:r>
              <w:rPr>
                <w:sz w:val="20"/>
                <w:szCs w:val="20"/>
              </w:rPr>
              <w:t xml:space="preserve">50,00%</w:t>
            </w:r>
          </w:p>
        </w:tc>
        <w:tc>
          <w:tcPr>
            <w:tcW w:type="dxa" w:w="1531"/>
            <w:vAlign w:val="center"/>
          </w:tcPr>
          <w:p>
            <w:pPr>
              <w:spacing w:before="20" w:after="20" w:line="260" w:lineRule="auto"/>
              <w:ind w:firstLine="0"/>
              <w:jc w:val="center"/>
            </w:pPr>
            <w:r>
              <w:rPr>
                <w:sz w:val="20"/>
                <w:szCs w:val="20"/>
              </w:rPr>
              <w:t xml:space="preserve">5.886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11.404</w:t>
            </w:r>
          </w:p>
        </w:tc>
        <w:tc>
          <w:tcPr>
            <w:tcW w:type="dxa" w:w="1201"/>
            <w:vAlign w:val="center"/>
          </w:tcPr>
          <w:p>
            <w:pPr>
              <w:spacing w:before="20" w:after="20" w:line="260" w:lineRule="auto"/>
              <w:ind w:firstLine="0"/>
              <w:jc w:val="center"/>
            </w:pPr>
            <w:r>
              <w:rPr>
                <w:sz w:val="20"/>
                <w:szCs w:val="20"/>
              </w:rPr>
              <w:t xml:space="preserve">13.492</w:t>
            </w:r>
          </w:p>
        </w:tc>
        <w:tc>
          <w:tcPr>
            <w:tcW w:type="dxa" w:w="1201"/>
            <w:vAlign w:val="center"/>
          </w:tcPr>
          <w:p>
            <w:pPr>
              <w:spacing w:before="20" w:after="20" w:line="260" w:lineRule="auto"/>
              <w:ind w:firstLine="0"/>
              <w:jc w:val="center"/>
            </w:pPr>
            <w:r>
              <w:rPr>
                <w:sz w:val="20"/>
                <w:szCs w:val="20"/>
              </w:rPr>
              <w:t xml:space="preserve">18,31%</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5.739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6.536</w:t>
            </w:r>
          </w:p>
        </w:tc>
        <w:tc>
          <w:tcPr>
            <w:tcW w:type="dxa" w:w="1201"/>
            <w:vAlign w:val="center"/>
          </w:tcPr>
          <w:p>
            <w:pPr>
              <w:spacing w:before="20" w:after="20" w:line="260" w:lineRule="auto"/>
              <w:ind w:firstLine="0"/>
              <w:jc w:val="center"/>
            </w:pPr>
            <w:r>
              <w:rPr>
                <w:sz w:val="20"/>
                <w:szCs w:val="20"/>
              </w:rPr>
              <w:t xml:space="preserve">6.086</w:t>
            </w:r>
          </w:p>
        </w:tc>
        <w:tc>
          <w:tcPr>
            <w:tcW w:type="dxa" w:w="1201"/>
            <w:vAlign w:val="center"/>
          </w:tcPr>
          <w:p>
            <w:pPr>
              <w:spacing w:before="20" w:after="20" w:line="260" w:lineRule="auto"/>
              <w:ind w:firstLine="0"/>
              <w:jc w:val="center"/>
            </w:pPr>
            <w:r>
              <w:rPr>
                <w:sz w:val="20"/>
                <w:szCs w:val="20"/>
              </w:rPr>
              <w:t xml:space="preserve">24,02%</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2.605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6.113</w:t>
            </w:r>
          </w:p>
        </w:tc>
        <w:tc>
          <w:tcPr>
            <w:tcW w:type="dxa" w:w="1201"/>
            <w:vAlign w:val="center"/>
          </w:tcPr>
          <w:p>
            <w:pPr>
              <w:spacing w:before="20" w:after="20" w:line="260" w:lineRule="auto"/>
              <w:ind w:firstLine="0"/>
              <w:jc w:val="center"/>
            </w:pPr>
            <w:r>
              <w:rPr>
                <w:sz w:val="20"/>
                <w:szCs w:val="20"/>
              </w:rPr>
              <w:t xml:space="preserve">6.736</w:t>
            </w:r>
          </w:p>
        </w:tc>
        <w:tc>
          <w:tcPr>
            <w:tcW w:type="dxa" w:w="1201"/>
            <w:vAlign w:val="center"/>
          </w:tcPr>
          <w:p>
            <w:pPr>
              <w:spacing w:before="20" w:after="20" w:line="260" w:lineRule="auto"/>
              <w:ind w:firstLine="0"/>
              <w:jc w:val="center"/>
            </w:pPr>
            <w:r>
              <w:rPr>
                <w:sz w:val="20"/>
                <w:szCs w:val="20"/>
              </w:rPr>
              <w:t xml:space="preserve">14,53%</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3.056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5.683</w:t>
            </w:r>
          </w:p>
        </w:tc>
        <w:tc>
          <w:tcPr>
            <w:tcW w:type="dxa" w:w="1201"/>
            <w:vAlign w:val="center"/>
          </w:tcPr>
          <w:p>
            <w:pPr>
              <w:spacing w:before="20" w:after="20" w:line="260" w:lineRule="auto"/>
              <w:ind w:firstLine="0"/>
              <w:jc w:val="center"/>
            </w:pPr>
            <w:r>
              <w:rPr>
                <w:sz w:val="20"/>
                <w:szCs w:val="20"/>
              </w:rPr>
              <w:t xml:space="preserve">6.659</w:t>
            </w:r>
          </w:p>
        </w:tc>
        <w:tc>
          <w:tcPr>
            <w:tcW w:type="dxa" w:w="1201"/>
            <w:vAlign w:val="center"/>
          </w:tcPr>
          <w:p>
            <w:pPr>
              <w:spacing w:before="20" w:after="20" w:line="260" w:lineRule="auto"/>
              <w:ind w:firstLine="0"/>
              <w:jc w:val="center"/>
            </w:pPr>
            <w:r>
              <w:rPr>
                <w:sz w:val="20"/>
                <w:szCs w:val="20"/>
              </w:rPr>
              <w:t xml:space="preserve">18,15%</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3.121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3.915</w:t>
            </w:r>
          </w:p>
        </w:tc>
        <w:tc>
          <w:tcPr>
            <w:tcW w:type="dxa" w:w="1201"/>
            <w:vAlign w:val="center"/>
          </w:tcPr>
          <w:p>
            <w:pPr>
              <w:spacing w:before="20" w:after="20" w:line="260" w:lineRule="auto"/>
              <w:ind w:firstLine="0"/>
              <w:jc w:val="center"/>
            </w:pPr>
            <w:r>
              <w:rPr>
                <w:sz w:val="20"/>
                <w:szCs w:val="20"/>
              </w:rPr>
              <w:t xml:space="preserve">3.874</w:t>
            </w:r>
          </w:p>
        </w:tc>
        <w:tc>
          <w:tcPr>
            <w:tcW w:type="dxa" w:w="1201"/>
            <w:vAlign w:val="center"/>
          </w:tcPr>
          <w:p>
            <w:pPr>
              <w:spacing w:before="20" w:after="20" w:line="260" w:lineRule="auto"/>
              <w:ind w:firstLine="0"/>
              <w:jc w:val="center"/>
            </w:pPr>
            <w:r>
              <w:rPr>
                <w:sz w:val="20"/>
                <w:szCs w:val="20"/>
              </w:rPr>
              <w:t xml:space="preserve">14,37%</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1.893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3.156</w:t>
            </w:r>
          </w:p>
        </w:tc>
        <w:tc>
          <w:tcPr>
            <w:tcW w:type="dxa" w:w="1201"/>
            <w:vAlign w:val="center"/>
          </w:tcPr>
          <w:p>
            <w:pPr>
              <w:spacing w:before="20" w:after="20" w:line="260" w:lineRule="auto"/>
              <w:ind w:firstLine="0"/>
              <w:jc w:val="center"/>
            </w:pPr>
            <w:r>
              <w:rPr>
                <w:sz w:val="20"/>
                <w:szCs w:val="20"/>
              </w:rPr>
              <w:t xml:space="preserve">4.216</w:t>
            </w:r>
          </w:p>
        </w:tc>
        <w:tc>
          <w:tcPr>
            <w:tcW w:type="dxa" w:w="1201"/>
            <w:vAlign w:val="center"/>
          </w:tcPr>
          <w:p>
            <w:pPr>
              <w:spacing w:before="20" w:after="20" w:line="260" w:lineRule="auto"/>
              <w:ind w:firstLine="0"/>
              <w:jc w:val="center"/>
            </w:pPr>
            <w:r>
              <w:rPr>
                <w:sz w:val="20"/>
                <w:szCs w:val="20"/>
              </w:rPr>
              <w:t xml:space="preserve">39,35%</w:t>
            </w:r>
          </w:p>
        </w:tc>
        <w:tc>
          <w:tcPr>
            <w:tcW w:type="dxa" w:w="1201"/>
            <w:vAlign w:val="center"/>
          </w:tcPr>
          <w:p>
            <w:pPr>
              <w:spacing w:before="20" w:after="20" w:line="260" w:lineRule="auto"/>
              <w:ind w:firstLine="0"/>
              <w:jc w:val="center"/>
            </w:pPr>
            <w:r>
              <w:rPr>
                <w:sz w:val="20"/>
                <w:szCs w:val="20"/>
              </w:rPr>
              <w:t xml:space="preserve">37,50%</w:t>
            </w:r>
          </w:p>
        </w:tc>
        <w:tc>
          <w:tcPr>
            <w:tcW w:type="dxa" w:w="1531"/>
            <w:vAlign w:val="center"/>
          </w:tcPr>
          <w:p>
            <w:pPr>
              <w:spacing w:before="20" w:after="20" w:line="260" w:lineRule="auto"/>
              <w:ind w:firstLine="0"/>
              <w:jc w:val="center"/>
            </w:pPr>
            <w:r>
              <w:rPr>
                <w:sz w:val="20"/>
                <w:szCs w:val="20"/>
              </w:rPr>
              <w:t xml:space="preserve">1.990</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A.5. Cửa hàng 5 (Santo Domingo, Santo Domingo de los Tsachilas; loại D, cụm 4)</w:t>
      </w:r>
    </w:p>
    <w:p>
      <w:pPr>
        <w:keepLines w:val="0"/>
        <w:spacing w:after="120"/>
        <w:ind w:firstLine="567"/>
      </w:pPr>
      <w:r>
        <w:t xml:space="preserve">Trong 16 ngày của tập kiểm tra cuối, cửa hàng 5 có tổng doanh số thực tế 156.443 (hạng 39/54 về quy mô) và tổng dự báo 165.345, tức dự báo cao hơn thực tế 5,69%. WAPE của cửa hàng là 12,29% (hạng 15/54 từ thấp đến cao), MAE 36,405, RMSE 89,444 và bias −16,860. Độ bao phủ thực nghiệm của khoảng P10–P90 đạt 79,36% (hạng 5/54), so với mức danh nghĩa 80%. Nhóm có doanh số thực tế lớn nhất là GROCERY I (47.303; WAPE 7,77%; bao phủ 81,25%). Trong các nhóm có quy mô từ trung vị của cửa hàng trở lên, nhóm có WAPE thấp nhất là PRODUCE (5,97%).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132.482, 165.125 và 217.967; tổng lượng bổ sung gợi ý theo giả định là 85.867. Cửa hàng có 21 nhóm mang nhãn HIGH, 11 nhóm MEDIUM và 1 nhóm LOW. Bảng A.7 liệt kê mười nhóm có doanh số thực tế lớn nhất của cửa hàng.</w:t>
      </w:r>
    </w:p>
    <w:p>
      <w:pPr>
        <w:keepNext/>
        <w:spacing w:before="120" w:after="60"/>
        <w:ind w:firstLine="0"/>
        <w:jc w:val="center"/>
      </w:pPr>
      <w:r>
        <w:t xml:space="preserve">Bảng A.7. Mười nhóm sản phẩm có doanh số thực tế lớn nhất của cửa hàng 5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47.303</w:t>
            </w:r>
          </w:p>
        </w:tc>
        <w:tc>
          <w:tcPr>
            <w:tcW w:type="dxa" w:w="1201"/>
            <w:vAlign w:val="center"/>
          </w:tcPr>
          <w:p>
            <w:pPr>
              <w:spacing w:before="20" w:after="20" w:line="260" w:lineRule="auto"/>
              <w:ind w:firstLine="0"/>
              <w:jc w:val="center"/>
            </w:pPr>
            <w:r>
              <w:rPr>
                <w:sz w:val="20"/>
                <w:szCs w:val="20"/>
              </w:rPr>
              <w:t xml:space="preserve">50.194</w:t>
            </w:r>
          </w:p>
        </w:tc>
        <w:tc>
          <w:tcPr>
            <w:tcW w:type="dxa" w:w="1201"/>
            <w:vAlign w:val="center"/>
          </w:tcPr>
          <w:p>
            <w:pPr>
              <w:spacing w:before="20" w:after="20" w:line="260" w:lineRule="auto"/>
              <w:ind w:firstLine="0"/>
              <w:jc w:val="center"/>
            </w:pPr>
            <w:r>
              <w:rPr>
                <w:sz w:val="20"/>
                <w:szCs w:val="20"/>
              </w:rPr>
              <w:t xml:space="preserve">7,77%</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22.203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29.533</w:t>
            </w:r>
          </w:p>
        </w:tc>
        <w:tc>
          <w:tcPr>
            <w:tcW w:type="dxa" w:w="1201"/>
            <w:vAlign w:val="center"/>
          </w:tcPr>
          <w:p>
            <w:pPr>
              <w:spacing w:before="20" w:after="20" w:line="260" w:lineRule="auto"/>
              <w:ind w:firstLine="0"/>
              <w:jc w:val="center"/>
            </w:pPr>
            <w:r>
              <w:rPr>
                <w:sz w:val="20"/>
                <w:szCs w:val="20"/>
              </w:rPr>
              <w:t xml:space="preserve">30.905</w:t>
            </w:r>
          </w:p>
        </w:tc>
        <w:tc>
          <w:tcPr>
            <w:tcW w:type="dxa" w:w="1201"/>
            <w:vAlign w:val="center"/>
          </w:tcPr>
          <w:p>
            <w:pPr>
              <w:spacing w:before="20" w:after="20" w:line="260" w:lineRule="auto"/>
              <w:ind w:firstLine="0"/>
              <w:jc w:val="center"/>
            </w:pPr>
            <w:r>
              <w:rPr>
                <w:sz w:val="20"/>
                <w:szCs w:val="20"/>
              </w:rPr>
              <w:t xml:space="preserve">12,47%</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18.345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25.452</w:t>
            </w:r>
          </w:p>
        </w:tc>
        <w:tc>
          <w:tcPr>
            <w:tcW w:type="dxa" w:w="1201"/>
            <w:vAlign w:val="center"/>
          </w:tcPr>
          <w:p>
            <w:pPr>
              <w:spacing w:before="20" w:after="20" w:line="260" w:lineRule="auto"/>
              <w:ind w:firstLine="0"/>
              <w:jc w:val="center"/>
            </w:pPr>
            <w:r>
              <w:rPr>
                <w:sz w:val="20"/>
                <w:szCs w:val="20"/>
              </w:rPr>
              <w:t xml:space="preserve">25.686</w:t>
            </w:r>
          </w:p>
        </w:tc>
        <w:tc>
          <w:tcPr>
            <w:tcW w:type="dxa" w:w="1201"/>
            <w:vAlign w:val="center"/>
          </w:tcPr>
          <w:p>
            <w:pPr>
              <w:spacing w:before="20" w:after="20" w:line="260" w:lineRule="auto"/>
              <w:ind w:firstLine="0"/>
              <w:jc w:val="center"/>
            </w:pPr>
            <w:r>
              <w:rPr>
                <w:sz w:val="20"/>
                <w:szCs w:val="20"/>
              </w:rPr>
              <w:t xml:space="preserve">5,97%</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16.693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13.393</w:t>
            </w:r>
          </w:p>
        </w:tc>
        <w:tc>
          <w:tcPr>
            <w:tcW w:type="dxa" w:w="1201"/>
            <w:vAlign w:val="center"/>
          </w:tcPr>
          <w:p>
            <w:pPr>
              <w:spacing w:before="20" w:after="20" w:line="260" w:lineRule="auto"/>
              <w:ind w:firstLine="0"/>
              <w:jc w:val="center"/>
            </w:pPr>
            <w:r>
              <w:rPr>
                <w:sz w:val="20"/>
                <w:szCs w:val="20"/>
              </w:rPr>
              <w:t xml:space="preserve">15.727</w:t>
            </w:r>
          </w:p>
        </w:tc>
        <w:tc>
          <w:tcPr>
            <w:tcW w:type="dxa" w:w="1201"/>
            <w:vAlign w:val="center"/>
          </w:tcPr>
          <w:p>
            <w:pPr>
              <w:spacing w:before="20" w:after="20" w:line="260" w:lineRule="auto"/>
              <w:ind w:firstLine="0"/>
              <w:jc w:val="center"/>
            </w:pPr>
            <w:r>
              <w:rPr>
                <w:sz w:val="20"/>
                <w:szCs w:val="20"/>
              </w:rPr>
              <w:t xml:space="preserve">21,79%</w:t>
            </w:r>
          </w:p>
        </w:tc>
        <w:tc>
          <w:tcPr>
            <w:tcW w:type="dxa" w:w="1201"/>
            <w:vAlign w:val="center"/>
          </w:tcPr>
          <w:p>
            <w:pPr>
              <w:spacing w:before="20" w:after="20" w:line="260" w:lineRule="auto"/>
              <w:ind w:firstLine="0"/>
              <w:jc w:val="center"/>
            </w:pPr>
            <w:r>
              <w:rPr>
                <w:sz w:val="20"/>
                <w:szCs w:val="20"/>
              </w:rPr>
              <w:t xml:space="preserve">31,25%</w:t>
            </w:r>
          </w:p>
        </w:tc>
        <w:tc>
          <w:tcPr>
            <w:tcW w:type="dxa" w:w="1531"/>
            <w:vAlign w:val="center"/>
          </w:tcPr>
          <w:p>
            <w:pPr>
              <w:spacing w:before="20" w:after="20" w:line="260" w:lineRule="auto"/>
              <w:ind w:firstLine="0"/>
              <w:jc w:val="center"/>
            </w:pPr>
            <w:r>
              <w:rPr>
                <w:sz w:val="20"/>
                <w:szCs w:val="20"/>
              </w:rPr>
              <w:t xml:space="preserve">5.577</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8.652</w:t>
            </w:r>
          </w:p>
        </w:tc>
        <w:tc>
          <w:tcPr>
            <w:tcW w:type="dxa" w:w="1201"/>
            <w:vAlign w:val="center"/>
          </w:tcPr>
          <w:p>
            <w:pPr>
              <w:spacing w:before="20" w:after="20" w:line="260" w:lineRule="auto"/>
              <w:ind w:firstLine="0"/>
              <w:jc w:val="center"/>
            </w:pPr>
            <w:r>
              <w:rPr>
                <w:sz w:val="20"/>
                <w:szCs w:val="20"/>
              </w:rPr>
              <w:t xml:space="preserve">9.396</w:t>
            </w:r>
          </w:p>
        </w:tc>
        <w:tc>
          <w:tcPr>
            <w:tcW w:type="dxa" w:w="1201"/>
            <w:vAlign w:val="center"/>
          </w:tcPr>
          <w:p>
            <w:pPr>
              <w:spacing w:before="20" w:after="20" w:line="260" w:lineRule="auto"/>
              <w:ind w:firstLine="0"/>
              <w:jc w:val="center"/>
            </w:pPr>
            <w:r>
              <w:rPr>
                <w:sz w:val="20"/>
                <w:szCs w:val="20"/>
              </w:rPr>
              <w:t xml:space="preserve">10,12%</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4.311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5.616</w:t>
            </w:r>
          </w:p>
        </w:tc>
        <w:tc>
          <w:tcPr>
            <w:tcW w:type="dxa" w:w="1201"/>
            <w:vAlign w:val="center"/>
          </w:tcPr>
          <w:p>
            <w:pPr>
              <w:spacing w:before="20" w:after="20" w:line="260" w:lineRule="auto"/>
              <w:ind w:firstLine="0"/>
              <w:jc w:val="center"/>
            </w:pPr>
            <w:r>
              <w:rPr>
                <w:sz w:val="20"/>
                <w:szCs w:val="20"/>
              </w:rPr>
              <w:t xml:space="preserve">5.977</w:t>
            </w:r>
          </w:p>
        </w:tc>
        <w:tc>
          <w:tcPr>
            <w:tcW w:type="dxa" w:w="1201"/>
            <w:vAlign w:val="center"/>
          </w:tcPr>
          <w:p>
            <w:pPr>
              <w:spacing w:before="20" w:after="20" w:line="260" w:lineRule="auto"/>
              <w:ind w:firstLine="0"/>
              <w:jc w:val="center"/>
            </w:pPr>
            <w:r>
              <w:rPr>
                <w:sz w:val="20"/>
                <w:szCs w:val="20"/>
              </w:rPr>
              <w:t xml:space="preserve">11,08%</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2.583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4.088</w:t>
            </w:r>
          </w:p>
        </w:tc>
        <w:tc>
          <w:tcPr>
            <w:tcW w:type="dxa" w:w="1201"/>
            <w:vAlign w:val="center"/>
          </w:tcPr>
          <w:p>
            <w:pPr>
              <w:spacing w:before="20" w:after="20" w:line="260" w:lineRule="auto"/>
              <w:ind w:firstLine="0"/>
              <w:jc w:val="center"/>
            </w:pPr>
            <w:r>
              <w:rPr>
                <w:sz w:val="20"/>
                <w:szCs w:val="20"/>
              </w:rPr>
              <w:t xml:space="preserve">4.090</w:t>
            </w:r>
          </w:p>
        </w:tc>
        <w:tc>
          <w:tcPr>
            <w:tcW w:type="dxa" w:w="1201"/>
            <w:vAlign w:val="center"/>
          </w:tcPr>
          <w:p>
            <w:pPr>
              <w:spacing w:before="20" w:after="20" w:line="260" w:lineRule="auto"/>
              <w:ind w:firstLine="0"/>
              <w:jc w:val="center"/>
            </w:pPr>
            <w:r>
              <w:rPr>
                <w:sz w:val="20"/>
                <w:szCs w:val="20"/>
              </w:rPr>
              <w:t xml:space="preserve">12,66%</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1.965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3.823</w:t>
            </w:r>
          </w:p>
        </w:tc>
        <w:tc>
          <w:tcPr>
            <w:tcW w:type="dxa" w:w="1201"/>
            <w:vAlign w:val="center"/>
          </w:tcPr>
          <w:p>
            <w:pPr>
              <w:spacing w:before="20" w:after="20" w:line="260" w:lineRule="auto"/>
              <w:ind w:firstLine="0"/>
              <w:jc w:val="center"/>
            </w:pPr>
            <w:r>
              <w:rPr>
                <w:sz w:val="20"/>
                <w:szCs w:val="20"/>
              </w:rPr>
              <w:t xml:space="preserve">4.082</w:t>
            </w:r>
          </w:p>
        </w:tc>
        <w:tc>
          <w:tcPr>
            <w:tcW w:type="dxa" w:w="1201"/>
            <w:vAlign w:val="center"/>
          </w:tcPr>
          <w:p>
            <w:pPr>
              <w:spacing w:before="20" w:after="20" w:line="260" w:lineRule="auto"/>
              <w:ind w:firstLine="0"/>
              <w:jc w:val="center"/>
            </w:pPr>
            <w:r>
              <w:rPr>
                <w:sz w:val="20"/>
                <w:szCs w:val="20"/>
              </w:rPr>
              <w:t xml:space="preserve">12,98%</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1.963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3.688</w:t>
            </w:r>
          </w:p>
        </w:tc>
        <w:tc>
          <w:tcPr>
            <w:tcW w:type="dxa" w:w="1201"/>
            <w:vAlign w:val="center"/>
          </w:tcPr>
          <w:p>
            <w:pPr>
              <w:spacing w:before="20" w:after="20" w:line="260" w:lineRule="auto"/>
              <w:ind w:firstLine="0"/>
              <w:jc w:val="center"/>
            </w:pPr>
            <w:r>
              <w:rPr>
                <w:sz w:val="20"/>
                <w:szCs w:val="20"/>
              </w:rPr>
              <w:t xml:space="preserve">3.865</w:t>
            </w:r>
          </w:p>
        </w:tc>
        <w:tc>
          <w:tcPr>
            <w:tcW w:type="dxa" w:w="1201"/>
            <w:vAlign w:val="center"/>
          </w:tcPr>
          <w:p>
            <w:pPr>
              <w:spacing w:before="20" w:after="20" w:line="260" w:lineRule="auto"/>
              <w:ind w:firstLine="0"/>
              <w:jc w:val="center"/>
            </w:pPr>
            <w:r>
              <w:rPr>
                <w:sz w:val="20"/>
                <w:szCs w:val="20"/>
              </w:rPr>
              <w:t xml:space="preserve">11,47%</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1.892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3.616</w:t>
            </w:r>
          </w:p>
        </w:tc>
        <w:tc>
          <w:tcPr>
            <w:tcW w:type="dxa" w:w="1201"/>
            <w:vAlign w:val="center"/>
          </w:tcPr>
          <w:p>
            <w:pPr>
              <w:spacing w:before="20" w:after="20" w:line="260" w:lineRule="auto"/>
              <w:ind w:firstLine="0"/>
              <w:jc w:val="center"/>
            </w:pPr>
            <w:r>
              <w:rPr>
                <w:sz w:val="20"/>
                <w:szCs w:val="20"/>
              </w:rPr>
              <w:t xml:space="preserve">3.785</w:t>
            </w:r>
          </w:p>
        </w:tc>
        <w:tc>
          <w:tcPr>
            <w:tcW w:type="dxa" w:w="1201"/>
            <w:vAlign w:val="center"/>
          </w:tcPr>
          <w:p>
            <w:pPr>
              <w:spacing w:before="20" w:after="20" w:line="260" w:lineRule="auto"/>
              <w:ind w:firstLine="0"/>
              <w:jc w:val="center"/>
            </w:pPr>
            <w:r>
              <w:rPr>
                <w:sz w:val="20"/>
                <w:szCs w:val="20"/>
              </w:rPr>
              <w:t xml:space="preserve">10,45%</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1.903</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A.6. Cửa hàng 6 (Quito, Pichincha; loại D, cụm 13)</w:t>
      </w:r>
    </w:p>
    <w:p>
      <w:pPr>
        <w:keepLines w:val="0"/>
        <w:spacing w:after="120"/>
        <w:ind w:firstLine="567"/>
      </w:pPr>
      <w:r>
        <w:t xml:space="preserve">Trong 16 ngày của tập kiểm tra cuối, cửa hàng 6 có tổng doanh số thực tế 257.700 (hạng 21/54 về quy mô) và tổng dự báo 277.876, tức dự báo cao hơn thực tế 7,83%. WAPE của cửa hàng là 11,12% (hạng 10/54 từ thấp đến cao), MAE 54,286, RMSE 134,338 và bias −38,213. Độ bao phủ thực nghiệm của khoảng P10–P90 đạt 79,73% (hạng 3/54), so với mức danh nghĩa 80%. Nhóm có doanh số thực tế lớn nhất là GROCERY I (75.607; WAPE 6,48%; bao phủ 68,75%). Trong các nhóm có quy mô từ trung vị của cửa hàng trở lên, nhóm có WAPE thấp nhất là PRODUCE (5,90%). Có 4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235.182, 277.443 và 346.130; tổng lượng bổ sung gợi ý theo giả định là 124.176. Cửa hàng có 18 nhóm mang nhãn HIGH, 13 nhóm MEDIUM và 2 nhóm LOW. Bảng A.8 liệt kê mười nhóm có doanh số thực tế lớn nhất của cửa hàng.</w:t>
      </w:r>
    </w:p>
    <w:p>
      <w:pPr>
        <w:keepNext/>
        <w:spacing w:before="120" w:after="60"/>
        <w:ind w:firstLine="0"/>
        <w:jc w:val="center"/>
      </w:pPr>
      <w:r>
        <w:t xml:space="preserve">Bảng A.8. Mười nhóm sản phẩm có doanh số thực tế lớn nhất của cửa hàng 6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75.607</w:t>
            </w:r>
          </w:p>
        </w:tc>
        <w:tc>
          <w:tcPr>
            <w:tcW w:type="dxa" w:w="1201"/>
            <w:vAlign w:val="center"/>
          </w:tcPr>
          <w:p>
            <w:pPr>
              <w:spacing w:before="20" w:after="20" w:line="260" w:lineRule="auto"/>
              <w:ind w:firstLine="0"/>
              <w:jc w:val="center"/>
            </w:pPr>
            <w:r>
              <w:rPr>
                <w:sz w:val="20"/>
                <w:szCs w:val="20"/>
              </w:rPr>
              <w:t xml:space="preserve">79.679</w:t>
            </w:r>
          </w:p>
        </w:tc>
        <w:tc>
          <w:tcPr>
            <w:tcW w:type="dxa" w:w="1201"/>
            <w:vAlign w:val="center"/>
          </w:tcPr>
          <w:p>
            <w:pPr>
              <w:spacing w:before="20" w:after="20" w:line="260" w:lineRule="auto"/>
              <w:ind w:firstLine="0"/>
              <w:jc w:val="center"/>
            </w:pPr>
            <w:r>
              <w:rPr>
                <w:sz w:val="20"/>
                <w:szCs w:val="20"/>
              </w:rPr>
              <w:t xml:space="preserve">6,48%</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28.100</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52.932</w:t>
            </w:r>
          </w:p>
        </w:tc>
        <w:tc>
          <w:tcPr>
            <w:tcW w:type="dxa" w:w="1201"/>
            <w:vAlign w:val="center"/>
          </w:tcPr>
          <w:p>
            <w:pPr>
              <w:spacing w:before="20" w:after="20" w:line="260" w:lineRule="auto"/>
              <w:ind w:firstLine="0"/>
              <w:jc w:val="center"/>
            </w:pPr>
            <w:r>
              <w:rPr>
                <w:sz w:val="20"/>
                <w:szCs w:val="20"/>
              </w:rPr>
              <w:t xml:space="preserve">58.711</w:t>
            </w:r>
          </w:p>
        </w:tc>
        <w:tc>
          <w:tcPr>
            <w:tcW w:type="dxa" w:w="1201"/>
            <w:vAlign w:val="center"/>
          </w:tcPr>
          <w:p>
            <w:pPr>
              <w:spacing w:before="20" w:after="20" w:line="260" w:lineRule="auto"/>
              <w:ind w:firstLine="0"/>
              <w:jc w:val="center"/>
            </w:pPr>
            <w:r>
              <w:rPr>
                <w:sz w:val="20"/>
                <w:szCs w:val="20"/>
              </w:rPr>
              <w:t xml:space="preserve">11,46%</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23.906</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41.950</w:t>
            </w:r>
          </w:p>
        </w:tc>
        <w:tc>
          <w:tcPr>
            <w:tcW w:type="dxa" w:w="1201"/>
            <w:vAlign w:val="center"/>
          </w:tcPr>
          <w:p>
            <w:pPr>
              <w:spacing w:before="20" w:after="20" w:line="260" w:lineRule="auto"/>
              <w:ind w:firstLine="0"/>
              <w:jc w:val="center"/>
            </w:pPr>
            <w:r>
              <w:rPr>
                <w:sz w:val="20"/>
                <w:szCs w:val="20"/>
              </w:rPr>
              <w:t xml:space="preserve">42.378</w:t>
            </w:r>
          </w:p>
        </w:tc>
        <w:tc>
          <w:tcPr>
            <w:tcW w:type="dxa" w:w="1201"/>
            <w:vAlign w:val="center"/>
          </w:tcPr>
          <w:p>
            <w:pPr>
              <w:spacing w:before="20" w:after="20" w:line="260" w:lineRule="auto"/>
              <w:ind w:firstLine="0"/>
              <w:jc w:val="center"/>
            </w:pPr>
            <w:r>
              <w:rPr>
                <w:sz w:val="20"/>
                <w:szCs w:val="20"/>
              </w:rPr>
              <w:t xml:space="preserve">5,90%</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20.640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18.385</w:t>
            </w:r>
          </w:p>
        </w:tc>
        <w:tc>
          <w:tcPr>
            <w:tcW w:type="dxa" w:w="1201"/>
            <w:vAlign w:val="center"/>
          </w:tcPr>
          <w:p>
            <w:pPr>
              <w:spacing w:before="20" w:after="20" w:line="260" w:lineRule="auto"/>
              <w:ind w:firstLine="0"/>
              <w:jc w:val="center"/>
            </w:pPr>
            <w:r>
              <w:rPr>
                <w:sz w:val="20"/>
                <w:szCs w:val="20"/>
              </w:rPr>
              <w:t xml:space="preserve">21.357</w:t>
            </w:r>
          </w:p>
        </w:tc>
        <w:tc>
          <w:tcPr>
            <w:tcW w:type="dxa" w:w="1201"/>
            <w:vAlign w:val="center"/>
          </w:tcPr>
          <w:p>
            <w:pPr>
              <w:spacing w:before="20" w:after="20" w:line="260" w:lineRule="auto"/>
              <w:ind w:firstLine="0"/>
              <w:jc w:val="center"/>
            </w:pPr>
            <w:r>
              <w:rPr>
                <w:sz w:val="20"/>
                <w:szCs w:val="20"/>
              </w:rPr>
              <w:t xml:space="preserve">17,05%</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14.003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15.256</w:t>
            </w:r>
          </w:p>
        </w:tc>
        <w:tc>
          <w:tcPr>
            <w:tcW w:type="dxa" w:w="1201"/>
            <w:vAlign w:val="center"/>
          </w:tcPr>
          <w:p>
            <w:pPr>
              <w:spacing w:before="20" w:after="20" w:line="260" w:lineRule="auto"/>
              <w:ind w:firstLine="0"/>
              <w:jc w:val="center"/>
            </w:pPr>
            <w:r>
              <w:rPr>
                <w:sz w:val="20"/>
                <w:szCs w:val="20"/>
              </w:rPr>
              <w:t xml:space="preserve">17.742</w:t>
            </w:r>
          </w:p>
        </w:tc>
        <w:tc>
          <w:tcPr>
            <w:tcW w:type="dxa" w:w="1201"/>
            <w:vAlign w:val="center"/>
          </w:tcPr>
          <w:p>
            <w:pPr>
              <w:spacing w:before="20" w:after="20" w:line="260" w:lineRule="auto"/>
              <w:ind w:firstLine="0"/>
              <w:jc w:val="center"/>
            </w:pPr>
            <w:r>
              <w:rPr>
                <w:sz w:val="20"/>
                <w:szCs w:val="20"/>
              </w:rPr>
              <w:t xml:space="preserve">17,19%</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8.413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8.602</w:t>
            </w:r>
          </w:p>
        </w:tc>
        <w:tc>
          <w:tcPr>
            <w:tcW w:type="dxa" w:w="1201"/>
            <w:vAlign w:val="center"/>
          </w:tcPr>
          <w:p>
            <w:pPr>
              <w:spacing w:before="20" w:after="20" w:line="260" w:lineRule="auto"/>
              <w:ind w:firstLine="0"/>
              <w:jc w:val="center"/>
            </w:pPr>
            <w:r>
              <w:rPr>
                <w:sz w:val="20"/>
                <w:szCs w:val="20"/>
              </w:rPr>
              <w:t xml:space="preserve">9.695</w:t>
            </w:r>
          </w:p>
        </w:tc>
        <w:tc>
          <w:tcPr>
            <w:tcW w:type="dxa" w:w="1201"/>
            <w:vAlign w:val="center"/>
          </w:tcPr>
          <w:p>
            <w:pPr>
              <w:spacing w:before="20" w:after="20" w:line="260" w:lineRule="auto"/>
              <w:ind w:firstLine="0"/>
              <w:jc w:val="center"/>
            </w:pPr>
            <w:r>
              <w:rPr>
                <w:sz w:val="20"/>
                <w:szCs w:val="20"/>
              </w:rPr>
              <w:t xml:space="preserve">12,86%</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4.291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8.590</w:t>
            </w:r>
          </w:p>
        </w:tc>
        <w:tc>
          <w:tcPr>
            <w:tcW w:type="dxa" w:w="1201"/>
            <w:vAlign w:val="center"/>
          </w:tcPr>
          <w:p>
            <w:pPr>
              <w:spacing w:before="20" w:after="20" w:line="260" w:lineRule="auto"/>
              <w:ind w:firstLine="0"/>
              <w:jc w:val="center"/>
            </w:pPr>
            <w:r>
              <w:rPr>
                <w:sz w:val="20"/>
                <w:szCs w:val="20"/>
              </w:rPr>
              <w:t xml:space="preserve">9.457</w:t>
            </w:r>
          </w:p>
        </w:tc>
        <w:tc>
          <w:tcPr>
            <w:tcW w:type="dxa" w:w="1201"/>
            <w:vAlign w:val="center"/>
          </w:tcPr>
          <w:p>
            <w:pPr>
              <w:spacing w:before="20" w:after="20" w:line="260" w:lineRule="auto"/>
              <w:ind w:firstLine="0"/>
              <w:jc w:val="center"/>
            </w:pPr>
            <w:r>
              <w:rPr>
                <w:sz w:val="20"/>
                <w:szCs w:val="20"/>
              </w:rPr>
              <w:t xml:space="preserve">11,99%</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4.323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7.613</w:t>
            </w:r>
          </w:p>
        </w:tc>
        <w:tc>
          <w:tcPr>
            <w:tcW w:type="dxa" w:w="1201"/>
            <w:vAlign w:val="center"/>
          </w:tcPr>
          <w:p>
            <w:pPr>
              <w:spacing w:before="20" w:after="20" w:line="260" w:lineRule="auto"/>
              <w:ind w:firstLine="0"/>
              <w:jc w:val="center"/>
            </w:pPr>
            <w:r>
              <w:rPr>
                <w:sz w:val="20"/>
                <w:szCs w:val="20"/>
              </w:rPr>
              <w:t xml:space="preserve">8.077</w:t>
            </w:r>
          </w:p>
        </w:tc>
        <w:tc>
          <w:tcPr>
            <w:tcW w:type="dxa" w:w="1201"/>
            <w:vAlign w:val="center"/>
          </w:tcPr>
          <w:p>
            <w:pPr>
              <w:spacing w:before="20" w:after="20" w:line="260" w:lineRule="auto"/>
              <w:ind w:firstLine="0"/>
              <w:jc w:val="center"/>
            </w:pPr>
            <w:r>
              <w:rPr>
                <w:sz w:val="20"/>
                <w:szCs w:val="20"/>
              </w:rPr>
              <w:t xml:space="preserve">12,59%</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3.726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5.907</w:t>
            </w:r>
          </w:p>
        </w:tc>
        <w:tc>
          <w:tcPr>
            <w:tcW w:type="dxa" w:w="1201"/>
            <w:vAlign w:val="center"/>
          </w:tcPr>
          <w:p>
            <w:pPr>
              <w:spacing w:before="20" w:after="20" w:line="260" w:lineRule="auto"/>
              <w:ind w:firstLine="0"/>
              <w:jc w:val="center"/>
            </w:pPr>
            <w:r>
              <w:rPr>
                <w:sz w:val="20"/>
                <w:szCs w:val="20"/>
              </w:rPr>
              <w:t xml:space="preserve">5.491</w:t>
            </w:r>
          </w:p>
        </w:tc>
        <w:tc>
          <w:tcPr>
            <w:tcW w:type="dxa" w:w="1201"/>
            <w:vAlign w:val="center"/>
          </w:tcPr>
          <w:p>
            <w:pPr>
              <w:spacing w:before="20" w:after="20" w:line="260" w:lineRule="auto"/>
              <w:ind w:firstLine="0"/>
              <w:jc w:val="center"/>
            </w:pPr>
            <w:r>
              <w:rPr>
                <w:sz w:val="20"/>
                <w:szCs w:val="20"/>
              </w:rPr>
              <w:t xml:space="preserve">13,06%</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2.486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5.312</w:t>
            </w:r>
          </w:p>
        </w:tc>
        <w:tc>
          <w:tcPr>
            <w:tcW w:type="dxa" w:w="1201"/>
            <w:vAlign w:val="center"/>
          </w:tcPr>
          <w:p>
            <w:pPr>
              <w:spacing w:before="20" w:after="20" w:line="260" w:lineRule="auto"/>
              <w:ind w:firstLine="0"/>
              <w:jc w:val="center"/>
            </w:pPr>
            <w:r>
              <w:rPr>
                <w:sz w:val="20"/>
                <w:szCs w:val="20"/>
              </w:rPr>
              <w:t xml:space="preserve">6.054</w:t>
            </w:r>
          </w:p>
        </w:tc>
        <w:tc>
          <w:tcPr>
            <w:tcW w:type="dxa" w:w="1201"/>
            <w:vAlign w:val="center"/>
          </w:tcPr>
          <w:p>
            <w:pPr>
              <w:spacing w:before="20" w:after="20" w:line="260" w:lineRule="auto"/>
              <w:ind w:firstLine="0"/>
              <w:jc w:val="center"/>
            </w:pPr>
            <w:r>
              <w:rPr>
                <w:sz w:val="20"/>
                <w:szCs w:val="20"/>
              </w:rPr>
              <w:t xml:space="preserve">15,07%</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2.759</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A.7. Cửa hàng 7 (Quito, Pichincha; loại D, cụm 8)</w:t>
      </w:r>
    </w:p>
    <w:p>
      <w:pPr>
        <w:keepLines w:val="0"/>
        <w:spacing w:after="120"/>
        <w:ind w:firstLine="567"/>
      </w:pPr>
      <w:r>
        <w:t xml:space="preserve">Trong 16 ngày của tập kiểm tra cuối, cửa hàng 7 có tổng doanh số thực tế 286.238 (hạng 16/54 về quy mô) và tổng dự báo 315.185, tức dự báo cao hơn thực tế 10,11%. WAPE của cửa hàng là 12,25% (hạng 13/54 từ thấp đến cao), MAE 66,389, RMSE 157,673 và bias −54,824. Độ bao phủ thực nghiệm của khoảng P10–P90 đạt 75,38% (hạng 28/54), so với mức danh nghĩa 80%. Nhóm có doanh số thực tế lớn nhất là PRODUCE (77.836; WAPE 6,99%; bao phủ 81,25%). Trong các nhóm có quy mô từ trung vị của cửa hàng trở lên, nhóm có WAPE thấp nhất là PRODUCE (6,99%). Có 1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271.671, 314.894 và 385.242; tổng lượng bổ sung gợi ý theo giả định là 133.327. Cửa hàng có 18 nhóm mang nhãn HIGH, 12 nhóm MEDIUM và 3 nhóm LOW. Bảng A.9 liệt kê mười nhóm có doanh số thực tế lớn nhất của cửa hàng.</w:t>
      </w:r>
    </w:p>
    <w:p>
      <w:pPr>
        <w:keepNext/>
        <w:spacing w:before="120" w:after="60"/>
        <w:ind w:firstLine="0"/>
        <w:jc w:val="center"/>
      </w:pPr>
      <w:r>
        <w:t xml:space="preserve">Bảng A.9. Mười nhóm sản phẩm có doanh số thực tế lớn nhất của cửa hàng 7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77.836</w:t>
            </w:r>
          </w:p>
        </w:tc>
        <w:tc>
          <w:tcPr>
            <w:tcW w:type="dxa" w:w="1201"/>
            <w:vAlign w:val="center"/>
          </w:tcPr>
          <w:p>
            <w:pPr>
              <w:spacing w:before="20" w:after="20" w:line="260" w:lineRule="auto"/>
              <w:ind w:firstLine="0"/>
              <w:jc w:val="center"/>
            </w:pPr>
            <w:r>
              <w:rPr>
                <w:sz w:val="20"/>
                <w:szCs w:val="20"/>
              </w:rPr>
              <w:t xml:space="preserve">82.442</w:t>
            </w:r>
          </w:p>
        </w:tc>
        <w:tc>
          <w:tcPr>
            <w:tcW w:type="dxa" w:w="1201"/>
            <w:vAlign w:val="center"/>
          </w:tcPr>
          <w:p>
            <w:pPr>
              <w:spacing w:before="20" w:after="20" w:line="260" w:lineRule="auto"/>
              <w:ind w:firstLine="0"/>
              <w:jc w:val="center"/>
            </w:pPr>
            <w:r>
              <w:rPr>
                <w:sz w:val="20"/>
                <w:szCs w:val="20"/>
              </w:rPr>
              <w:t xml:space="preserve">6,99%</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28.653</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58.882</w:t>
            </w:r>
          </w:p>
        </w:tc>
        <w:tc>
          <w:tcPr>
            <w:tcW w:type="dxa" w:w="1201"/>
            <w:vAlign w:val="center"/>
          </w:tcPr>
          <w:p>
            <w:pPr>
              <w:spacing w:before="20" w:after="20" w:line="260" w:lineRule="auto"/>
              <w:ind w:firstLine="0"/>
              <w:jc w:val="center"/>
            </w:pPr>
            <w:r>
              <w:rPr>
                <w:sz w:val="20"/>
                <w:szCs w:val="20"/>
              </w:rPr>
              <w:t xml:space="preserve">65.180</w:t>
            </w:r>
          </w:p>
        </w:tc>
        <w:tc>
          <w:tcPr>
            <w:tcW w:type="dxa" w:w="1201"/>
            <w:vAlign w:val="center"/>
          </w:tcPr>
          <w:p>
            <w:pPr>
              <w:spacing w:before="20" w:after="20" w:line="260" w:lineRule="auto"/>
              <w:ind w:firstLine="0"/>
              <w:jc w:val="center"/>
            </w:pPr>
            <w:r>
              <w:rPr>
                <w:sz w:val="20"/>
                <w:szCs w:val="20"/>
              </w:rPr>
              <w:t xml:space="preserve">11,18%</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25.200</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58.841</w:t>
            </w:r>
          </w:p>
        </w:tc>
        <w:tc>
          <w:tcPr>
            <w:tcW w:type="dxa" w:w="1201"/>
            <w:vAlign w:val="center"/>
          </w:tcPr>
          <w:p>
            <w:pPr>
              <w:spacing w:before="20" w:after="20" w:line="260" w:lineRule="auto"/>
              <w:ind w:firstLine="0"/>
              <w:jc w:val="center"/>
            </w:pPr>
            <w:r>
              <w:rPr>
                <w:sz w:val="20"/>
                <w:szCs w:val="20"/>
              </w:rPr>
              <w:t xml:space="preserve">65.690</w:t>
            </w:r>
          </w:p>
        </w:tc>
        <w:tc>
          <w:tcPr>
            <w:tcW w:type="dxa" w:w="1201"/>
            <w:vAlign w:val="center"/>
          </w:tcPr>
          <w:p>
            <w:pPr>
              <w:spacing w:before="20" w:after="20" w:line="260" w:lineRule="auto"/>
              <w:ind w:firstLine="0"/>
              <w:jc w:val="center"/>
            </w:pPr>
            <w:r>
              <w:rPr>
                <w:sz w:val="20"/>
                <w:szCs w:val="20"/>
              </w:rPr>
              <w:t xml:space="preserve">11,64%</w:t>
            </w:r>
          </w:p>
        </w:tc>
        <w:tc>
          <w:tcPr>
            <w:tcW w:type="dxa" w:w="1201"/>
            <w:vAlign w:val="center"/>
          </w:tcPr>
          <w:p>
            <w:pPr>
              <w:spacing w:before="20" w:after="20" w:line="260" w:lineRule="auto"/>
              <w:ind w:firstLine="0"/>
              <w:jc w:val="center"/>
            </w:pPr>
            <w:r>
              <w:rPr>
                <w:sz w:val="20"/>
                <w:szCs w:val="20"/>
              </w:rPr>
              <w:t xml:space="preserve">43,75%</w:t>
            </w:r>
          </w:p>
        </w:tc>
        <w:tc>
          <w:tcPr>
            <w:tcW w:type="dxa" w:w="1531"/>
            <w:vAlign w:val="center"/>
          </w:tcPr>
          <w:p>
            <w:pPr>
              <w:spacing w:before="20" w:after="20" w:line="260" w:lineRule="auto"/>
              <w:ind w:firstLine="0"/>
              <w:jc w:val="center"/>
            </w:pPr>
            <w:r>
              <w:rPr>
                <w:sz w:val="20"/>
                <w:szCs w:val="20"/>
              </w:rPr>
              <w:t xml:space="preserve">25.302</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19.552</w:t>
            </w:r>
          </w:p>
        </w:tc>
        <w:tc>
          <w:tcPr>
            <w:tcW w:type="dxa" w:w="1201"/>
            <w:vAlign w:val="center"/>
          </w:tcPr>
          <w:p>
            <w:pPr>
              <w:spacing w:before="20" w:after="20" w:line="260" w:lineRule="auto"/>
              <w:ind w:firstLine="0"/>
              <w:jc w:val="center"/>
            </w:pPr>
            <w:r>
              <w:rPr>
                <w:sz w:val="20"/>
                <w:szCs w:val="20"/>
              </w:rPr>
              <w:t xml:space="preserve">21.872</w:t>
            </w:r>
          </w:p>
        </w:tc>
        <w:tc>
          <w:tcPr>
            <w:tcW w:type="dxa" w:w="1201"/>
            <w:vAlign w:val="center"/>
          </w:tcPr>
          <w:p>
            <w:pPr>
              <w:spacing w:before="20" w:after="20" w:line="260" w:lineRule="auto"/>
              <w:ind w:firstLine="0"/>
              <w:jc w:val="center"/>
            </w:pPr>
            <w:r>
              <w:rPr>
                <w:sz w:val="20"/>
                <w:szCs w:val="20"/>
              </w:rPr>
              <w:t xml:space="preserve">13,08%</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14.106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16.037</w:t>
            </w:r>
          </w:p>
        </w:tc>
        <w:tc>
          <w:tcPr>
            <w:tcW w:type="dxa" w:w="1201"/>
            <w:vAlign w:val="center"/>
          </w:tcPr>
          <w:p>
            <w:pPr>
              <w:spacing w:before="20" w:after="20" w:line="260" w:lineRule="auto"/>
              <w:ind w:firstLine="0"/>
              <w:jc w:val="center"/>
            </w:pPr>
            <w:r>
              <w:rPr>
                <w:sz w:val="20"/>
                <w:szCs w:val="20"/>
              </w:rPr>
              <w:t xml:space="preserve">18.805</w:t>
            </w:r>
          </w:p>
        </w:tc>
        <w:tc>
          <w:tcPr>
            <w:tcW w:type="dxa" w:w="1201"/>
            <w:vAlign w:val="center"/>
          </w:tcPr>
          <w:p>
            <w:pPr>
              <w:spacing w:before="20" w:after="20" w:line="260" w:lineRule="auto"/>
              <w:ind w:firstLine="0"/>
              <w:jc w:val="center"/>
            </w:pPr>
            <w:r>
              <w:rPr>
                <w:sz w:val="20"/>
                <w:szCs w:val="20"/>
              </w:rPr>
              <w:t xml:space="preserve">18,89%</w:t>
            </w:r>
          </w:p>
        </w:tc>
        <w:tc>
          <w:tcPr>
            <w:tcW w:type="dxa" w:w="1201"/>
            <w:vAlign w:val="center"/>
          </w:tcPr>
          <w:p>
            <w:pPr>
              <w:spacing w:before="20" w:after="20" w:line="260" w:lineRule="auto"/>
              <w:ind w:firstLine="0"/>
              <w:jc w:val="center"/>
            </w:pPr>
            <w:r>
              <w:rPr>
                <w:sz w:val="20"/>
                <w:szCs w:val="20"/>
              </w:rPr>
              <w:t xml:space="preserve">50,00%</w:t>
            </w:r>
          </w:p>
        </w:tc>
        <w:tc>
          <w:tcPr>
            <w:tcW w:type="dxa" w:w="1531"/>
            <w:vAlign w:val="center"/>
          </w:tcPr>
          <w:p>
            <w:pPr>
              <w:spacing w:before="20" w:after="20" w:line="260" w:lineRule="auto"/>
              <w:ind w:firstLine="0"/>
              <w:jc w:val="center"/>
            </w:pPr>
            <w:r>
              <w:rPr>
                <w:sz w:val="20"/>
                <w:szCs w:val="20"/>
              </w:rPr>
              <w:t xml:space="preserve">9.843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10.057</w:t>
            </w:r>
          </w:p>
        </w:tc>
        <w:tc>
          <w:tcPr>
            <w:tcW w:type="dxa" w:w="1201"/>
            <w:vAlign w:val="center"/>
          </w:tcPr>
          <w:p>
            <w:pPr>
              <w:spacing w:before="20" w:after="20" w:line="260" w:lineRule="auto"/>
              <w:ind w:firstLine="0"/>
              <w:jc w:val="center"/>
            </w:pPr>
            <w:r>
              <w:rPr>
                <w:sz w:val="20"/>
                <w:szCs w:val="20"/>
              </w:rPr>
              <w:t xml:space="preserve">11.125</w:t>
            </w:r>
          </w:p>
        </w:tc>
        <w:tc>
          <w:tcPr>
            <w:tcW w:type="dxa" w:w="1201"/>
            <w:vAlign w:val="center"/>
          </w:tcPr>
          <w:p>
            <w:pPr>
              <w:spacing w:before="20" w:after="20" w:line="260" w:lineRule="auto"/>
              <w:ind w:firstLine="0"/>
              <w:jc w:val="center"/>
            </w:pPr>
            <w:r>
              <w:rPr>
                <w:sz w:val="20"/>
                <w:szCs w:val="20"/>
              </w:rPr>
              <w:t xml:space="preserve">14,18%</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4.657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9.795</w:t>
            </w:r>
          </w:p>
        </w:tc>
        <w:tc>
          <w:tcPr>
            <w:tcW w:type="dxa" w:w="1201"/>
            <w:vAlign w:val="center"/>
          </w:tcPr>
          <w:p>
            <w:pPr>
              <w:spacing w:before="20" w:after="20" w:line="260" w:lineRule="auto"/>
              <w:ind w:firstLine="0"/>
              <w:jc w:val="center"/>
            </w:pPr>
            <w:r>
              <w:rPr>
                <w:sz w:val="20"/>
                <w:szCs w:val="20"/>
              </w:rPr>
              <w:t xml:space="preserve">11.712</w:t>
            </w:r>
          </w:p>
        </w:tc>
        <w:tc>
          <w:tcPr>
            <w:tcW w:type="dxa" w:w="1201"/>
            <w:vAlign w:val="center"/>
          </w:tcPr>
          <w:p>
            <w:pPr>
              <w:spacing w:before="20" w:after="20" w:line="260" w:lineRule="auto"/>
              <w:ind w:firstLine="0"/>
              <w:jc w:val="center"/>
            </w:pPr>
            <w:r>
              <w:rPr>
                <w:sz w:val="20"/>
                <w:szCs w:val="20"/>
              </w:rPr>
              <w:t xml:space="preserve">19,81%</w:t>
            </w:r>
          </w:p>
        </w:tc>
        <w:tc>
          <w:tcPr>
            <w:tcW w:type="dxa" w:w="1201"/>
            <w:vAlign w:val="center"/>
          </w:tcPr>
          <w:p>
            <w:pPr>
              <w:spacing w:before="20" w:after="20" w:line="260" w:lineRule="auto"/>
              <w:ind w:firstLine="0"/>
              <w:jc w:val="center"/>
            </w:pPr>
            <w:r>
              <w:rPr>
                <w:sz w:val="20"/>
                <w:szCs w:val="20"/>
              </w:rPr>
              <w:t xml:space="preserve">50,00%</w:t>
            </w:r>
          </w:p>
        </w:tc>
        <w:tc>
          <w:tcPr>
            <w:tcW w:type="dxa" w:w="1531"/>
            <w:vAlign w:val="center"/>
          </w:tcPr>
          <w:p>
            <w:pPr>
              <w:spacing w:before="20" w:after="20" w:line="260" w:lineRule="auto"/>
              <w:ind w:firstLine="0"/>
              <w:jc w:val="center"/>
            </w:pPr>
            <w:r>
              <w:rPr>
                <w:sz w:val="20"/>
                <w:szCs w:val="20"/>
              </w:rPr>
              <w:t xml:space="preserve">4.774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7.629</w:t>
            </w:r>
          </w:p>
        </w:tc>
        <w:tc>
          <w:tcPr>
            <w:tcW w:type="dxa" w:w="1201"/>
            <w:vAlign w:val="center"/>
          </w:tcPr>
          <w:p>
            <w:pPr>
              <w:spacing w:before="20" w:after="20" w:line="260" w:lineRule="auto"/>
              <w:ind w:firstLine="0"/>
              <w:jc w:val="center"/>
            </w:pPr>
            <w:r>
              <w:rPr>
                <w:sz w:val="20"/>
                <w:szCs w:val="20"/>
              </w:rPr>
              <w:t xml:space="preserve">8.283</w:t>
            </w:r>
          </w:p>
        </w:tc>
        <w:tc>
          <w:tcPr>
            <w:tcW w:type="dxa" w:w="1201"/>
            <w:vAlign w:val="center"/>
          </w:tcPr>
          <w:p>
            <w:pPr>
              <w:spacing w:before="20" w:after="20" w:line="260" w:lineRule="auto"/>
              <w:ind w:firstLine="0"/>
              <w:jc w:val="center"/>
            </w:pPr>
            <w:r>
              <w:rPr>
                <w:sz w:val="20"/>
                <w:szCs w:val="20"/>
              </w:rPr>
              <w:t xml:space="preserve">13,07%</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3.928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EGGS</w:t>
            </w:r>
          </w:p>
        </w:tc>
        <w:tc>
          <w:tcPr>
            <w:tcW w:type="dxa" w:w="1201"/>
            <w:vAlign w:val="center"/>
          </w:tcPr>
          <w:p>
            <w:pPr>
              <w:spacing w:before="20" w:after="20" w:line="260" w:lineRule="auto"/>
              <w:ind w:firstLine="0"/>
              <w:jc w:val="center"/>
            </w:pPr>
            <w:r>
              <w:rPr>
                <w:sz w:val="20"/>
                <w:szCs w:val="20"/>
              </w:rPr>
              <w:t xml:space="preserve">4.326</w:t>
            </w:r>
          </w:p>
        </w:tc>
        <w:tc>
          <w:tcPr>
            <w:tcW w:type="dxa" w:w="1201"/>
            <w:vAlign w:val="center"/>
          </w:tcPr>
          <w:p>
            <w:pPr>
              <w:spacing w:before="20" w:after="20" w:line="260" w:lineRule="auto"/>
              <w:ind w:firstLine="0"/>
              <w:jc w:val="center"/>
            </w:pPr>
            <w:r>
              <w:rPr>
                <w:sz w:val="20"/>
                <w:szCs w:val="20"/>
              </w:rPr>
              <w:t xml:space="preserve">4.788</w:t>
            </w:r>
          </w:p>
        </w:tc>
        <w:tc>
          <w:tcPr>
            <w:tcW w:type="dxa" w:w="1201"/>
            <w:vAlign w:val="center"/>
          </w:tcPr>
          <w:p>
            <w:pPr>
              <w:spacing w:before="20" w:after="20" w:line="260" w:lineRule="auto"/>
              <w:ind w:firstLine="0"/>
              <w:jc w:val="center"/>
            </w:pPr>
            <w:r>
              <w:rPr>
                <w:sz w:val="20"/>
                <w:szCs w:val="20"/>
              </w:rPr>
              <w:t xml:space="preserve">14,33%</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2.104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4.136</w:t>
            </w:r>
          </w:p>
        </w:tc>
        <w:tc>
          <w:tcPr>
            <w:tcW w:type="dxa" w:w="1201"/>
            <w:vAlign w:val="center"/>
          </w:tcPr>
          <w:p>
            <w:pPr>
              <w:spacing w:before="20" w:after="20" w:line="260" w:lineRule="auto"/>
              <w:ind w:firstLine="0"/>
              <w:jc w:val="center"/>
            </w:pPr>
            <w:r>
              <w:rPr>
                <w:sz w:val="20"/>
                <w:szCs w:val="20"/>
              </w:rPr>
              <w:t xml:space="preserve">4.228</w:t>
            </w:r>
          </w:p>
        </w:tc>
        <w:tc>
          <w:tcPr>
            <w:tcW w:type="dxa" w:w="1201"/>
            <w:vAlign w:val="center"/>
          </w:tcPr>
          <w:p>
            <w:pPr>
              <w:spacing w:before="20" w:after="20" w:line="260" w:lineRule="auto"/>
              <w:ind w:firstLine="0"/>
              <w:jc w:val="center"/>
            </w:pPr>
            <w:r>
              <w:rPr>
                <w:sz w:val="20"/>
                <w:szCs w:val="20"/>
              </w:rPr>
              <w:t xml:space="preserve">19,49%</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1.992</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A.8. Cửa hàng 8 (Quito, Pichincha; loại D, cụm 8)</w:t>
      </w:r>
    </w:p>
    <w:p>
      <w:pPr>
        <w:keepLines w:val="0"/>
        <w:spacing w:after="120"/>
        <w:ind w:firstLine="567"/>
      </w:pPr>
      <w:r>
        <w:t xml:space="preserve">Trong 16 ngày của tập kiểm tra cuối, cửa hàng 8 có tổng doanh số thực tế 324.826 (hạng 12/54 về quy mô) và tổng dự báo 351.030, tức dự báo cao hơn thực tế 8,07%. WAPE của cửa hàng là 10,11% (hạng 6/54 từ thấp đến cao), MAE 62,223, RMSE 155,921 và bias −49,629. Độ bao phủ thực nghiệm của khoảng P10–P90 đạt 77,08% (hạng 19/54), so với mức danh nghĩa 80%. Nhóm có doanh số thực tế lớn nhất là GROCERY I (76.226; WAPE 9,18%; bao phủ 43,75%). Trong các nhóm có quy mô từ trung vị của cửa hàng trở lên, nhóm có WAPE thấp nhất là PRODUCE (6,88%).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304.064, 350.501 và 426.527; tổng lượng bổ sung gợi ý theo giả định là 146.126. Cửa hàng có 18 nhóm mang nhãn HIGH, 11 nhóm MEDIUM và 4 nhóm LOW. Bảng A.10 liệt kê mười nhóm có doanh số thực tế lớn nhất của cửa hàng.</w:t>
      </w:r>
    </w:p>
    <w:p>
      <w:pPr>
        <w:keepNext/>
        <w:spacing w:before="120" w:after="60"/>
        <w:ind w:firstLine="0"/>
        <w:jc w:val="center"/>
      </w:pPr>
      <w:r>
        <w:t xml:space="preserve">Bảng A.10. Mười nhóm sản phẩm có doanh số thực tế lớn nhất của cửa hàng 8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76.226</w:t>
            </w:r>
          </w:p>
        </w:tc>
        <w:tc>
          <w:tcPr>
            <w:tcW w:type="dxa" w:w="1201"/>
            <w:vAlign w:val="center"/>
          </w:tcPr>
          <w:p>
            <w:pPr>
              <w:spacing w:before="20" w:after="20" w:line="260" w:lineRule="auto"/>
              <w:ind w:firstLine="0"/>
              <w:jc w:val="center"/>
            </w:pPr>
            <w:r>
              <w:rPr>
                <w:sz w:val="20"/>
                <w:szCs w:val="20"/>
              </w:rPr>
              <w:t xml:space="preserve">83.029</w:t>
            </w:r>
          </w:p>
        </w:tc>
        <w:tc>
          <w:tcPr>
            <w:tcW w:type="dxa" w:w="1201"/>
            <w:vAlign w:val="center"/>
          </w:tcPr>
          <w:p>
            <w:pPr>
              <w:spacing w:before="20" w:after="20" w:line="260" w:lineRule="auto"/>
              <w:ind w:firstLine="0"/>
              <w:jc w:val="center"/>
            </w:pPr>
            <w:r>
              <w:rPr>
                <w:sz w:val="20"/>
                <w:szCs w:val="20"/>
              </w:rPr>
              <w:t xml:space="preserve">9,18%</w:t>
            </w:r>
          </w:p>
        </w:tc>
        <w:tc>
          <w:tcPr>
            <w:tcW w:type="dxa" w:w="1201"/>
            <w:vAlign w:val="center"/>
          </w:tcPr>
          <w:p>
            <w:pPr>
              <w:spacing w:before="20" w:after="20" w:line="260" w:lineRule="auto"/>
              <w:ind w:firstLine="0"/>
              <w:jc w:val="center"/>
            </w:pPr>
            <w:r>
              <w:rPr>
                <w:sz w:val="20"/>
                <w:szCs w:val="20"/>
              </w:rPr>
              <w:t xml:space="preserve">43,75%</w:t>
            </w:r>
          </w:p>
        </w:tc>
        <w:tc>
          <w:tcPr>
            <w:tcW w:type="dxa" w:w="1531"/>
            <w:vAlign w:val="center"/>
          </w:tcPr>
          <w:p>
            <w:pPr>
              <w:spacing w:before="20" w:after="20" w:line="260" w:lineRule="auto"/>
              <w:ind w:firstLine="0"/>
              <w:jc w:val="center"/>
            </w:pPr>
            <w:r>
              <w:rPr>
                <w:sz w:val="20"/>
                <w:szCs w:val="20"/>
              </w:rPr>
              <w:t xml:space="preserve">28.770</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72.794</w:t>
            </w:r>
          </w:p>
        </w:tc>
        <w:tc>
          <w:tcPr>
            <w:tcW w:type="dxa" w:w="1201"/>
            <w:vAlign w:val="center"/>
          </w:tcPr>
          <w:p>
            <w:pPr>
              <w:spacing w:before="20" w:after="20" w:line="260" w:lineRule="auto"/>
              <w:ind w:firstLine="0"/>
              <w:jc w:val="center"/>
            </w:pPr>
            <w:r>
              <w:rPr>
                <w:sz w:val="20"/>
                <w:szCs w:val="20"/>
              </w:rPr>
              <w:t xml:space="preserve">77.462</w:t>
            </w:r>
          </w:p>
        </w:tc>
        <w:tc>
          <w:tcPr>
            <w:tcW w:type="dxa" w:w="1201"/>
            <w:vAlign w:val="center"/>
          </w:tcPr>
          <w:p>
            <w:pPr>
              <w:spacing w:before="20" w:after="20" w:line="260" w:lineRule="auto"/>
              <w:ind w:firstLine="0"/>
              <w:jc w:val="center"/>
            </w:pPr>
            <w:r>
              <w:rPr>
                <w:sz w:val="20"/>
                <w:szCs w:val="20"/>
              </w:rPr>
              <w:t xml:space="preserve">6,88%</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27.657</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71.635</w:t>
            </w:r>
          </w:p>
        </w:tc>
        <w:tc>
          <w:tcPr>
            <w:tcW w:type="dxa" w:w="1201"/>
            <w:vAlign w:val="center"/>
          </w:tcPr>
          <w:p>
            <w:pPr>
              <w:spacing w:before="20" w:after="20" w:line="260" w:lineRule="auto"/>
              <w:ind w:firstLine="0"/>
              <w:jc w:val="center"/>
            </w:pPr>
            <w:r>
              <w:rPr>
                <w:sz w:val="20"/>
                <w:szCs w:val="20"/>
              </w:rPr>
              <w:t xml:space="preserve">75.269</w:t>
            </w:r>
          </w:p>
        </w:tc>
        <w:tc>
          <w:tcPr>
            <w:tcW w:type="dxa" w:w="1201"/>
            <w:vAlign w:val="center"/>
          </w:tcPr>
          <w:p>
            <w:pPr>
              <w:spacing w:before="20" w:after="20" w:line="260" w:lineRule="auto"/>
              <w:ind w:firstLine="0"/>
              <w:jc w:val="center"/>
            </w:pPr>
            <w:r>
              <w:rPr>
                <w:sz w:val="20"/>
                <w:szCs w:val="20"/>
              </w:rPr>
              <w:t xml:space="preserve">7,59%</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27.218</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22.180</w:t>
            </w:r>
          </w:p>
        </w:tc>
        <w:tc>
          <w:tcPr>
            <w:tcW w:type="dxa" w:w="1201"/>
            <w:vAlign w:val="center"/>
          </w:tcPr>
          <w:p>
            <w:pPr>
              <w:spacing w:before="20" w:after="20" w:line="260" w:lineRule="auto"/>
              <w:ind w:firstLine="0"/>
              <w:jc w:val="center"/>
            </w:pPr>
            <w:r>
              <w:rPr>
                <w:sz w:val="20"/>
                <w:szCs w:val="20"/>
              </w:rPr>
              <w:t xml:space="preserve">24.458</w:t>
            </w:r>
          </w:p>
        </w:tc>
        <w:tc>
          <w:tcPr>
            <w:tcW w:type="dxa" w:w="1201"/>
            <w:vAlign w:val="center"/>
          </w:tcPr>
          <w:p>
            <w:pPr>
              <w:spacing w:before="20" w:after="20" w:line="260" w:lineRule="auto"/>
              <w:ind w:firstLine="0"/>
              <w:jc w:val="center"/>
            </w:pPr>
            <w:r>
              <w:rPr>
                <w:sz w:val="20"/>
                <w:szCs w:val="20"/>
              </w:rPr>
              <w:t xml:space="preserve">11,84%</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15.839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18.930</w:t>
            </w:r>
          </w:p>
        </w:tc>
        <w:tc>
          <w:tcPr>
            <w:tcW w:type="dxa" w:w="1201"/>
            <w:vAlign w:val="center"/>
          </w:tcPr>
          <w:p>
            <w:pPr>
              <w:spacing w:before="20" w:after="20" w:line="260" w:lineRule="auto"/>
              <w:ind w:firstLine="0"/>
              <w:jc w:val="center"/>
            </w:pPr>
            <w:r>
              <w:rPr>
                <w:sz w:val="20"/>
                <w:szCs w:val="20"/>
              </w:rPr>
              <w:t xml:space="preserve">21.553</w:t>
            </w:r>
          </w:p>
        </w:tc>
        <w:tc>
          <w:tcPr>
            <w:tcW w:type="dxa" w:w="1201"/>
            <w:vAlign w:val="center"/>
          </w:tcPr>
          <w:p>
            <w:pPr>
              <w:spacing w:before="20" w:after="20" w:line="260" w:lineRule="auto"/>
              <w:ind w:firstLine="0"/>
              <w:jc w:val="center"/>
            </w:pPr>
            <w:r>
              <w:rPr>
                <w:sz w:val="20"/>
                <w:szCs w:val="20"/>
              </w:rPr>
              <w:t xml:space="preserve">14,88%</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13.434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12.704</w:t>
            </w:r>
          </w:p>
        </w:tc>
        <w:tc>
          <w:tcPr>
            <w:tcW w:type="dxa" w:w="1201"/>
            <w:vAlign w:val="center"/>
          </w:tcPr>
          <w:p>
            <w:pPr>
              <w:spacing w:before="20" w:after="20" w:line="260" w:lineRule="auto"/>
              <w:ind w:firstLine="0"/>
              <w:jc w:val="center"/>
            </w:pPr>
            <w:r>
              <w:rPr>
                <w:sz w:val="20"/>
                <w:szCs w:val="20"/>
              </w:rPr>
              <w:t xml:space="preserve">14.211</w:t>
            </w:r>
          </w:p>
        </w:tc>
        <w:tc>
          <w:tcPr>
            <w:tcW w:type="dxa" w:w="1201"/>
            <w:vAlign w:val="center"/>
          </w:tcPr>
          <w:p>
            <w:pPr>
              <w:spacing w:before="20" w:after="20" w:line="260" w:lineRule="auto"/>
              <w:ind w:firstLine="0"/>
              <w:jc w:val="center"/>
            </w:pPr>
            <w:r>
              <w:rPr>
                <w:sz w:val="20"/>
                <w:szCs w:val="20"/>
              </w:rPr>
              <w:t xml:space="preserve">12,04%</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5.274</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9.588</w:t>
            </w:r>
          </w:p>
        </w:tc>
        <w:tc>
          <w:tcPr>
            <w:tcW w:type="dxa" w:w="1201"/>
            <w:vAlign w:val="center"/>
          </w:tcPr>
          <w:p>
            <w:pPr>
              <w:spacing w:before="20" w:after="20" w:line="260" w:lineRule="auto"/>
              <w:ind w:firstLine="0"/>
              <w:jc w:val="center"/>
            </w:pPr>
            <w:r>
              <w:rPr>
                <w:sz w:val="20"/>
                <w:szCs w:val="20"/>
              </w:rPr>
              <w:t xml:space="preserve">10.726</w:t>
            </w:r>
          </w:p>
        </w:tc>
        <w:tc>
          <w:tcPr>
            <w:tcW w:type="dxa" w:w="1201"/>
            <w:vAlign w:val="center"/>
          </w:tcPr>
          <w:p>
            <w:pPr>
              <w:spacing w:before="20" w:after="20" w:line="260" w:lineRule="auto"/>
              <w:ind w:firstLine="0"/>
              <w:jc w:val="center"/>
            </w:pPr>
            <w:r>
              <w:rPr>
                <w:sz w:val="20"/>
                <w:szCs w:val="20"/>
              </w:rPr>
              <w:t xml:space="preserve">13,39%</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4.577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7.144</w:t>
            </w:r>
          </w:p>
        </w:tc>
        <w:tc>
          <w:tcPr>
            <w:tcW w:type="dxa" w:w="1201"/>
            <w:vAlign w:val="center"/>
          </w:tcPr>
          <w:p>
            <w:pPr>
              <w:spacing w:before="20" w:after="20" w:line="260" w:lineRule="auto"/>
              <w:ind w:firstLine="0"/>
              <w:jc w:val="center"/>
            </w:pPr>
            <w:r>
              <w:rPr>
                <w:sz w:val="20"/>
                <w:szCs w:val="20"/>
              </w:rPr>
              <w:t xml:space="preserve">7.892</w:t>
            </w:r>
          </w:p>
        </w:tc>
        <w:tc>
          <w:tcPr>
            <w:tcW w:type="dxa" w:w="1201"/>
            <w:vAlign w:val="center"/>
          </w:tcPr>
          <w:p>
            <w:pPr>
              <w:spacing w:before="20" w:after="20" w:line="260" w:lineRule="auto"/>
              <w:ind w:firstLine="0"/>
              <w:jc w:val="center"/>
            </w:pPr>
            <w:r>
              <w:rPr>
                <w:sz w:val="20"/>
                <w:szCs w:val="20"/>
              </w:rPr>
              <w:t xml:space="preserve">13,75%</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3.609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5.507</w:t>
            </w:r>
          </w:p>
        </w:tc>
        <w:tc>
          <w:tcPr>
            <w:tcW w:type="dxa" w:w="1201"/>
            <w:vAlign w:val="center"/>
          </w:tcPr>
          <w:p>
            <w:pPr>
              <w:spacing w:before="20" w:after="20" w:line="260" w:lineRule="auto"/>
              <w:ind w:firstLine="0"/>
              <w:jc w:val="center"/>
            </w:pPr>
            <w:r>
              <w:rPr>
                <w:sz w:val="20"/>
                <w:szCs w:val="20"/>
              </w:rPr>
              <w:t xml:space="preserve">6.305</w:t>
            </w:r>
          </w:p>
        </w:tc>
        <w:tc>
          <w:tcPr>
            <w:tcW w:type="dxa" w:w="1201"/>
            <w:vAlign w:val="center"/>
          </w:tcPr>
          <w:p>
            <w:pPr>
              <w:spacing w:before="20" w:after="20" w:line="260" w:lineRule="auto"/>
              <w:ind w:firstLine="0"/>
              <w:jc w:val="center"/>
            </w:pPr>
            <w:r>
              <w:rPr>
                <w:sz w:val="20"/>
                <w:szCs w:val="20"/>
              </w:rPr>
              <w:t xml:space="preserve">19,92%</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2.729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5.448</w:t>
            </w:r>
          </w:p>
        </w:tc>
        <w:tc>
          <w:tcPr>
            <w:tcW w:type="dxa" w:w="1201"/>
            <w:vAlign w:val="center"/>
          </w:tcPr>
          <w:p>
            <w:pPr>
              <w:spacing w:before="20" w:after="20" w:line="260" w:lineRule="auto"/>
              <w:ind w:firstLine="0"/>
              <w:jc w:val="center"/>
            </w:pPr>
            <w:r>
              <w:rPr>
                <w:sz w:val="20"/>
                <w:szCs w:val="20"/>
              </w:rPr>
              <w:t xml:space="preserve">5.820</w:t>
            </w:r>
          </w:p>
        </w:tc>
        <w:tc>
          <w:tcPr>
            <w:tcW w:type="dxa" w:w="1201"/>
            <w:vAlign w:val="center"/>
          </w:tcPr>
          <w:p>
            <w:pPr>
              <w:spacing w:before="20" w:after="20" w:line="260" w:lineRule="auto"/>
              <w:ind w:firstLine="0"/>
              <w:jc w:val="center"/>
            </w:pPr>
            <w:r>
              <w:rPr>
                <w:sz w:val="20"/>
                <w:szCs w:val="20"/>
              </w:rPr>
              <w:t xml:space="preserve">11,88%</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2.632</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A.9. Cửa hàng 9 (Quito, Pichincha; loại B, cụm 6)</w:t>
      </w:r>
    </w:p>
    <w:p>
      <w:pPr>
        <w:keepLines w:val="0"/>
        <w:spacing w:after="120"/>
        <w:ind w:firstLine="567"/>
      </w:pPr>
      <w:r>
        <w:t xml:space="preserve">Trong 16 ngày của tập kiểm tra cuối, cửa hàng 9 có tổng doanh số thực tế 303.853 (hạng 13/54 về quy mô) và tổng dự báo 303.049, tức dự báo thấp hơn thực tế 0,26%. WAPE của cửa hàng là 10,24% (hạng 7/54 từ thấp đến cao), MAE 58,907, RMSE 159,466 và bias 1,523. Độ bao phủ thực nghiệm của khoảng P10–P90 đạt 76,52% (hạng 22/54), so với mức danh nghĩa 80%. Nhóm có doanh số thực tế lớn nhất là GROCERY I (114.862; WAPE 4,72%; bao phủ 93,75%). Trong các nhóm có quy mô từ trung vị của cửa hàng trở lên, nhóm có WAPE thấp nhất là GROCERY I (4,72%).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259.693, 302.566 và 371.437; tổng lượng bổ sung gợi ý theo giả định là 129.385. Cửa hàng có 19 nhóm mang nhãn HIGH, 12 nhóm MEDIUM và 2 nhóm LOW. Bảng A.11 liệt kê mười nhóm có doanh số thực tế lớn nhất của cửa hàng.</w:t>
      </w:r>
    </w:p>
    <w:p>
      <w:pPr>
        <w:keepNext/>
        <w:spacing w:before="120" w:after="60"/>
        <w:ind w:firstLine="0"/>
        <w:jc w:val="center"/>
      </w:pPr>
      <w:r>
        <w:t xml:space="preserve">Bảng A.11. Mười nhóm sản phẩm có doanh số thực tế lớn nhất của cửa hàng 9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114.862</w:t>
            </w:r>
          </w:p>
        </w:tc>
        <w:tc>
          <w:tcPr>
            <w:tcW w:type="dxa" w:w="1201"/>
            <w:vAlign w:val="center"/>
          </w:tcPr>
          <w:p>
            <w:pPr>
              <w:spacing w:before="20" w:after="20" w:line="260" w:lineRule="auto"/>
              <w:ind w:firstLine="0"/>
              <w:jc w:val="center"/>
            </w:pPr>
            <w:r>
              <w:rPr>
                <w:sz w:val="20"/>
                <w:szCs w:val="20"/>
              </w:rPr>
              <w:t xml:space="preserve">112.776</w:t>
            </w:r>
          </w:p>
        </w:tc>
        <w:tc>
          <w:tcPr>
            <w:tcW w:type="dxa" w:w="1201"/>
            <w:vAlign w:val="center"/>
          </w:tcPr>
          <w:p>
            <w:pPr>
              <w:spacing w:before="20" w:after="20" w:line="260" w:lineRule="auto"/>
              <w:ind w:firstLine="0"/>
              <w:jc w:val="center"/>
            </w:pPr>
            <w:r>
              <w:rPr>
                <w:sz w:val="20"/>
                <w:szCs w:val="20"/>
              </w:rPr>
              <w:t xml:space="preserve">4,72%</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34.719</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59.382</w:t>
            </w:r>
          </w:p>
        </w:tc>
        <w:tc>
          <w:tcPr>
            <w:tcW w:type="dxa" w:w="1201"/>
            <w:vAlign w:val="center"/>
          </w:tcPr>
          <w:p>
            <w:pPr>
              <w:spacing w:before="20" w:after="20" w:line="260" w:lineRule="auto"/>
              <w:ind w:firstLine="0"/>
              <w:jc w:val="center"/>
            </w:pPr>
            <w:r>
              <w:rPr>
                <w:sz w:val="20"/>
                <w:szCs w:val="20"/>
              </w:rPr>
              <w:t xml:space="preserve">59.205</w:t>
            </w:r>
          </w:p>
        </w:tc>
        <w:tc>
          <w:tcPr>
            <w:tcW w:type="dxa" w:w="1201"/>
            <w:vAlign w:val="center"/>
          </w:tcPr>
          <w:p>
            <w:pPr>
              <w:spacing w:before="20" w:after="20" w:line="260" w:lineRule="auto"/>
              <w:ind w:firstLine="0"/>
              <w:jc w:val="center"/>
            </w:pPr>
            <w:r>
              <w:rPr>
                <w:sz w:val="20"/>
                <w:szCs w:val="20"/>
              </w:rPr>
              <w:t xml:space="preserve">7,25%</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24.005</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30.748</w:t>
            </w:r>
          </w:p>
        </w:tc>
        <w:tc>
          <w:tcPr>
            <w:tcW w:type="dxa" w:w="1201"/>
            <w:vAlign w:val="center"/>
          </w:tcPr>
          <w:p>
            <w:pPr>
              <w:spacing w:before="20" w:after="20" w:line="260" w:lineRule="auto"/>
              <w:ind w:firstLine="0"/>
              <w:jc w:val="center"/>
            </w:pPr>
            <w:r>
              <w:rPr>
                <w:sz w:val="20"/>
                <w:szCs w:val="20"/>
              </w:rPr>
              <w:t xml:space="preserve">27.420</w:t>
            </w:r>
          </w:p>
        </w:tc>
        <w:tc>
          <w:tcPr>
            <w:tcW w:type="dxa" w:w="1201"/>
            <w:vAlign w:val="center"/>
          </w:tcPr>
          <w:p>
            <w:pPr>
              <w:spacing w:before="20" w:after="20" w:line="260" w:lineRule="auto"/>
              <w:ind w:firstLine="0"/>
              <w:jc w:val="center"/>
            </w:pPr>
            <w:r>
              <w:rPr>
                <w:sz w:val="20"/>
                <w:szCs w:val="20"/>
              </w:rPr>
              <w:t xml:space="preserve">19,42%</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17.040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26.473</w:t>
            </w:r>
          </w:p>
        </w:tc>
        <w:tc>
          <w:tcPr>
            <w:tcW w:type="dxa" w:w="1201"/>
            <w:vAlign w:val="center"/>
          </w:tcPr>
          <w:p>
            <w:pPr>
              <w:spacing w:before="20" w:after="20" w:line="260" w:lineRule="auto"/>
              <w:ind w:firstLine="0"/>
              <w:jc w:val="center"/>
            </w:pPr>
            <w:r>
              <w:rPr>
                <w:sz w:val="20"/>
                <w:szCs w:val="20"/>
              </w:rPr>
              <w:t xml:space="preserve">27.946</w:t>
            </w:r>
          </w:p>
        </w:tc>
        <w:tc>
          <w:tcPr>
            <w:tcW w:type="dxa" w:w="1201"/>
            <w:vAlign w:val="center"/>
          </w:tcPr>
          <w:p>
            <w:pPr>
              <w:spacing w:before="20" w:after="20" w:line="260" w:lineRule="auto"/>
              <w:ind w:firstLine="0"/>
              <w:jc w:val="center"/>
            </w:pPr>
            <w:r>
              <w:rPr>
                <w:sz w:val="20"/>
                <w:szCs w:val="20"/>
              </w:rPr>
              <w:t xml:space="preserve">10,51%</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16.537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13.238</w:t>
            </w:r>
          </w:p>
        </w:tc>
        <w:tc>
          <w:tcPr>
            <w:tcW w:type="dxa" w:w="1201"/>
            <w:vAlign w:val="center"/>
          </w:tcPr>
          <w:p>
            <w:pPr>
              <w:spacing w:before="20" w:after="20" w:line="260" w:lineRule="auto"/>
              <w:ind w:firstLine="0"/>
              <w:jc w:val="center"/>
            </w:pPr>
            <w:r>
              <w:rPr>
                <w:sz w:val="20"/>
                <w:szCs w:val="20"/>
              </w:rPr>
              <w:t xml:space="preserve">14.841</w:t>
            </w:r>
          </w:p>
        </w:tc>
        <w:tc>
          <w:tcPr>
            <w:tcW w:type="dxa" w:w="1201"/>
            <w:vAlign w:val="center"/>
          </w:tcPr>
          <w:p>
            <w:pPr>
              <w:spacing w:before="20" w:after="20" w:line="260" w:lineRule="auto"/>
              <w:ind w:firstLine="0"/>
              <w:jc w:val="center"/>
            </w:pPr>
            <w:r>
              <w:rPr>
                <w:sz w:val="20"/>
                <w:szCs w:val="20"/>
              </w:rPr>
              <w:t xml:space="preserve">13,45%</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6.008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9.189</w:t>
            </w:r>
          </w:p>
        </w:tc>
        <w:tc>
          <w:tcPr>
            <w:tcW w:type="dxa" w:w="1201"/>
            <w:vAlign w:val="center"/>
          </w:tcPr>
          <w:p>
            <w:pPr>
              <w:spacing w:before="20" w:after="20" w:line="260" w:lineRule="auto"/>
              <w:ind w:firstLine="0"/>
              <w:jc w:val="center"/>
            </w:pPr>
            <w:r>
              <w:rPr>
                <w:sz w:val="20"/>
                <w:szCs w:val="20"/>
              </w:rPr>
              <w:t xml:space="preserve">9.688</w:t>
            </w:r>
          </w:p>
        </w:tc>
        <w:tc>
          <w:tcPr>
            <w:tcW w:type="dxa" w:w="1201"/>
            <w:vAlign w:val="center"/>
          </w:tcPr>
          <w:p>
            <w:pPr>
              <w:spacing w:before="20" w:after="20" w:line="260" w:lineRule="auto"/>
              <w:ind w:firstLine="0"/>
              <w:jc w:val="center"/>
            </w:pPr>
            <w:r>
              <w:rPr>
                <w:sz w:val="20"/>
                <w:szCs w:val="20"/>
              </w:rPr>
              <w:t xml:space="preserve">8,27%</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4.370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8.114</w:t>
            </w:r>
          </w:p>
        </w:tc>
        <w:tc>
          <w:tcPr>
            <w:tcW w:type="dxa" w:w="1201"/>
            <w:vAlign w:val="center"/>
          </w:tcPr>
          <w:p>
            <w:pPr>
              <w:spacing w:before="20" w:after="20" w:line="260" w:lineRule="auto"/>
              <w:ind w:firstLine="0"/>
              <w:jc w:val="center"/>
            </w:pPr>
            <w:r>
              <w:rPr>
                <w:sz w:val="20"/>
                <w:szCs w:val="20"/>
              </w:rPr>
              <w:t xml:space="preserve">7.567</w:t>
            </w:r>
          </w:p>
        </w:tc>
        <w:tc>
          <w:tcPr>
            <w:tcW w:type="dxa" w:w="1201"/>
            <w:vAlign w:val="center"/>
          </w:tcPr>
          <w:p>
            <w:pPr>
              <w:spacing w:before="20" w:after="20" w:line="260" w:lineRule="auto"/>
              <w:ind w:firstLine="0"/>
              <w:jc w:val="center"/>
            </w:pPr>
            <w:r>
              <w:rPr>
                <w:sz w:val="20"/>
                <w:szCs w:val="20"/>
              </w:rPr>
              <w:t xml:space="preserve">14,05%</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3.463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7.880</w:t>
            </w:r>
          </w:p>
        </w:tc>
        <w:tc>
          <w:tcPr>
            <w:tcW w:type="dxa" w:w="1201"/>
            <w:vAlign w:val="center"/>
          </w:tcPr>
          <w:p>
            <w:pPr>
              <w:spacing w:before="20" w:after="20" w:line="260" w:lineRule="auto"/>
              <w:ind w:firstLine="0"/>
              <w:jc w:val="center"/>
            </w:pPr>
            <w:r>
              <w:rPr>
                <w:sz w:val="20"/>
                <w:szCs w:val="20"/>
              </w:rPr>
              <w:t xml:space="preserve">9.547</w:t>
            </w:r>
          </w:p>
        </w:tc>
        <w:tc>
          <w:tcPr>
            <w:tcW w:type="dxa" w:w="1201"/>
            <w:vAlign w:val="center"/>
          </w:tcPr>
          <w:p>
            <w:pPr>
              <w:spacing w:before="20" w:after="20" w:line="260" w:lineRule="auto"/>
              <w:ind w:firstLine="0"/>
              <w:jc w:val="center"/>
            </w:pPr>
            <w:r>
              <w:rPr>
                <w:sz w:val="20"/>
                <w:szCs w:val="20"/>
              </w:rPr>
              <w:t xml:space="preserve">22,02%</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4.341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7.171</w:t>
            </w:r>
          </w:p>
        </w:tc>
        <w:tc>
          <w:tcPr>
            <w:tcW w:type="dxa" w:w="1201"/>
            <w:vAlign w:val="center"/>
          </w:tcPr>
          <w:p>
            <w:pPr>
              <w:spacing w:before="20" w:after="20" w:line="260" w:lineRule="auto"/>
              <w:ind w:firstLine="0"/>
              <w:jc w:val="center"/>
            </w:pPr>
            <w:r>
              <w:rPr>
                <w:sz w:val="20"/>
                <w:szCs w:val="20"/>
              </w:rPr>
              <w:t xml:space="preserve">7.154</w:t>
            </w:r>
          </w:p>
        </w:tc>
        <w:tc>
          <w:tcPr>
            <w:tcW w:type="dxa" w:w="1201"/>
            <w:vAlign w:val="center"/>
          </w:tcPr>
          <w:p>
            <w:pPr>
              <w:spacing w:before="20" w:after="20" w:line="260" w:lineRule="auto"/>
              <w:ind w:firstLine="0"/>
              <w:jc w:val="center"/>
            </w:pPr>
            <w:r>
              <w:rPr>
                <w:sz w:val="20"/>
                <w:szCs w:val="20"/>
              </w:rPr>
              <w:t xml:space="preserve">12,47%</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3.381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6.901</w:t>
            </w:r>
          </w:p>
        </w:tc>
        <w:tc>
          <w:tcPr>
            <w:tcW w:type="dxa" w:w="1201"/>
            <w:vAlign w:val="center"/>
          </w:tcPr>
          <w:p>
            <w:pPr>
              <w:spacing w:before="20" w:after="20" w:line="260" w:lineRule="auto"/>
              <w:ind w:firstLine="0"/>
              <w:jc w:val="center"/>
            </w:pPr>
            <w:r>
              <w:rPr>
                <w:sz w:val="20"/>
                <w:szCs w:val="20"/>
              </w:rPr>
              <w:t xml:space="preserve">7.728</w:t>
            </w:r>
          </w:p>
        </w:tc>
        <w:tc>
          <w:tcPr>
            <w:tcW w:type="dxa" w:w="1201"/>
            <w:vAlign w:val="center"/>
          </w:tcPr>
          <w:p>
            <w:pPr>
              <w:spacing w:before="20" w:after="20" w:line="260" w:lineRule="auto"/>
              <w:ind w:firstLine="0"/>
              <w:jc w:val="center"/>
            </w:pPr>
            <w:r>
              <w:rPr>
                <w:sz w:val="20"/>
                <w:szCs w:val="20"/>
              </w:rPr>
              <w:t xml:space="preserve">12,51%</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3.656</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A.10. Cửa hàng 10 (Quito, Pichincha; loại C, cụm 15)</w:t>
      </w:r>
    </w:p>
    <w:p>
      <w:pPr>
        <w:keepLines w:val="0"/>
        <w:spacing w:after="120"/>
        <w:ind w:firstLine="567"/>
      </w:pPr>
      <w:r>
        <w:t xml:space="preserve">Trong 16 ngày của tập kiểm tra cuối, cửa hàng 10 có tổng doanh số thực tế 114.856 (hạng 49/54 về quy mô) và tổng dự báo 104.297, tức dự báo thấp hơn thực tế 9,19%. WAPE của cửa hàng là 15,62% (hạng 32/54 từ thấp đến cao), MAE 33,988, RMSE 115,910 và bias 19,997. Độ bao phủ thực nghiệm của khoảng P10–P90 đạt 79,36% (hạng 5/54), so với mức danh nghĩa 80%. Nhóm có doanh số thực tế lớn nhất là GROCERY I (46.534; WAPE 11,04%; bao phủ 100,00%). Trong các nhóm có quy mô từ trung vị của cửa hàng trở lên, nhóm có WAPE thấp nhất là DAIRY (9,94%). Có 3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81.909, 104.266 và 140.256; tổng lượng bổ sung gợi ý theo giả định là 56.843. Cửa hàng có 23 nhóm mang nhãn HIGH, 10 nhóm MEDIUM và 0 nhóm LOW. Bảng A.12 liệt kê mười nhóm có doanh số thực tế lớn nhất của cửa hàng.</w:t>
      </w:r>
    </w:p>
    <w:p>
      <w:pPr>
        <w:keepNext/>
        <w:spacing w:before="120" w:after="60"/>
        <w:ind w:firstLine="0"/>
        <w:jc w:val="center"/>
      </w:pPr>
      <w:r>
        <w:t xml:space="preserve">Bảng A.12. Mười nhóm sản phẩm có doanh số thực tế lớn nhất của cửa hàng 10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46.534</w:t>
            </w:r>
          </w:p>
        </w:tc>
        <w:tc>
          <w:tcPr>
            <w:tcW w:type="dxa" w:w="1201"/>
            <w:vAlign w:val="center"/>
          </w:tcPr>
          <w:p>
            <w:pPr>
              <w:spacing w:before="20" w:after="20" w:line="260" w:lineRule="auto"/>
              <w:ind w:firstLine="0"/>
              <w:jc w:val="center"/>
            </w:pPr>
            <w:r>
              <w:rPr>
                <w:sz w:val="20"/>
                <w:szCs w:val="20"/>
              </w:rPr>
              <w:t xml:space="preserve">41.522</w:t>
            </w:r>
          </w:p>
        </w:tc>
        <w:tc>
          <w:tcPr>
            <w:tcW w:type="dxa" w:w="1201"/>
            <w:vAlign w:val="center"/>
          </w:tcPr>
          <w:p>
            <w:pPr>
              <w:spacing w:before="20" w:after="20" w:line="260" w:lineRule="auto"/>
              <w:ind w:firstLine="0"/>
              <w:jc w:val="center"/>
            </w:pPr>
            <w:r>
              <w:rPr>
                <w:sz w:val="20"/>
                <w:szCs w:val="20"/>
              </w:rPr>
              <w:t xml:space="preserve">11,04%</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20.469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24.006</w:t>
            </w:r>
          </w:p>
        </w:tc>
        <w:tc>
          <w:tcPr>
            <w:tcW w:type="dxa" w:w="1201"/>
            <w:vAlign w:val="center"/>
          </w:tcPr>
          <w:p>
            <w:pPr>
              <w:spacing w:before="20" w:after="20" w:line="260" w:lineRule="auto"/>
              <w:ind w:firstLine="0"/>
              <w:jc w:val="center"/>
            </w:pPr>
            <w:r>
              <w:rPr>
                <w:sz w:val="20"/>
                <w:szCs w:val="20"/>
              </w:rPr>
              <w:t xml:space="preserve">22.066</w:t>
            </w:r>
          </w:p>
        </w:tc>
        <w:tc>
          <w:tcPr>
            <w:tcW w:type="dxa" w:w="1201"/>
            <w:vAlign w:val="center"/>
          </w:tcPr>
          <w:p>
            <w:pPr>
              <w:spacing w:before="20" w:after="20" w:line="260" w:lineRule="auto"/>
              <w:ind w:firstLine="0"/>
              <w:jc w:val="center"/>
            </w:pPr>
            <w:r>
              <w:rPr>
                <w:sz w:val="20"/>
                <w:szCs w:val="20"/>
              </w:rPr>
              <w:t xml:space="preserve">13,73%</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15.361</w:t>
            </w:r>
          </w:p>
        </w:tc>
        <w:tc>
          <w:tcPr>
            <w:tcW w:type="dxa" w:w="1205"/>
            <w:vAlign w:val="center"/>
          </w:tcPr>
          <w:p>
            <w:pPr>
              <w:spacing w:before="20" w:after="20" w:line="260" w:lineRule="auto"/>
              <w:ind w:firstLine="0"/>
              <w:jc w:val="left"/>
            </w:pPr>
            <w:r>
              <w:rPr>
                <w:sz w:val="20"/>
                <w:szCs w:val="20"/>
              </w:rPr>
              <w:t xml:space="preserve">HIGH</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14.299</w:t>
            </w:r>
          </w:p>
        </w:tc>
        <w:tc>
          <w:tcPr>
            <w:tcW w:type="dxa" w:w="1201"/>
            <w:vAlign w:val="center"/>
          </w:tcPr>
          <w:p>
            <w:pPr>
              <w:spacing w:before="20" w:after="20" w:line="260" w:lineRule="auto"/>
              <w:ind w:firstLine="0"/>
              <w:jc w:val="center"/>
            </w:pPr>
            <w:r>
              <w:rPr>
                <w:sz w:val="20"/>
                <w:szCs w:val="20"/>
              </w:rPr>
              <w:t xml:space="preserve">11.334</w:t>
            </w:r>
          </w:p>
        </w:tc>
        <w:tc>
          <w:tcPr>
            <w:tcW w:type="dxa" w:w="1201"/>
            <w:vAlign w:val="center"/>
          </w:tcPr>
          <w:p>
            <w:pPr>
              <w:spacing w:before="20" w:after="20" w:line="260" w:lineRule="auto"/>
              <w:ind w:firstLine="0"/>
              <w:jc w:val="center"/>
            </w:pPr>
            <w:r>
              <w:rPr>
                <w:sz w:val="20"/>
                <w:szCs w:val="20"/>
              </w:rPr>
              <w:t xml:space="preserve">24,31%</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4.699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5.112</w:t>
            </w:r>
          </w:p>
        </w:tc>
        <w:tc>
          <w:tcPr>
            <w:tcW w:type="dxa" w:w="1201"/>
            <w:vAlign w:val="center"/>
          </w:tcPr>
          <w:p>
            <w:pPr>
              <w:spacing w:before="20" w:after="20" w:line="260" w:lineRule="auto"/>
              <w:ind w:firstLine="0"/>
              <w:jc w:val="center"/>
            </w:pPr>
            <w:r>
              <w:rPr>
                <w:sz w:val="20"/>
                <w:szCs w:val="20"/>
              </w:rPr>
              <w:t xml:space="preserve">5.118</w:t>
            </w:r>
          </w:p>
        </w:tc>
        <w:tc>
          <w:tcPr>
            <w:tcW w:type="dxa" w:w="1201"/>
            <w:vAlign w:val="center"/>
          </w:tcPr>
          <w:p>
            <w:pPr>
              <w:spacing w:before="20" w:after="20" w:line="260" w:lineRule="auto"/>
              <w:ind w:firstLine="0"/>
              <w:jc w:val="center"/>
            </w:pPr>
            <w:r>
              <w:rPr>
                <w:sz w:val="20"/>
                <w:szCs w:val="20"/>
              </w:rPr>
              <w:t xml:space="preserve">9,94%</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2.250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4.438</w:t>
            </w:r>
          </w:p>
        </w:tc>
        <w:tc>
          <w:tcPr>
            <w:tcW w:type="dxa" w:w="1201"/>
            <w:vAlign w:val="center"/>
          </w:tcPr>
          <w:p>
            <w:pPr>
              <w:spacing w:before="20" w:after="20" w:line="260" w:lineRule="auto"/>
              <w:ind w:firstLine="0"/>
              <w:jc w:val="center"/>
            </w:pPr>
            <w:r>
              <w:rPr>
                <w:sz w:val="20"/>
                <w:szCs w:val="20"/>
              </w:rPr>
              <w:t xml:space="preserve">4.257</w:t>
            </w:r>
          </w:p>
        </w:tc>
        <w:tc>
          <w:tcPr>
            <w:tcW w:type="dxa" w:w="1201"/>
            <w:vAlign w:val="center"/>
          </w:tcPr>
          <w:p>
            <w:pPr>
              <w:spacing w:before="20" w:after="20" w:line="260" w:lineRule="auto"/>
              <w:ind w:firstLine="0"/>
              <w:jc w:val="center"/>
            </w:pPr>
            <w:r>
              <w:rPr>
                <w:sz w:val="20"/>
                <w:szCs w:val="20"/>
              </w:rPr>
              <w:t xml:space="preserve">19,87%</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1.998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4.240</w:t>
            </w:r>
          </w:p>
        </w:tc>
        <w:tc>
          <w:tcPr>
            <w:tcW w:type="dxa" w:w="1201"/>
            <w:vAlign w:val="center"/>
          </w:tcPr>
          <w:p>
            <w:pPr>
              <w:spacing w:before="20" w:after="20" w:line="260" w:lineRule="auto"/>
              <w:ind w:firstLine="0"/>
              <w:jc w:val="center"/>
            </w:pPr>
            <w:r>
              <w:rPr>
                <w:sz w:val="20"/>
                <w:szCs w:val="20"/>
              </w:rPr>
              <w:t xml:space="preserve">4.372</w:t>
            </w:r>
          </w:p>
        </w:tc>
        <w:tc>
          <w:tcPr>
            <w:tcW w:type="dxa" w:w="1201"/>
            <w:vAlign w:val="center"/>
          </w:tcPr>
          <w:p>
            <w:pPr>
              <w:spacing w:before="20" w:after="20" w:line="260" w:lineRule="auto"/>
              <w:ind w:firstLine="0"/>
              <w:jc w:val="center"/>
            </w:pPr>
            <w:r>
              <w:rPr>
                <w:sz w:val="20"/>
                <w:szCs w:val="20"/>
              </w:rPr>
              <w:t xml:space="preserve">14,93%</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2.021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3.198</w:t>
            </w:r>
          </w:p>
        </w:tc>
        <w:tc>
          <w:tcPr>
            <w:tcW w:type="dxa" w:w="1201"/>
            <w:vAlign w:val="center"/>
          </w:tcPr>
          <w:p>
            <w:pPr>
              <w:spacing w:before="20" w:after="20" w:line="260" w:lineRule="auto"/>
              <w:ind w:firstLine="0"/>
              <w:jc w:val="center"/>
            </w:pPr>
            <w:r>
              <w:rPr>
                <w:sz w:val="20"/>
                <w:szCs w:val="20"/>
              </w:rPr>
              <w:t xml:space="preserve">2.580</w:t>
            </w:r>
          </w:p>
        </w:tc>
        <w:tc>
          <w:tcPr>
            <w:tcW w:type="dxa" w:w="1201"/>
            <w:vAlign w:val="center"/>
          </w:tcPr>
          <w:p>
            <w:pPr>
              <w:spacing w:before="20" w:after="20" w:line="260" w:lineRule="auto"/>
              <w:ind w:firstLine="0"/>
              <w:jc w:val="center"/>
            </w:pPr>
            <w:r>
              <w:rPr>
                <w:sz w:val="20"/>
                <w:szCs w:val="20"/>
              </w:rPr>
              <w:t xml:space="preserve">20,22%</w:t>
            </w:r>
          </w:p>
        </w:tc>
        <w:tc>
          <w:tcPr>
            <w:tcW w:type="dxa" w:w="1201"/>
            <w:vAlign w:val="center"/>
          </w:tcPr>
          <w:p>
            <w:pPr>
              <w:spacing w:before="20" w:after="20" w:line="260" w:lineRule="auto"/>
              <w:ind w:firstLine="0"/>
              <w:jc w:val="center"/>
            </w:pPr>
            <w:r>
              <w:rPr>
                <w:sz w:val="20"/>
                <w:szCs w:val="20"/>
              </w:rPr>
              <w:t xml:space="preserve">50,00%</w:t>
            </w:r>
          </w:p>
        </w:tc>
        <w:tc>
          <w:tcPr>
            <w:tcW w:type="dxa" w:w="1531"/>
            <w:vAlign w:val="center"/>
          </w:tcPr>
          <w:p>
            <w:pPr>
              <w:spacing w:before="20" w:after="20" w:line="260" w:lineRule="auto"/>
              <w:ind w:firstLine="0"/>
              <w:jc w:val="center"/>
            </w:pPr>
            <w:r>
              <w:rPr>
                <w:sz w:val="20"/>
                <w:szCs w:val="20"/>
              </w:rPr>
              <w:t xml:space="preserve">1.271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3.079</w:t>
            </w:r>
          </w:p>
        </w:tc>
        <w:tc>
          <w:tcPr>
            <w:tcW w:type="dxa" w:w="1201"/>
            <w:vAlign w:val="center"/>
          </w:tcPr>
          <w:p>
            <w:pPr>
              <w:spacing w:before="20" w:after="20" w:line="260" w:lineRule="auto"/>
              <w:ind w:firstLine="0"/>
              <w:jc w:val="center"/>
            </w:pPr>
            <w:r>
              <w:rPr>
                <w:sz w:val="20"/>
                <w:szCs w:val="20"/>
              </w:rPr>
              <w:t xml:space="preserve">2.909</w:t>
            </w:r>
          </w:p>
        </w:tc>
        <w:tc>
          <w:tcPr>
            <w:tcW w:type="dxa" w:w="1201"/>
            <w:vAlign w:val="center"/>
          </w:tcPr>
          <w:p>
            <w:pPr>
              <w:spacing w:before="20" w:after="20" w:line="260" w:lineRule="auto"/>
              <w:ind w:firstLine="0"/>
              <w:jc w:val="center"/>
            </w:pPr>
            <w:r>
              <w:rPr>
                <w:sz w:val="20"/>
                <w:szCs w:val="20"/>
              </w:rPr>
              <w:t xml:space="preserve">16,70%</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1.421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2.834</w:t>
            </w:r>
          </w:p>
        </w:tc>
        <w:tc>
          <w:tcPr>
            <w:tcW w:type="dxa" w:w="1201"/>
            <w:vAlign w:val="center"/>
          </w:tcPr>
          <w:p>
            <w:pPr>
              <w:spacing w:before="20" w:after="20" w:line="260" w:lineRule="auto"/>
              <w:ind w:firstLine="0"/>
              <w:jc w:val="center"/>
            </w:pPr>
            <w:r>
              <w:rPr>
                <w:sz w:val="20"/>
                <w:szCs w:val="20"/>
              </w:rPr>
              <w:t xml:space="preserve">3.012</w:t>
            </w:r>
          </w:p>
        </w:tc>
        <w:tc>
          <w:tcPr>
            <w:tcW w:type="dxa" w:w="1201"/>
            <w:vAlign w:val="center"/>
          </w:tcPr>
          <w:p>
            <w:pPr>
              <w:spacing w:before="20" w:after="20" w:line="260" w:lineRule="auto"/>
              <w:ind w:firstLine="0"/>
              <w:jc w:val="center"/>
            </w:pPr>
            <w:r>
              <w:rPr>
                <w:sz w:val="20"/>
                <w:szCs w:val="20"/>
              </w:rPr>
              <w:t xml:space="preserve">13,76%</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1.469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2.369</w:t>
            </w:r>
          </w:p>
        </w:tc>
        <w:tc>
          <w:tcPr>
            <w:tcW w:type="dxa" w:w="1201"/>
            <w:vAlign w:val="center"/>
          </w:tcPr>
          <w:p>
            <w:pPr>
              <w:spacing w:before="20" w:after="20" w:line="260" w:lineRule="auto"/>
              <w:ind w:firstLine="0"/>
              <w:jc w:val="center"/>
            </w:pPr>
            <w:r>
              <w:rPr>
                <w:sz w:val="20"/>
                <w:szCs w:val="20"/>
              </w:rPr>
              <w:t xml:space="preserve">2.303</w:t>
            </w:r>
          </w:p>
        </w:tc>
        <w:tc>
          <w:tcPr>
            <w:tcW w:type="dxa" w:w="1201"/>
            <w:vAlign w:val="center"/>
          </w:tcPr>
          <w:p>
            <w:pPr>
              <w:spacing w:before="20" w:after="20" w:line="260" w:lineRule="auto"/>
              <w:ind w:firstLine="0"/>
              <w:jc w:val="center"/>
            </w:pPr>
            <w:r>
              <w:rPr>
                <w:sz w:val="20"/>
                <w:szCs w:val="20"/>
              </w:rPr>
              <w:t xml:space="preserve">11,80%</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1.216</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A.11. Cửa hàng 11 (Cayambe, Pichincha; loại B, cụm 6)</w:t>
      </w:r>
    </w:p>
    <w:p>
      <w:pPr>
        <w:keepLines w:val="0"/>
        <w:spacing w:after="120"/>
        <w:ind w:firstLine="567"/>
      </w:pPr>
      <w:r>
        <w:t xml:space="preserve">Trong 16 ngày của tập kiểm tra cuối, cửa hàng 11 có tổng doanh số thực tế 340.284 (hạng 10/54 về quy mô) và tổng dự báo 335.313, tức dự báo thấp hơn thực tế 1,46%. WAPE của cửa hàng là 9,91% (hạng 4/54 từ thấp đến cao), MAE 63,845, RMSE 172,100 và bias 9,415. Độ bao phủ thực nghiệm của khoảng P10–P90 đạt 75,00% (hạng 31/54), so với mức danh nghĩa 80%. Nhóm có doanh số thực tế lớn nhất là GROCERY I (127.076; WAPE 5,73%; bao phủ 81,25%). Trong các nhóm có quy mô từ trung vị của cửa hàng trở lên, nhóm có WAPE thấp nhất là GROCERY I (5,73%). Có 1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291.573, 334.830 và 404.443; tổng lượng bổ sung gợi ý theo giả định là 136.580. Cửa hàng có 20 nhóm mang nhãn HIGH, 11 nhóm MEDIUM và 2 nhóm LOW. Bảng A.13 liệt kê mười nhóm có doanh số thực tế lớn nhất của cửa hàng.</w:t>
      </w:r>
    </w:p>
    <w:p>
      <w:pPr>
        <w:keepNext/>
        <w:spacing w:before="120" w:after="60"/>
        <w:ind w:firstLine="0"/>
        <w:jc w:val="center"/>
      </w:pPr>
      <w:r>
        <w:t xml:space="preserve">Bảng A.13. Mười nhóm sản phẩm có doanh số thực tế lớn nhất của cửa hàng 11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127.076</w:t>
            </w:r>
          </w:p>
        </w:tc>
        <w:tc>
          <w:tcPr>
            <w:tcW w:type="dxa" w:w="1201"/>
            <w:vAlign w:val="center"/>
          </w:tcPr>
          <w:p>
            <w:pPr>
              <w:spacing w:before="20" w:after="20" w:line="260" w:lineRule="auto"/>
              <w:ind w:firstLine="0"/>
              <w:jc w:val="center"/>
            </w:pPr>
            <w:r>
              <w:rPr>
                <w:sz w:val="20"/>
                <w:szCs w:val="20"/>
              </w:rPr>
              <w:t xml:space="preserve">123.832</w:t>
            </w:r>
          </w:p>
        </w:tc>
        <w:tc>
          <w:tcPr>
            <w:tcW w:type="dxa" w:w="1201"/>
            <w:vAlign w:val="center"/>
          </w:tcPr>
          <w:p>
            <w:pPr>
              <w:spacing w:before="20" w:after="20" w:line="260" w:lineRule="auto"/>
              <w:ind w:firstLine="0"/>
              <w:jc w:val="center"/>
            </w:pPr>
            <w:r>
              <w:rPr>
                <w:sz w:val="20"/>
                <w:szCs w:val="20"/>
              </w:rPr>
              <w:t xml:space="preserve">5,73%</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36.931</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77.926</w:t>
            </w:r>
          </w:p>
        </w:tc>
        <w:tc>
          <w:tcPr>
            <w:tcW w:type="dxa" w:w="1201"/>
            <w:vAlign w:val="center"/>
          </w:tcPr>
          <w:p>
            <w:pPr>
              <w:spacing w:before="20" w:after="20" w:line="260" w:lineRule="auto"/>
              <w:ind w:firstLine="0"/>
              <w:jc w:val="center"/>
            </w:pPr>
            <w:r>
              <w:rPr>
                <w:sz w:val="20"/>
                <w:szCs w:val="20"/>
              </w:rPr>
              <w:t xml:space="preserve">77.753</w:t>
            </w:r>
          </w:p>
        </w:tc>
        <w:tc>
          <w:tcPr>
            <w:tcW w:type="dxa" w:w="1201"/>
            <w:vAlign w:val="center"/>
          </w:tcPr>
          <w:p>
            <w:pPr>
              <w:spacing w:before="20" w:after="20" w:line="260" w:lineRule="auto"/>
              <w:ind w:firstLine="0"/>
              <w:jc w:val="center"/>
            </w:pPr>
            <w:r>
              <w:rPr>
                <w:sz w:val="20"/>
                <w:szCs w:val="20"/>
              </w:rPr>
              <w:t xml:space="preserve">8,03%</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27.715</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32.762</w:t>
            </w:r>
          </w:p>
        </w:tc>
        <w:tc>
          <w:tcPr>
            <w:tcW w:type="dxa" w:w="1201"/>
            <w:vAlign w:val="center"/>
          </w:tcPr>
          <w:p>
            <w:pPr>
              <w:spacing w:before="20" w:after="20" w:line="260" w:lineRule="auto"/>
              <w:ind w:firstLine="0"/>
              <w:jc w:val="center"/>
            </w:pPr>
            <w:r>
              <w:rPr>
                <w:sz w:val="20"/>
                <w:szCs w:val="20"/>
              </w:rPr>
              <w:t xml:space="preserve">32.319</w:t>
            </w:r>
          </w:p>
        </w:tc>
        <w:tc>
          <w:tcPr>
            <w:tcW w:type="dxa" w:w="1201"/>
            <w:vAlign w:val="center"/>
          </w:tcPr>
          <w:p>
            <w:pPr>
              <w:spacing w:before="20" w:after="20" w:line="260" w:lineRule="auto"/>
              <w:ind w:firstLine="0"/>
              <w:jc w:val="center"/>
            </w:pPr>
            <w:r>
              <w:rPr>
                <w:sz w:val="20"/>
                <w:szCs w:val="20"/>
              </w:rPr>
              <w:t xml:space="preserve">10,22%</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18.628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25.237</w:t>
            </w:r>
          </w:p>
        </w:tc>
        <w:tc>
          <w:tcPr>
            <w:tcW w:type="dxa" w:w="1201"/>
            <w:vAlign w:val="center"/>
          </w:tcPr>
          <w:p>
            <w:pPr>
              <w:spacing w:before="20" w:after="20" w:line="260" w:lineRule="auto"/>
              <w:ind w:firstLine="0"/>
              <w:jc w:val="center"/>
            </w:pPr>
            <w:r>
              <w:rPr>
                <w:sz w:val="20"/>
                <w:szCs w:val="20"/>
              </w:rPr>
              <w:t xml:space="preserve">26.059</w:t>
            </w:r>
          </w:p>
        </w:tc>
        <w:tc>
          <w:tcPr>
            <w:tcW w:type="dxa" w:w="1201"/>
            <w:vAlign w:val="center"/>
          </w:tcPr>
          <w:p>
            <w:pPr>
              <w:spacing w:before="20" w:after="20" w:line="260" w:lineRule="auto"/>
              <w:ind w:firstLine="0"/>
              <w:jc w:val="center"/>
            </w:pPr>
            <w:r>
              <w:rPr>
                <w:sz w:val="20"/>
                <w:szCs w:val="20"/>
              </w:rPr>
              <w:t xml:space="preserve">9,13%</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16.768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11.814</w:t>
            </w:r>
          </w:p>
        </w:tc>
        <w:tc>
          <w:tcPr>
            <w:tcW w:type="dxa" w:w="1201"/>
            <w:vAlign w:val="center"/>
          </w:tcPr>
          <w:p>
            <w:pPr>
              <w:spacing w:before="20" w:after="20" w:line="260" w:lineRule="auto"/>
              <w:ind w:firstLine="0"/>
              <w:jc w:val="center"/>
            </w:pPr>
            <w:r>
              <w:rPr>
                <w:sz w:val="20"/>
                <w:szCs w:val="20"/>
              </w:rPr>
              <w:t xml:space="preserve">11.692</w:t>
            </w:r>
          </w:p>
        </w:tc>
        <w:tc>
          <w:tcPr>
            <w:tcW w:type="dxa" w:w="1201"/>
            <w:vAlign w:val="center"/>
          </w:tcPr>
          <w:p>
            <w:pPr>
              <w:spacing w:before="20" w:after="20" w:line="260" w:lineRule="auto"/>
              <w:ind w:firstLine="0"/>
              <w:jc w:val="center"/>
            </w:pPr>
            <w:r>
              <w:rPr>
                <w:sz w:val="20"/>
                <w:szCs w:val="20"/>
              </w:rPr>
              <w:t xml:space="preserve">27,00%</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4.770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11.474</w:t>
            </w:r>
          </w:p>
        </w:tc>
        <w:tc>
          <w:tcPr>
            <w:tcW w:type="dxa" w:w="1201"/>
            <w:vAlign w:val="center"/>
          </w:tcPr>
          <w:p>
            <w:pPr>
              <w:spacing w:before="20" w:after="20" w:line="260" w:lineRule="auto"/>
              <w:ind w:firstLine="0"/>
              <w:jc w:val="center"/>
            </w:pPr>
            <w:r>
              <w:rPr>
                <w:sz w:val="20"/>
                <w:szCs w:val="20"/>
              </w:rPr>
              <w:t xml:space="preserve">10.630</w:t>
            </w:r>
          </w:p>
        </w:tc>
        <w:tc>
          <w:tcPr>
            <w:tcW w:type="dxa" w:w="1201"/>
            <w:vAlign w:val="center"/>
          </w:tcPr>
          <w:p>
            <w:pPr>
              <w:spacing w:before="20" w:after="20" w:line="260" w:lineRule="auto"/>
              <w:ind w:firstLine="0"/>
              <w:jc w:val="center"/>
            </w:pPr>
            <w:r>
              <w:rPr>
                <w:sz w:val="20"/>
                <w:szCs w:val="20"/>
              </w:rPr>
              <w:t xml:space="preserve">15,92%</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4.558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10.663</w:t>
            </w:r>
          </w:p>
        </w:tc>
        <w:tc>
          <w:tcPr>
            <w:tcW w:type="dxa" w:w="1201"/>
            <w:vAlign w:val="center"/>
          </w:tcPr>
          <w:p>
            <w:pPr>
              <w:spacing w:before="20" w:after="20" w:line="260" w:lineRule="auto"/>
              <w:ind w:firstLine="0"/>
              <w:jc w:val="center"/>
            </w:pPr>
            <w:r>
              <w:rPr>
                <w:sz w:val="20"/>
                <w:szCs w:val="20"/>
              </w:rPr>
              <w:t xml:space="preserve">11.491</w:t>
            </w:r>
          </w:p>
        </w:tc>
        <w:tc>
          <w:tcPr>
            <w:tcW w:type="dxa" w:w="1201"/>
            <w:vAlign w:val="center"/>
          </w:tcPr>
          <w:p>
            <w:pPr>
              <w:spacing w:before="20" w:after="20" w:line="260" w:lineRule="auto"/>
              <w:ind w:firstLine="0"/>
              <w:jc w:val="center"/>
            </w:pPr>
            <w:r>
              <w:rPr>
                <w:sz w:val="20"/>
                <w:szCs w:val="20"/>
              </w:rPr>
              <w:t xml:space="preserve">10,47%</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4.730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8.755</w:t>
            </w:r>
          </w:p>
        </w:tc>
        <w:tc>
          <w:tcPr>
            <w:tcW w:type="dxa" w:w="1201"/>
            <w:vAlign w:val="center"/>
          </w:tcPr>
          <w:p>
            <w:pPr>
              <w:spacing w:before="20" w:after="20" w:line="260" w:lineRule="auto"/>
              <w:ind w:firstLine="0"/>
              <w:jc w:val="center"/>
            </w:pPr>
            <w:r>
              <w:rPr>
                <w:sz w:val="20"/>
                <w:szCs w:val="20"/>
              </w:rPr>
              <w:t xml:space="preserve">8.276</w:t>
            </w:r>
          </w:p>
        </w:tc>
        <w:tc>
          <w:tcPr>
            <w:tcW w:type="dxa" w:w="1201"/>
            <w:vAlign w:val="center"/>
          </w:tcPr>
          <w:p>
            <w:pPr>
              <w:spacing w:before="20" w:after="20" w:line="260" w:lineRule="auto"/>
              <w:ind w:firstLine="0"/>
              <w:jc w:val="center"/>
            </w:pPr>
            <w:r>
              <w:rPr>
                <w:sz w:val="20"/>
                <w:szCs w:val="20"/>
              </w:rPr>
              <w:t xml:space="preserve">12,97%</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4.007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8.610</w:t>
            </w:r>
          </w:p>
        </w:tc>
        <w:tc>
          <w:tcPr>
            <w:tcW w:type="dxa" w:w="1201"/>
            <w:vAlign w:val="center"/>
          </w:tcPr>
          <w:p>
            <w:pPr>
              <w:spacing w:before="20" w:after="20" w:line="260" w:lineRule="auto"/>
              <w:ind w:firstLine="0"/>
              <w:jc w:val="center"/>
            </w:pPr>
            <w:r>
              <w:rPr>
                <w:sz w:val="20"/>
                <w:szCs w:val="20"/>
              </w:rPr>
              <w:t xml:space="preserve">8.806</w:t>
            </w:r>
          </w:p>
        </w:tc>
        <w:tc>
          <w:tcPr>
            <w:tcW w:type="dxa" w:w="1201"/>
            <w:vAlign w:val="center"/>
          </w:tcPr>
          <w:p>
            <w:pPr>
              <w:spacing w:before="20" w:after="20" w:line="260" w:lineRule="auto"/>
              <w:ind w:firstLine="0"/>
              <w:jc w:val="center"/>
            </w:pPr>
            <w:r>
              <w:rPr>
                <w:sz w:val="20"/>
                <w:szCs w:val="20"/>
              </w:rPr>
              <w:t xml:space="preserve">10,06%</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4.193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7.470</w:t>
            </w:r>
          </w:p>
        </w:tc>
        <w:tc>
          <w:tcPr>
            <w:tcW w:type="dxa" w:w="1201"/>
            <w:vAlign w:val="center"/>
          </w:tcPr>
          <w:p>
            <w:pPr>
              <w:spacing w:before="20" w:after="20" w:line="260" w:lineRule="auto"/>
              <w:ind w:firstLine="0"/>
              <w:jc w:val="center"/>
            </w:pPr>
            <w:r>
              <w:rPr>
                <w:sz w:val="20"/>
                <w:szCs w:val="20"/>
              </w:rPr>
              <w:t xml:space="preserve">6.833</w:t>
            </w:r>
          </w:p>
        </w:tc>
        <w:tc>
          <w:tcPr>
            <w:tcW w:type="dxa" w:w="1201"/>
            <w:vAlign w:val="center"/>
          </w:tcPr>
          <w:p>
            <w:pPr>
              <w:spacing w:before="20" w:after="20" w:line="260" w:lineRule="auto"/>
              <w:ind w:firstLine="0"/>
              <w:jc w:val="center"/>
            </w:pPr>
            <w:r>
              <w:rPr>
                <w:sz w:val="20"/>
                <w:szCs w:val="20"/>
              </w:rPr>
              <w:t xml:space="preserve">13,41%</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3.075</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A.12. Cửa hàng 12 (Latacunga, Cotopaxi; loại C, cụm 15)</w:t>
      </w:r>
    </w:p>
    <w:p>
      <w:pPr>
        <w:keepLines w:val="0"/>
        <w:spacing w:after="120"/>
        <w:ind w:firstLine="567"/>
      </w:pPr>
      <w:r>
        <w:t xml:space="preserve">Trong 16 ngày của tập kiểm tra cuối, cửa hàng 12 có tổng doanh số thực tế 123.828 (hạng 45/54 về quy mô) và tổng dự báo 126.839, tức dự báo cao hơn thực tế 2,43%. WAPE của cửa hàng là 16,54% (hạng 35/54 từ thấp đến cao), MAE 38,798, RMSE 140,983 và bias −5,702. Độ bao phủ thực nghiệm của khoảng P10–P90 đạt 74,24% (hạng 34/54), so với mức danh nghĩa 80%. Nhóm có doanh số thực tế lớn nhất là GROCERY I (46.183; WAPE 7,17%; bao phủ 93,75%). Trong các nhóm có quy mô từ trung vị của cửa hàng trở lên, nhóm có WAPE thấp nhất là GROCERY I (7,17%). Có 3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101.637, 126.568 và 166.189; tổng lượng bổ sung gợi ý theo giả định là 64.934. Cửa hàng có 22 nhóm mang nhãn HIGH, 10 nhóm MEDIUM và 1 nhóm LOW. Bảng A.14 liệt kê mười nhóm có doanh số thực tế lớn nhất của cửa hàng.</w:t>
      </w:r>
    </w:p>
    <w:p>
      <w:pPr>
        <w:keepNext/>
        <w:spacing w:before="120" w:after="60"/>
        <w:ind w:firstLine="0"/>
        <w:jc w:val="center"/>
      </w:pPr>
      <w:r>
        <w:t xml:space="preserve">Bảng A.14. Mười nhóm sản phẩm có doanh số thực tế lớn nhất của cửa hàng 12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46.183</w:t>
            </w:r>
          </w:p>
        </w:tc>
        <w:tc>
          <w:tcPr>
            <w:tcW w:type="dxa" w:w="1201"/>
            <w:vAlign w:val="center"/>
          </w:tcPr>
          <w:p>
            <w:pPr>
              <w:spacing w:before="20" w:after="20" w:line="260" w:lineRule="auto"/>
              <w:ind w:firstLine="0"/>
              <w:jc w:val="center"/>
            </w:pPr>
            <w:r>
              <w:rPr>
                <w:sz w:val="20"/>
                <w:szCs w:val="20"/>
              </w:rPr>
              <w:t xml:space="preserve">48.038</w:t>
            </w:r>
          </w:p>
        </w:tc>
        <w:tc>
          <w:tcPr>
            <w:tcW w:type="dxa" w:w="1201"/>
            <w:vAlign w:val="center"/>
          </w:tcPr>
          <w:p>
            <w:pPr>
              <w:spacing w:before="20" w:after="20" w:line="260" w:lineRule="auto"/>
              <w:ind w:firstLine="0"/>
              <w:jc w:val="center"/>
            </w:pPr>
            <w:r>
              <w:rPr>
                <w:sz w:val="20"/>
                <w:szCs w:val="20"/>
              </w:rPr>
              <w:t xml:space="preserve">7,17%</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21.772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26.071</w:t>
            </w:r>
          </w:p>
        </w:tc>
        <w:tc>
          <w:tcPr>
            <w:tcW w:type="dxa" w:w="1201"/>
            <w:vAlign w:val="center"/>
          </w:tcPr>
          <w:p>
            <w:pPr>
              <w:spacing w:before="20" w:after="20" w:line="260" w:lineRule="auto"/>
              <w:ind w:firstLine="0"/>
              <w:jc w:val="center"/>
            </w:pPr>
            <w:r>
              <w:rPr>
                <w:sz w:val="20"/>
                <w:szCs w:val="20"/>
              </w:rPr>
              <w:t xml:space="preserve">28.806</w:t>
            </w:r>
          </w:p>
        </w:tc>
        <w:tc>
          <w:tcPr>
            <w:tcW w:type="dxa" w:w="1201"/>
            <w:vAlign w:val="center"/>
          </w:tcPr>
          <w:p>
            <w:pPr>
              <w:spacing w:before="20" w:after="20" w:line="260" w:lineRule="auto"/>
              <w:ind w:firstLine="0"/>
              <w:jc w:val="center"/>
            </w:pPr>
            <w:r>
              <w:rPr>
                <w:sz w:val="20"/>
                <w:szCs w:val="20"/>
              </w:rPr>
              <w:t xml:space="preserve">13,21%</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17.925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17.872</w:t>
            </w:r>
          </w:p>
        </w:tc>
        <w:tc>
          <w:tcPr>
            <w:tcW w:type="dxa" w:w="1201"/>
            <w:vAlign w:val="center"/>
          </w:tcPr>
          <w:p>
            <w:pPr>
              <w:spacing w:before="20" w:after="20" w:line="260" w:lineRule="auto"/>
              <w:ind w:firstLine="0"/>
              <w:jc w:val="center"/>
            </w:pPr>
            <w:r>
              <w:rPr>
                <w:sz w:val="20"/>
                <w:szCs w:val="20"/>
              </w:rPr>
              <w:t xml:space="preserve">12.870</w:t>
            </w:r>
          </w:p>
        </w:tc>
        <w:tc>
          <w:tcPr>
            <w:tcW w:type="dxa" w:w="1201"/>
            <w:vAlign w:val="center"/>
          </w:tcPr>
          <w:p>
            <w:pPr>
              <w:spacing w:before="20" w:after="20" w:line="260" w:lineRule="auto"/>
              <w:ind w:firstLine="0"/>
              <w:jc w:val="center"/>
            </w:pPr>
            <w:r>
              <w:rPr>
                <w:sz w:val="20"/>
                <w:szCs w:val="20"/>
              </w:rPr>
              <w:t xml:space="preserve">33,85%</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5.006</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6.196</w:t>
            </w:r>
          </w:p>
        </w:tc>
        <w:tc>
          <w:tcPr>
            <w:tcW w:type="dxa" w:w="1201"/>
            <w:vAlign w:val="center"/>
          </w:tcPr>
          <w:p>
            <w:pPr>
              <w:spacing w:before="20" w:after="20" w:line="260" w:lineRule="auto"/>
              <w:ind w:firstLine="0"/>
              <w:jc w:val="center"/>
            </w:pPr>
            <w:r>
              <w:rPr>
                <w:sz w:val="20"/>
                <w:szCs w:val="20"/>
              </w:rPr>
              <w:t xml:space="preserve">7.698</w:t>
            </w:r>
          </w:p>
        </w:tc>
        <w:tc>
          <w:tcPr>
            <w:tcW w:type="dxa" w:w="1201"/>
            <w:vAlign w:val="center"/>
          </w:tcPr>
          <w:p>
            <w:pPr>
              <w:spacing w:before="20" w:after="20" w:line="260" w:lineRule="auto"/>
              <w:ind w:firstLine="0"/>
              <w:jc w:val="center"/>
            </w:pPr>
            <w:r>
              <w:rPr>
                <w:sz w:val="20"/>
                <w:szCs w:val="20"/>
              </w:rPr>
              <w:t xml:space="preserve">24,71%</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3.731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5.641</w:t>
            </w:r>
          </w:p>
        </w:tc>
        <w:tc>
          <w:tcPr>
            <w:tcW w:type="dxa" w:w="1201"/>
            <w:vAlign w:val="center"/>
          </w:tcPr>
          <w:p>
            <w:pPr>
              <w:spacing w:before="20" w:after="20" w:line="260" w:lineRule="auto"/>
              <w:ind w:firstLine="0"/>
              <w:jc w:val="center"/>
            </w:pPr>
            <w:r>
              <w:rPr>
                <w:sz w:val="20"/>
                <w:szCs w:val="20"/>
              </w:rPr>
              <w:t xml:space="preserve">6.317</w:t>
            </w:r>
          </w:p>
        </w:tc>
        <w:tc>
          <w:tcPr>
            <w:tcW w:type="dxa" w:w="1201"/>
            <w:vAlign w:val="center"/>
          </w:tcPr>
          <w:p>
            <w:pPr>
              <w:spacing w:before="20" w:after="20" w:line="260" w:lineRule="auto"/>
              <w:ind w:firstLine="0"/>
              <w:jc w:val="center"/>
            </w:pPr>
            <w:r>
              <w:rPr>
                <w:sz w:val="20"/>
                <w:szCs w:val="20"/>
              </w:rPr>
              <w:t xml:space="preserve">13,09%</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2.812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3.406</w:t>
            </w:r>
          </w:p>
        </w:tc>
        <w:tc>
          <w:tcPr>
            <w:tcW w:type="dxa" w:w="1201"/>
            <w:vAlign w:val="center"/>
          </w:tcPr>
          <w:p>
            <w:pPr>
              <w:spacing w:before="20" w:after="20" w:line="260" w:lineRule="auto"/>
              <w:ind w:firstLine="0"/>
              <w:jc w:val="center"/>
            </w:pPr>
            <w:r>
              <w:rPr>
                <w:sz w:val="20"/>
                <w:szCs w:val="20"/>
              </w:rPr>
              <w:t xml:space="preserve">4.065</w:t>
            </w:r>
          </w:p>
        </w:tc>
        <w:tc>
          <w:tcPr>
            <w:tcW w:type="dxa" w:w="1201"/>
            <w:vAlign w:val="center"/>
          </w:tcPr>
          <w:p>
            <w:pPr>
              <w:spacing w:before="20" w:after="20" w:line="260" w:lineRule="auto"/>
              <w:ind w:firstLine="0"/>
              <w:jc w:val="center"/>
            </w:pPr>
            <w:r>
              <w:rPr>
                <w:sz w:val="20"/>
                <w:szCs w:val="20"/>
              </w:rPr>
              <w:t xml:space="preserve">19,71%</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1.960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3.155</w:t>
            </w:r>
          </w:p>
        </w:tc>
        <w:tc>
          <w:tcPr>
            <w:tcW w:type="dxa" w:w="1201"/>
            <w:vAlign w:val="center"/>
          </w:tcPr>
          <w:p>
            <w:pPr>
              <w:spacing w:before="20" w:after="20" w:line="260" w:lineRule="auto"/>
              <w:ind w:firstLine="0"/>
              <w:jc w:val="center"/>
            </w:pPr>
            <w:r>
              <w:rPr>
                <w:sz w:val="20"/>
                <w:szCs w:val="20"/>
              </w:rPr>
              <w:t xml:space="preserve">2.959</w:t>
            </w:r>
          </w:p>
        </w:tc>
        <w:tc>
          <w:tcPr>
            <w:tcW w:type="dxa" w:w="1201"/>
            <w:vAlign w:val="center"/>
          </w:tcPr>
          <w:p>
            <w:pPr>
              <w:spacing w:before="20" w:after="20" w:line="260" w:lineRule="auto"/>
              <w:ind w:firstLine="0"/>
              <w:jc w:val="center"/>
            </w:pPr>
            <w:r>
              <w:rPr>
                <w:sz w:val="20"/>
                <w:szCs w:val="20"/>
              </w:rPr>
              <w:t xml:space="preserve">18,85%</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1.459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3.142</w:t>
            </w:r>
          </w:p>
        </w:tc>
        <w:tc>
          <w:tcPr>
            <w:tcW w:type="dxa" w:w="1201"/>
            <w:vAlign w:val="center"/>
          </w:tcPr>
          <w:p>
            <w:pPr>
              <w:spacing w:before="20" w:after="20" w:line="260" w:lineRule="auto"/>
              <w:ind w:firstLine="0"/>
              <w:jc w:val="center"/>
            </w:pPr>
            <w:r>
              <w:rPr>
                <w:sz w:val="20"/>
                <w:szCs w:val="20"/>
              </w:rPr>
              <w:t xml:space="preserve">3.083</w:t>
            </w:r>
          </w:p>
        </w:tc>
        <w:tc>
          <w:tcPr>
            <w:tcW w:type="dxa" w:w="1201"/>
            <w:vAlign w:val="center"/>
          </w:tcPr>
          <w:p>
            <w:pPr>
              <w:spacing w:before="20" w:after="20" w:line="260" w:lineRule="auto"/>
              <w:ind w:firstLine="0"/>
              <w:jc w:val="center"/>
            </w:pPr>
            <w:r>
              <w:rPr>
                <w:sz w:val="20"/>
                <w:szCs w:val="20"/>
              </w:rPr>
              <w:t xml:space="preserve">12,51%</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1.539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2.724</w:t>
            </w:r>
          </w:p>
        </w:tc>
        <w:tc>
          <w:tcPr>
            <w:tcW w:type="dxa" w:w="1201"/>
            <w:vAlign w:val="center"/>
          </w:tcPr>
          <w:p>
            <w:pPr>
              <w:spacing w:before="20" w:after="20" w:line="260" w:lineRule="auto"/>
              <w:ind w:firstLine="0"/>
              <w:jc w:val="center"/>
            </w:pPr>
            <w:r>
              <w:rPr>
                <w:sz w:val="20"/>
                <w:szCs w:val="20"/>
              </w:rPr>
              <w:t xml:space="preserve">3.083</w:t>
            </w:r>
          </w:p>
        </w:tc>
        <w:tc>
          <w:tcPr>
            <w:tcW w:type="dxa" w:w="1201"/>
            <w:vAlign w:val="center"/>
          </w:tcPr>
          <w:p>
            <w:pPr>
              <w:spacing w:before="20" w:after="20" w:line="260" w:lineRule="auto"/>
              <w:ind w:firstLine="0"/>
              <w:jc w:val="center"/>
            </w:pPr>
            <w:r>
              <w:rPr>
                <w:sz w:val="20"/>
                <w:szCs w:val="20"/>
              </w:rPr>
              <w:t xml:space="preserve">16,03%</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1.539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2.476</w:t>
            </w:r>
          </w:p>
        </w:tc>
        <w:tc>
          <w:tcPr>
            <w:tcW w:type="dxa" w:w="1201"/>
            <w:vAlign w:val="center"/>
          </w:tcPr>
          <w:p>
            <w:pPr>
              <w:spacing w:before="20" w:after="20" w:line="260" w:lineRule="auto"/>
              <w:ind w:firstLine="0"/>
              <w:jc w:val="center"/>
            </w:pPr>
            <w:r>
              <w:rPr>
                <w:sz w:val="20"/>
                <w:szCs w:val="20"/>
              </w:rPr>
              <w:t xml:space="preserve">2.661</w:t>
            </w:r>
          </w:p>
        </w:tc>
        <w:tc>
          <w:tcPr>
            <w:tcW w:type="dxa" w:w="1201"/>
            <w:vAlign w:val="center"/>
          </w:tcPr>
          <w:p>
            <w:pPr>
              <w:spacing w:before="20" w:after="20" w:line="260" w:lineRule="auto"/>
              <w:ind w:firstLine="0"/>
              <w:jc w:val="center"/>
            </w:pPr>
            <w:r>
              <w:rPr>
                <w:sz w:val="20"/>
                <w:szCs w:val="20"/>
              </w:rPr>
              <w:t xml:space="preserve">11,88%</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1.259</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A.13. Cửa hàng 13 (Latacunga, Cotopaxi; loại C, cụm 15)</w:t>
      </w:r>
    </w:p>
    <w:p>
      <w:pPr>
        <w:keepLines w:val="0"/>
        <w:spacing w:after="120"/>
        <w:ind w:firstLine="567"/>
      </w:pPr>
      <w:r>
        <w:t xml:space="preserve">Trong 16 ngày của tập kiểm tra cuối, cửa hàng 13 có tổng doanh số thực tế 114.922 (hạng 48/54 về quy mô) và tổng dự báo 111.254, tức dự báo thấp hơn thực tế 3,19%. WAPE của cửa hàng là 15,60% (hạng 31/54 từ thấp đến cao), MAE 33,960, RMSE 134,136 và bias 6,946. Độ bao phủ thực nghiệm của khoảng P10–P90 đạt 80,11% (hạng 1/54), so với mức danh nghĩa 80%. Nhóm có doanh số thực tế lớn nhất là GROCERY I (47.088; WAPE 9,03%; bao phủ 93,75%). Trong các nhóm có quy mô từ trung vị của cửa hàng trở lên, nhóm có WAPE thấp nhất là GROCERY I (9,03%). Có 4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88.477, 111.211 và 147.987; tổng lượng bổ sung gợi ý theo giả định là 59.018. Cửa hàng có 21 nhóm mang nhãn HIGH, 12 nhóm MEDIUM và 0 nhóm LOW. Bảng A.15 liệt kê mười nhóm có doanh số thực tế lớn nhất của cửa hàng.</w:t>
      </w:r>
    </w:p>
    <w:p>
      <w:pPr>
        <w:keepNext/>
        <w:spacing w:before="120" w:after="60"/>
        <w:ind w:firstLine="0"/>
        <w:jc w:val="center"/>
      </w:pPr>
      <w:r>
        <w:t xml:space="preserve">Bảng A.15. Mười nhóm sản phẩm có doanh số thực tế lớn nhất của cửa hàng 13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47.088</w:t>
            </w:r>
          </w:p>
        </w:tc>
        <w:tc>
          <w:tcPr>
            <w:tcW w:type="dxa" w:w="1201"/>
            <w:vAlign w:val="center"/>
          </w:tcPr>
          <w:p>
            <w:pPr>
              <w:spacing w:before="20" w:after="20" w:line="260" w:lineRule="auto"/>
              <w:ind w:firstLine="0"/>
              <w:jc w:val="center"/>
            </w:pPr>
            <w:r>
              <w:rPr>
                <w:sz w:val="20"/>
                <w:szCs w:val="20"/>
              </w:rPr>
              <w:t xml:space="preserve">45.775</w:t>
            </w:r>
          </w:p>
        </w:tc>
        <w:tc>
          <w:tcPr>
            <w:tcW w:type="dxa" w:w="1201"/>
            <w:vAlign w:val="center"/>
          </w:tcPr>
          <w:p>
            <w:pPr>
              <w:spacing w:before="20" w:after="20" w:line="260" w:lineRule="auto"/>
              <w:ind w:firstLine="0"/>
              <w:jc w:val="center"/>
            </w:pPr>
            <w:r>
              <w:rPr>
                <w:sz w:val="20"/>
                <w:szCs w:val="20"/>
              </w:rPr>
              <w:t xml:space="preserve">9,03%</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21.319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26.932</w:t>
            </w:r>
          </w:p>
        </w:tc>
        <w:tc>
          <w:tcPr>
            <w:tcW w:type="dxa" w:w="1201"/>
            <w:vAlign w:val="center"/>
          </w:tcPr>
          <w:p>
            <w:pPr>
              <w:spacing w:before="20" w:after="20" w:line="260" w:lineRule="auto"/>
              <w:ind w:firstLine="0"/>
              <w:jc w:val="center"/>
            </w:pPr>
            <w:r>
              <w:rPr>
                <w:sz w:val="20"/>
                <w:szCs w:val="20"/>
              </w:rPr>
              <w:t xml:space="preserve">26.212</w:t>
            </w:r>
          </w:p>
        </w:tc>
        <w:tc>
          <w:tcPr>
            <w:tcW w:type="dxa" w:w="1201"/>
            <w:vAlign w:val="center"/>
          </w:tcPr>
          <w:p>
            <w:pPr>
              <w:spacing w:before="20" w:after="20" w:line="260" w:lineRule="auto"/>
              <w:ind w:firstLine="0"/>
              <w:jc w:val="center"/>
            </w:pPr>
            <w:r>
              <w:rPr>
                <w:sz w:val="20"/>
                <w:szCs w:val="20"/>
              </w:rPr>
              <w:t xml:space="preserve">13,00%</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17.407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15.075</w:t>
            </w:r>
          </w:p>
        </w:tc>
        <w:tc>
          <w:tcPr>
            <w:tcW w:type="dxa" w:w="1201"/>
            <w:vAlign w:val="center"/>
          </w:tcPr>
          <w:p>
            <w:pPr>
              <w:spacing w:before="20" w:after="20" w:line="260" w:lineRule="auto"/>
              <w:ind w:firstLine="0"/>
              <w:jc w:val="center"/>
            </w:pPr>
            <w:r>
              <w:rPr>
                <w:sz w:val="20"/>
                <w:szCs w:val="20"/>
              </w:rPr>
              <w:t xml:space="preserve">11.809</w:t>
            </w:r>
          </w:p>
        </w:tc>
        <w:tc>
          <w:tcPr>
            <w:tcW w:type="dxa" w:w="1201"/>
            <w:vAlign w:val="center"/>
          </w:tcPr>
          <w:p>
            <w:pPr>
              <w:spacing w:before="20" w:after="20" w:line="260" w:lineRule="auto"/>
              <w:ind w:firstLine="0"/>
              <w:jc w:val="center"/>
            </w:pPr>
            <w:r>
              <w:rPr>
                <w:sz w:val="20"/>
                <w:szCs w:val="20"/>
              </w:rPr>
              <w:t xml:space="preserve">28,61%</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4.794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4.432</w:t>
            </w:r>
          </w:p>
        </w:tc>
        <w:tc>
          <w:tcPr>
            <w:tcW w:type="dxa" w:w="1201"/>
            <w:vAlign w:val="center"/>
          </w:tcPr>
          <w:p>
            <w:pPr>
              <w:spacing w:before="20" w:after="20" w:line="260" w:lineRule="auto"/>
              <w:ind w:firstLine="0"/>
              <w:jc w:val="center"/>
            </w:pPr>
            <w:r>
              <w:rPr>
                <w:sz w:val="20"/>
                <w:szCs w:val="20"/>
              </w:rPr>
              <w:t xml:space="preserve">4.860</w:t>
            </w:r>
          </w:p>
        </w:tc>
        <w:tc>
          <w:tcPr>
            <w:tcW w:type="dxa" w:w="1201"/>
            <w:vAlign w:val="center"/>
          </w:tcPr>
          <w:p>
            <w:pPr>
              <w:spacing w:before="20" w:after="20" w:line="260" w:lineRule="auto"/>
              <w:ind w:firstLine="0"/>
              <w:jc w:val="center"/>
            </w:pPr>
            <w:r>
              <w:rPr>
                <w:sz w:val="20"/>
                <w:szCs w:val="20"/>
              </w:rPr>
              <w:t xml:space="preserve">13,97%</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2.199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3.372</w:t>
            </w:r>
          </w:p>
        </w:tc>
        <w:tc>
          <w:tcPr>
            <w:tcW w:type="dxa" w:w="1201"/>
            <w:vAlign w:val="center"/>
          </w:tcPr>
          <w:p>
            <w:pPr>
              <w:spacing w:before="20" w:after="20" w:line="260" w:lineRule="auto"/>
              <w:ind w:firstLine="0"/>
              <w:jc w:val="center"/>
            </w:pPr>
            <w:r>
              <w:rPr>
                <w:sz w:val="20"/>
                <w:szCs w:val="20"/>
              </w:rPr>
              <w:t xml:space="preserve">2.980</w:t>
            </w:r>
          </w:p>
        </w:tc>
        <w:tc>
          <w:tcPr>
            <w:tcW w:type="dxa" w:w="1201"/>
            <w:vAlign w:val="center"/>
          </w:tcPr>
          <w:p>
            <w:pPr>
              <w:spacing w:before="20" w:after="20" w:line="260" w:lineRule="auto"/>
              <w:ind w:firstLine="0"/>
              <w:jc w:val="center"/>
            </w:pPr>
            <w:r>
              <w:rPr>
                <w:sz w:val="20"/>
                <w:szCs w:val="20"/>
              </w:rPr>
              <w:t xml:space="preserve">15,31%</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1.407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3.253</w:t>
            </w:r>
          </w:p>
        </w:tc>
        <w:tc>
          <w:tcPr>
            <w:tcW w:type="dxa" w:w="1201"/>
            <w:vAlign w:val="center"/>
          </w:tcPr>
          <w:p>
            <w:pPr>
              <w:spacing w:before="20" w:after="20" w:line="260" w:lineRule="auto"/>
              <w:ind w:firstLine="0"/>
              <w:jc w:val="center"/>
            </w:pPr>
            <w:r>
              <w:rPr>
                <w:sz w:val="20"/>
                <w:szCs w:val="20"/>
              </w:rPr>
              <w:t xml:space="preserve">3.382</w:t>
            </w:r>
          </w:p>
        </w:tc>
        <w:tc>
          <w:tcPr>
            <w:tcW w:type="dxa" w:w="1201"/>
            <w:vAlign w:val="center"/>
          </w:tcPr>
          <w:p>
            <w:pPr>
              <w:spacing w:before="20" w:after="20" w:line="260" w:lineRule="auto"/>
              <w:ind w:firstLine="0"/>
              <w:jc w:val="center"/>
            </w:pPr>
            <w:r>
              <w:rPr>
                <w:sz w:val="20"/>
                <w:szCs w:val="20"/>
              </w:rPr>
              <w:t xml:space="preserve">16,95%</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1.627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2.655</w:t>
            </w:r>
          </w:p>
        </w:tc>
        <w:tc>
          <w:tcPr>
            <w:tcW w:type="dxa" w:w="1201"/>
            <w:vAlign w:val="center"/>
          </w:tcPr>
          <w:p>
            <w:pPr>
              <w:spacing w:before="20" w:after="20" w:line="260" w:lineRule="auto"/>
              <w:ind w:firstLine="0"/>
              <w:jc w:val="center"/>
            </w:pPr>
            <w:r>
              <w:rPr>
                <w:sz w:val="20"/>
                <w:szCs w:val="20"/>
              </w:rPr>
              <w:t xml:space="preserve">2.767</w:t>
            </w:r>
          </w:p>
        </w:tc>
        <w:tc>
          <w:tcPr>
            <w:tcW w:type="dxa" w:w="1201"/>
            <w:vAlign w:val="center"/>
          </w:tcPr>
          <w:p>
            <w:pPr>
              <w:spacing w:before="20" w:after="20" w:line="260" w:lineRule="auto"/>
              <w:ind w:firstLine="0"/>
              <w:jc w:val="center"/>
            </w:pPr>
            <w:r>
              <w:rPr>
                <w:sz w:val="20"/>
                <w:szCs w:val="20"/>
              </w:rPr>
              <w:t xml:space="preserve">12,53%</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1.336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2.607</w:t>
            </w:r>
          </w:p>
        </w:tc>
        <w:tc>
          <w:tcPr>
            <w:tcW w:type="dxa" w:w="1201"/>
            <w:vAlign w:val="center"/>
          </w:tcPr>
          <w:p>
            <w:pPr>
              <w:spacing w:before="20" w:after="20" w:line="260" w:lineRule="auto"/>
              <w:ind w:firstLine="0"/>
              <w:jc w:val="center"/>
            </w:pPr>
            <w:r>
              <w:rPr>
                <w:sz w:val="20"/>
                <w:szCs w:val="20"/>
              </w:rPr>
              <w:t xml:space="preserve">2.663</w:t>
            </w:r>
          </w:p>
        </w:tc>
        <w:tc>
          <w:tcPr>
            <w:tcW w:type="dxa" w:w="1201"/>
            <w:vAlign w:val="center"/>
          </w:tcPr>
          <w:p>
            <w:pPr>
              <w:spacing w:before="20" w:after="20" w:line="260" w:lineRule="auto"/>
              <w:ind w:firstLine="0"/>
              <w:jc w:val="center"/>
            </w:pPr>
            <w:r>
              <w:rPr>
                <w:sz w:val="20"/>
                <w:szCs w:val="20"/>
              </w:rPr>
              <w:t xml:space="preserve">15,05%</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1.260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2.375</w:t>
            </w:r>
          </w:p>
        </w:tc>
        <w:tc>
          <w:tcPr>
            <w:tcW w:type="dxa" w:w="1201"/>
            <w:vAlign w:val="center"/>
          </w:tcPr>
          <w:p>
            <w:pPr>
              <w:spacing w:before="20" w:after="20" w:line="260" w:lineRule="auto"/>
              <w:ind w:firstLine="0"/>
              <w:jc w:val="center"/>
            </w:pPr>
            <w:r>
              <w:rPr>
                <w:sz w:val="20"/>
                <w:szCs w:val="20"/>
              </w:rPr>
              <w:t xml:space="preserve">2.587</w:t>
            </w:r>
          </w:p>
        </w:tc>
        <w:tc>
          <w:tcPr>
            <w:tcW w:type="dxa" w:w="1201"/>
            <w:vAlign w:val="center"/>
          </w:tcPr>
          <w:p>
            <w:pPr>
              <w:spacing w:before="20" w:after="20" w:line="260" w:lineRule="auto"/>
              <w:ind w:firstLine="0"/>
              <w:jc w:val="center"/>
            </w:pPr>
            <w:r>
              <w:rPr>
                <w:sz w:val="20"/>
                <w:szCs w:val="20"/>
              </w:rPr>
              <w:t xml:space="preserve">12,66%</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1.244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1.926</w:t>
            </w:r>
          </w:p>
        </w:tc>
        <w:tc>
          <w:tcPr>
            <w:tcW w:type="dxa" w:w="1201"/>
            <w:vAlign w:val="center"/>
          </w:tcPr>
          <w:p>
            <w:pPr>
              <w:spacing w:before="20" w:after="20" w:line="260" w:lineRule="auto"/>
              <w:ind w:firstLine="0"/>
              <w:jc w:val="center"/>
            </w:pPr>
            <w:r>
              <w:rPr>
                <w:sz w:val="20"/>
                <w:szCs w:val="20"/>
              </w:rPr>
              <w:t xml:space="preserve">2.284</w:t>
            </w:r>
          </w:p>
        </w:tc>
        <w:tc>
          <w:tcPr>
            <w:tcW w:type="dxa" w:w="1201"/>
            <w:vAlign w:val="center"/>
          </w:tcPr>
          <w:p>
            <w:pPr>
              <w:spacing w:before="20" w:after="20" w:line="260" w:lineRule="auto"/>
              <w:ind w:firstLine="0"/>
              <w:jc w:val="center"/>
            </w:pPr>
            <w:r>
              <w:rPr>
                <w:sz w:val="20"/>
                <w:szCs w:val="20"/>
              </w:rPr>
              <w:t xml:space="preserve">20,48%</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1.156</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A.14. Cửa hàng 14 (Riobamba, Chimborazo; loại C, cụm 7)</w:t>
      </w:r>
    </w:p>
    <w:p>
      <w:pPr>
        <w:keepLines w:val="0"/>
        <w:spacing w:after="120"/>
        <w:ind w:firstLine="567"/>
      </w:pPr>
      <w:r>
        <w:t xml:space="preserve">Trong 16 ngày của tập kiểm tra cuối, cửa hàng 14 có tổng doanh số thực tế 136.648 (hạng 43/54 về quy mô) và tổng dự báo 131.168, tức dự báo thấp hơn thực tế 4,01%. WAPE của cửa hàng là 19,44% (hạng 44/54 từ thấp đến cao), MAE 50,299, RMSE 196,493 và bias 10,380. Độ bao phủ thực nghiệm của khoảng P10–P90 đạt 75,57% (hạng 26/54), so với mức danh nghĩa 80%. Nhóm có doanh số thực tế lớn nhất là GROCERY I (49.859; WAPE 11,60%; bao phủ 87,50%). Trong các nhóm có quy mô từ trung vị của cửa hàng trở lên, nhóm có WAPE thấp nhất là GROCERY I (11,60%). Có 3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103.913, 130.921 và 174.437; tổng lượng bổ sung gợi ý theo giả định là 69.701. Cửa hàng có 22 nhóm mang nhãn HIGH, 11 nhóm MEDIUM và 0 nhóm LOW. Bảng A.16 liệt kê mười nhóm có doanh số thực tế lớn nhất của cửa hàng.</w:t>
      </w:r>
    </w:p>
    <w:p>
      <w:pPr>
        <w:keepNext/>
        <w:spacing w:before="120" w:after="60"/>
        <w:ind w:firstLine="0"/>
        <w:jc w:val="center"/>
      </w:pPr>
      <w:r>
        <w:t xml:space="preserve">Bảng A.16. Mười nhóm sản phẩm có doanh số thực tế lớn nhất của cửa hàng 14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49.859</w:t>
            </w:r>
          </w:p>
        </w:tc>
        <w:tc>
          <w:tcPr>
            <w:tcW w:type="dxa" w:w="1201"/>
            <w:vAlign w:val="center"/>
          </w:tcPr>
          <w:p>
            <w:pPr>
              <w:spacing w:before="20" w:after="20" w:line="260" w:lineRule="auto"/>
              <w:ind w:firstLine="0"/>
              <w:jc w:val="center"/>
            </w:pPr>
            <w:r>
              <w:rPr>
                <w:sz w:val="20"/>
                <w:szCs w:val="20"/>
              </w:rPr>
              <w:t xml:space="preserve">48.031</w:t>
            </w:r>
          </w:p>
        </w:tc>
        <w:tc>
          <w:tcPr>
            <w:tcW w:type="dxa" w:w="1201"/>
            <w:vAlign w:val="center"/>
          </w:tcPr>
          <w:p>
            <w:pPr>
              <w:spacing w:before="20" w:after="20" w:line="260" w:lineRule="auto"/>
              <w:ind w:firstLine="0"/>
              <w:jc w:val="center"/>
            </w:pPr>
            <w:r>
              <w:rPr>
                <w:sz w:val="20"/>
                <w:szCs w:val="20"/>
              </w:rPr>
              <w:t xml:space="preserve">11,60%</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21.770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27.528</w:t>
            </w:r>
          </w:p>
        </w:tc>
        <w:tc>
          <w:tcPr>
            <w:tcW w:type="dxa" w:w="1201"/>
            <w:vAlign w:val="center"/>
          </w:tcPr>
          <w:p>
            <w:pPr>
              <w:spacing w:before="20" w:after="20" w:line="260" w:lineRule="auto"/>
              <w:ind w:firstLine="0"/>
              <w:jc w:val="center"/>
            </w:pPr>
            <w:r>
              <w:rPr>
                <w:sz w:val="20"/>
                <w:szCs w:val="20"/>
              </w:rPr>
              <w:t xml:space="preserve">25.007</w:t>
            </w:r>
          </w:p>
        </w:tc>
        <w:tc>
          <w:tcPr>
            <w:tcW w:type="dxa" w:w="1201"/>
            <w:vAlign w:val="center"/>
          </w:tcPr>
          <w:p>
            <w:pPr>
              <w:spacing w:before="20" w:after="20" w:line="260" w:lineRule="auto"/>
              <w:ind w:firstLine="0"/>
              <w:jc w:val="center"/>
            </w:pPr>
            <w:r>
              <w:rPr>
                <w:sz w:val="20"/>
                <w:szCs w:val="20"/>
              </w:rPr>
              <w:t xml:space="preserve">18,58%</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17.166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22.388</w:t>
            </w:r>
          </w:p>
        </w:tc>
        <w:tc>
          <w:tcPr>
            <w:tcW w:type="dxa" w:w="1201"/>
            <w:vAlign w:val="center"/>
          </w:tcPr>
          <w:p>
            <w:pPr>
              <w:spacing w:before="20" w:after="20" w:line="260" w:lineRule="auto"/>
              <w:ind w:firstLine="0"/>
              <w:jc w:val="center"/>
            </w:pPr>
            <w:r>
              <w:rPr>
                <w:sz w:val="20"/>
                <w:szCs w:val="20"/>
              </w:rPr>
              <w:t xml:space="preserve">17.822</w:t>
            </w:r>
          </w:p>
        </w:tc>
        <w:tc>
          <w:tcPr>
            <w:tcW w:type="dxa" w:w="1201"/>
            <w:vAlign w:val="center"/>
          </w:tcPr>
          <w:p>
            <w:pPr>
              <w:spacing w:before="20" w:after="20" w:line="260" w:lineRule="auto"/>
              <w:ind w:firstLine="0"/>
              <w:jc w:val="center"/>
            </w:pPr>
            <w:r>
              <w:rPr>
                <w:sz w:val="20"/>
                <w:szCs w:val="20"/>
              </w:rPr>
              <w:t xml:space="preserve">36,17%</w:t>
            </w:r>
          </w:p>
        </w:tc>
        <w:tc>
          <w:tcPr>
            <w:tcW w:type="dxa" w:w="1201"/>
            <w:vAlign w:val="center"/>
          </w:tcPr>
          <w:p>
            <w:pPr>
              <w:spacing w:before="20" w:after="20" w:line="260" w:lineRule="auto"/>
              <w:ind w:firstLine="0"/>
              <w:jc w:val="center"/>
            </w:pPr>
            <w:r>
              <w:rPr>
                <w:sz w:val="20"/>
                <w:szCs w:val="20"/>
              </w:rPr>
              <w:t xml:space="preserve">43,75%</w:t>
            </w:r>
          </w:p>
        </w:tc>
        <w:tc>
          <w:tcPr>
            <w:tcW w:type="dxa" w:w="1531"/>
            <w:vAlign w:val="center"/>
          </w:tcPr>
          <w:p>
            <w:pPr>
              <w:spacing w:before="20" w:after="20" w:line="260" w:lineRule="auto"/>
              <w:ind w:firstLine="0"/>
              <w:jc w:val="center"/>
            </w:pPr>
            <w:r>
              <w:rPr>
                <w:sz w:val="20"/>
                <w:szCs w:val="20"/>
              </w:rPr>
              <w:t xml:space="preserve">9.038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6.311</w:t>
            </w:r>
          </w:p>
        </w:tc>
        <w:tc>
          <w:tcPr>
            <w:tcW w:type="dxa" w:w="1201"/>
            <w:vAlign w:val="center"/>
          </w:tcPr>
          <w:p>
            <w:pPr>
              <w:spacing w:before="20" w:after="20" w:line="260" w:lineRule="auto"/>
              <w:ind w:firstLine="0"/>
              <w:jc w:val="center"/>
            </w:pPr>
            <w:r>
              <w:rPr>
                <w:sz w:val="20"/>
                <w:szCs w:val="20"/>
              </w:rPr>
              <w:t xml:space="preserve">7.387</w:t>
            </w:r>
          </w:p>
        </w:tc>
        <w:tc>
          <w:tcPr>
            <w:tcW w:type="dxa" w:w="1201"/>
            <w:vAlign w:val="center"/>
          </w:tcPr>
          <w:p>
            <w:pPr>
              <w:spacing w:before="20" w:after="20" w:line="260" w:lineRule="auto"/>
              <w:ind w:firstLine="0"/>
              <w:jc w:val="center"/>
            </w:pPr>
            <w:r>
              <w:rPr>
                <w:sz w:val="20"/>
                <w:szCs w:val="20"/>
              </w:rPr>
              <w:t xml:space="preserve">17,15%</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3.508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6.158</w:t>
            </w:r>
          </w:p>
        </w:tc>
        <w:tc>
          <w:tcPr>
            <w:tcW w:type="dxa" w:w="1201"/>
            <w:vAlign w:val="center"/>
          </w:tcPr>
          <w:p>
            <w:pPr>
              <w:spacing w:before="20" w:after="20" w:line="260" w:lineRule="auto"/>
              <w:ind w:firstLine="0"/>
              <w:jc w:val="center"/>
            </w:pPr>
            <w:r>
              <w:rPr>
                <w:sz w:val="20"/>
                <w:szCs w:val="20"/>
              </w:rPr>
              <w:t xml:space="preserve">6.933</w:t>
            </w:r>
          </w:p>
        </w:tc>
        <w:tc>
          <w:tcPr>
            <w:tcW w:type="dxa" w:w="1201"/>
            <w:vAlign w:val="center"/>
          </w:tcPr>
          <w:p>
            <w:pPr>
              <w:spacing w:before="20" w:after="20" w:line="260" w:lineRule="auto"/>
              <w:ind w:firstLine="0"/>
              <w:jc w:val="center"/>
            </w:pPr>
            <w:r>
              <w:rPr>
                <w:sz w:val="20"/>
                <w:szCs w:val="20"/>
              </w:rPr>
              <w:t xml:space="preserve">14,55%</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3.336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4.400</w:t>
            </w:r>
          </w:p>
        </w:tc>
        <w:tc>
          <w:tcPr>
            <w:tcW w:type="dxa" w:w="1201"/>
            <w:vAlign w:val="center"/>
          </w:tcPr>
          <w:p>
            <w:pPr>
              <w:spacing w:before="20" w:after="20" w:line="260" w:lineRule="auto"/>
              <w:ind w:firstLine="0"/>
              <w:jc w:val="center"/>
            </w:pPr>
            <w:r>
              <w:rPr>
                <w:sz w:val="20"/>
                <w:szCs w:val="20"/>
              </w:rPr>
              <w:t xml:space="preserve">4.366</w:t>
            </w:r>
          </w:p>
        </w:tc>
        <w:tc>
          <w:tcPr>
            <w:tcW w:type="dxa" w:w="1201"/>
            <w:vAlign w:val="center"/>
          </w:tcPr>
          <w:p>
            <w:pPr>
              <w:spacing w:before="20" w:after="20" w:line="260" w:lineRule="auto"/>
              <w:ind w:firstLine="0"/>
              <w:jc w:val="center"/>
            </w:pPr>
            <w:r>
              <w:rPr>
                <w:sz w:val="20"/>
                <w:szCs w:val="20"/>
              </w:rPr>
              <w:t xml:space="preserve">14,63%</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2.020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4.166</w:t>
            </w:r>
          </w:p>
        </w:tc>
        <w:tc>
          <w:tcPr>
            <w:tcW w:type="dxa" w:w="1201"/>
            <w:vAlign w:val="center"/>
          </w:tcPr>
          <w:p>
            <w:pPr>
              <w:spacing w:before="20" w:after="20" w:line="260" w:lineRule="auto"/>
              <w:ind w:firstLine="0"/>
              <w:jc w:val="center"/>
            </w:pPr>
            <w:r>
              <w:rPr>
                <w:sz w:val="20"/>
                <w:szCs w:val="20"/>
              </w:rPr>
              <w:t xml:space="preserve">4.550</w:t>
            </w:r>
          </w:p>
        </w:tc>
        <w:tc>
          <w:tcPr>
            <w:tcW w:type="dxa" w:w="1201"/>
            <w:vAlign w:val="center"/>
          </w:tcPr>
          <w:p>
            <w:pPr>
              <w:spacing w:before="20" w:after="20" w:line="260" w:lineRule="auto"/>
              <w:ind w:firstLine="0"/>
              <w:jc w:val="center"/>
            </w:pPr>
            <w:r>
              <w:rPr>
                <w:sz w:val="20"/>
                <w:szCs w:val="20"/>
              </w:rPr>
              <w:t xml:space="preserve">19,48%</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2.057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4.095</w:t>
            </w:r>
          </w:p>
        </w:tc>
        <w:tc>
          <w:tcPr>
            <w:tcW w:type="dxa" w:w="1201"/>
            <w:vAlign w:val="center"/>
          </w:tcPr>
          <w:p>
            <w:pPr>
              <w:spacing w:before="20" w:after="20" w:line="260" w:lineRule="auto"/>
              <w:ind w:firstLine="0"/>
              <w:jc w:val="center"/>
            </w:pPr>
            <w:r>
              <w:rPr>
                <w:sz w:val="20"/>
                <w:szCs w:val="20"/>
              </w:rPr>
              <w:t xml:space="preserve">4.517</w:t>
            </w:r>
          </w:p>
        </w:tc>
        <w:tc>
          <w:tcPr>
            <w:tcW w:type="dxa" w:w="1201"/>
            <w:vAlign w:val="center"/>
          </w:tcPr>
          <w:p>
            <w:pPr>
              <w:spacing w:before="20" w:after="20" w:line="260" w:lineRule="auto"/>
              <w:ind w:firstLine="0"/>
              <w:jc w:val="center"/>
            </w:pPr>
            <w:r>
              <w:rPr>
                <w:sz w:val="20"/>
                <w:szCs w:val="20"/>
              </w:rPr>
              <w:t xml:space="preserve">22,91%</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2.183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3.289</w:t>
            </w:r>
          </w:p>
        </w:tc>
        <w:tc>
          <w:tcPr>
            <w:tcW w:type="dxa" w:w="1201"/>
            <w:vAlign w:val="center"/>
          </w:tcPr>
          <w:p>
            <w:pPr>
              <w:spacing w:before="20" w:after="20" w:line="260" w:lineRule="auto"/>
              <w:ind w:firstLine="0"/>
              <w:jc w:val="center"/>
            </w:pPr>
            <w:r>
              <w:rPr>
                <w:sz w:val="20"/>
                <w:szCs w:val="20"/>
              </w:rPr>
              <w:t xml:space="preserve">3.630</w:t>
            </w:r>
          </w:p>
        </w:tc>
        <w:tc>
          <w:tcPr>
            <w:tcW w:type="dxa" w:w="1201"/>
            <w:vAlign w:val="center"/>
          </w:tcPr>
          <w:p>
            <w:pPr>
              <w:spacing w:before="20" w:after="20" w:line="260" w:lineRule="auto"/>
              <w:ind w:firstLine="0"/>
              <w:jc w:val="center"/>
            </w:pPr>
            <w:r>
              <w:rPr>
                <w:sz w:val="20"/>
                <w:szCs w:val="20"/>
              </w:rPr>
              <w:t xml:space="preserve">17,66%</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1.705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2.755</w:t>
            </w:r>
          </w:p>
        </w:tc>
        <w:tc>
          <w:tcPr>
            <w:tcW w:type="dxa" w:w="1201"/>
            <w:vAlign w:val="center"/>
          </w:tcPr>
          <w:p>
            <w:pPr>
              <w:spacing w:before="20" w:after="20" w:line="260" w:lineRule="auto"/>
              <w:ind w:firstLine="0"/>
              <w:jc w:val="center"/>
            </w:pPr>
            <w:r>
              <w:rPr>
                <w:sz w:val="20"/>
                <w:szCs w:val="20"/>
              </w:rPr>
              <w:t xml:space="preserve">2.756</w:t>
            </w:r>
          </w:p>
        </w:tc>
        <w:tc>
          <w:tcPr>
            <w:tcW w:type="dxa" w:w="1201"/>
            <w:vAlign w:val="center"/>
          </w:tcPr>
          <w:p>
            <w:pPr>
              <w:spacing w:before="20" w:after="20" w:line="260" w:lineRule="auto"/>
              <w:ind w:firstLine="0"/>
              <w:jc w:val="center"/>
            </w:pPr>
            <w:r>
              <w:rPr>
                <w:sz w:val="20"/>
                <w:szCs w:val="20"/>
              </w:rPr>
              <w:t xml:space="preserve">13,66%</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1.278</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A.15. Cửa hàng 15 (Ibarra, Imbabura; loại C, cụm 15)</w:t>
      </w:r>
    </w:p>
    <w:p>
      <w:pPr>
        <w:keepLines w:val="0"/>
        <w:spacing w:after="120"/>
        <w:ind w:firstLine="567"/>
      </w:pPr>
      <w:r>
        <w:t xml:space="preserve">Trong 16 ngày của tập kiểm tra cuối, cửa hàng 15 có tổng doanh số thực tế 125.263 (hạng 44/54 về quy mô) và tổng dự báo 131.328, tức dự báo cao hơn thực tế 4,84%. WAPE của cửa hàng là 14,43% (hạng 26/54 từ thấp đến cao), MAE 34,224, RMSE 80,685 và bias −11,486. Độ bao phủ thực nghiệm của khoảng P10–P90 đạt 75,38% (hạng 28/54), so với mức danh nghĩa 80%. Nhóm có doanh số thực tế lớn nhất là GROCERY I (44.134; WAPE 7,79%; bao phủ 93,75%). Trong các nhóm có quy mô từ trung vị của cửa hàng trở lên, nhóm có WAPE thấp nhất là GROCERY I (7,79%).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105.392, 131.121 và 171.923; tổng lượng bổ sung gợi ý theo giả định là 67.026. Cửa hàng có 20 nhóm mang nhãn HIGH, 12 nhóm MEDIUM và 1 nhóm LOW. Bảng A.17 liệt kê mười nhóm có doanh số thực tế lớn nhất của cửa hàng.</w:t>
      </w:r>
    </w:p>
    <w:p>
      <w:pPr>
        <w:keepNext/>
        <w:spacing w:before="120" w:after="60"/>
        <w:ind w:firstLine="0"/>
        <w:jc w:val="center"/>
      </w:pPr>
      <w:r>
        <w:t xml:space="preserve">Bảng A.17. Mười nhóm sản phẩm có doanh số thực tế lớn nhất của cửa hàng 15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44.134</w:t>
            </w:r>
          </w:p>
        </w:tc>
        <w:tc>
          <w:tcPr>
            <w:tcW w:type="dxa" w:w="1201"/>
            <w:vAlign w:val="center"/>
          </w:tcPr>
          <w:p>
            <w:pPr>
              <w:spacing w:before="20" w:after="20" w:line="260" w:lineRule="auto"/>
              <w:ind w:firstLine="0"/>
              <w:jc w:val="center"/>
            </w:pPr>
            <w:r>
              <w:rPr>
                <w:sz w:val="20"/>
                <w:szCs w:val="20"/>
              </w:rPr>
              <w:t xml:space="preserve">45.840</w:t>
            </w:r>
          </w:p>
        </w:tc>
        <w:tc>
          <w:tcPr>
            <w:tcW w:type="dxa" w:w="1201"/>
            <w:vAlign w:val="center"/>
          </w:tcPr>
          <w:p>
            <w:pPr>
              <w:spacing w:before="20" w:after="20" w:line="260" w:lineRule="auto"/>
              <w:ind w:firstLine="0"/>
              <w:jc w:val="center"/>
            </w:pPr>
            <w:r>
              <w:rPr>
                <w:sz w:val="20"/>
                <w:szCs w:val="20"/>
              </w:rPr>
              <w:t xml:space="preserve">7,79%</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21.332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27.965</w:t>
            </w:r>
          </w:p>
        </w:tc>
        <w:tc>
          <w:tcPr>
            <w:tcW w:type="dxa" w:w="1201"/>
            <w:vAlign w:val="center"/>
          </w:tcPr>
          <w:p>
            <w:pPr>
              <w:spacing w:before="20" w:after="20" w:line="260" w:lineRule="auto"/>
              <w:ind w:firstLine="0"/>
              <w:jc w:val="center"/>
            </w:pPr>
            <w:r>
              <w:rPr>
                <w:sz w:val="20"/>
                <w:szCs w:val="20"/>
              </w:rPr>
              <w:t xml:space="preserve">29.099</w:t>
            </w:r>
          </w:p>
        </w:tc>
        <w:tc>
          <w:tcPr>
            <w:tcW w:type="dxa" w:w="1201"/>
            <w:vAlign w:val="center"/>
          </w:tcPr>
          <w:p>
            <w:pPr>
              <w:spacing w:before="20" w:after="20" w:line="260" w:lineRule="auto"/>
              <w:ind w:firstLine="0"/>
              <w:jc w:val="center"/>
            </w:pPr>
            <w:r>
              <w:rPr>
                <w:sz w:val="20"/>
                <w:szCs w:val="20"/>
              </w:rPr>
              <w:t xml:space="preserve">10,14%</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17.984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15.427</w:t>
            </w:r>
          </w:p>
        </w:tc>
        <w:tc>
          <w:tcPr>
            <w:tcW w:type="dxa" w:w="1201"/>
            <w:vAlign w:val="center"/>
          </w:tcPr>
          <w:p>
            <w:pPr>
              <w:spacing w:before="20" w:after="20" w:line="260" w:lineRule="auto"/>
              <w:ind w:firstLine="0"/>
              <w:jc w:val="center"/>
            </w:pPr>
            <w:r>
              <w:rPr>
                <w:sz w:val="20"/>
                <w:szCs w:val="20"/>
              </w:rPr>
              <w:t xml:space="preserve">14.322</w:t>
            </w:r>
          </w:p>
        </w:tc>
        <w:tc>
          <w:tcPr>
            <w:tcW w:type="dxa" w:w="1201"/>
            <w:vAlign w:val="center"/>
          </w:tcPr>
          <w:p>
            <w:pPr>
              <w:spacing w:before="20" w:after="20" w:line="260" w:lineRule="auto"/>
              <w:ind w:firstLine="0"/>
              <w:jc w:val="center"/>
            </w:pPr>
            <w:r>
              <w:rPr>
                <w:sz w:val="20"/>
                <w:szCs w:val="20"/>
              </w:rPr>
              <w:t xml:space="preserve">20,59%</w:t>
            </w:r>
          </w:p>
        </w:tc>
        <w:tc>
          <w:tcPr>
            <w:tcW w:type="dxa" w:w="1201"/>
            <w:vAlign w:val="center"/>
          </w:tcPr>
          <w:p>
            <w:pPr>
              <w:spacing w:before="20" w:after="20" w:line="260" w:lineRule="auto"/>
              <w:ind w:firstLine="0"/>
              <w:jc w:val="center"/>
            </w:pPr>
            <w:r>
              <w:rPr>
                <w:sz w:val="20"/>
                <w:szCs w:val="20"/>
              </w:rPr>
              <w:t xml:space="preserve">43,75%</w:t>
            </w:r>
          </w:p>
        </w:tc>
        <w:tc>
          <w:tcPr>
            <w:tcW w:type="dxa" w:w="1531"/>
            <w:vAlign w:val="center"/>
          </w:tcPr>
          <w:p>
            <w:pPr>
              <w:spacing w:before="20" w:after="20" w:line="260" w:lineRule="auto"/>
              <w:ind w:firstLine="0"/>
              <w:jc w:val="center"/>
            </w:pPr>
            <w:r>
              <w:rPr>
                <w:sz w:val="20"/>
                <w:szCs w:val="20"/>
              </w:rPr>
              <w:t xml:space="preserve">5.296</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10.002</w:t>
            </w:r>
          </w:p>
        </w:tc>
        <w:tc>
          <w:tcPr>
            <w:tcW w:type="dxa" w:w="1201"/>
            <w:vAlign w:val="center"/>
          </w:tcPr>
          <w:p>
            <w:pPr>
              <w:spacing w:before="20" w:after="20" w:line="260" w:lineRule="auto"/>
              <w:ind w:firstLine="0"/>
              <w:jc w:val="center"/>
            </w:pPr>
            <w:r>
              <w:rPr>
                <w:sz w:val="20"/>
                <w:szCs w:val="20"/>
              </w:rPr>
              <w:t xml:space="preserve">11.764</w:t>
            </w:r>
          </w:p>
        </w:tc>
        <w:tc>
          <w:tcPr>
            <w:tcW w:type="dxa" w:w="1201"/>
            <w:vAlign w:val="center"/>
          </w:tcPr>
          <w:p>
            <w:pPr>
              <w:spacing w:before="20" w:after="20" w:line="260" w:lineRule="auto"/>
              <w:ind w:firstLine="0"/>
              <w:jc w:val="center"/>
            </w:pPr>
            <w:r>
              <w:rPr>
                <w:sz w:val="20"/>
                <w:szCs w:val="20"/>
              </w:rPr>
              <w:t xml:space="preserve">19,28%</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5.393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5.320</w:t>
            </w:r>
          </w:p>
        </w:tc>
        <w:tc>
          <w:tcPr>
            <w:tcW w:type="dxa" w:w="1201"/>
            <w:vAlign w:val="center"/>
          </w:tcPr>
          <w:p>
            <w:pPr>
              <w:spacing w:before="20" w:after="20" w:line="260" w:lineRule="auto"/>
              <w:ind w:firstLine="0"/>
              <w:jc w:val="center"/>
            </w:pPr>
            <w:r>
              <w:rPr>
                <w:sz w:val="20"/>
                <w:szCs w:val="20"/>
              </w:rPr>
              <w:t xml:space="preserve">6.333</w:t>
            </w:r>
          </w:p>
        </w:tc>
        <w:tc>
          <w:tcPr>
            <w:tcW w:type="dxa" w:w="1201"/>
            <w:vAlign w:val="center"/>
          </w:tcPr>
          <w:p>
            <w:pPr>
              <w:spacing w:before="20" w:after="20" w:line="260" w:lineRule="auto"/>
              <w:ind w:firstLine="0"/>
              <w:jc w:val="center"/>
            </w:pPr>
            <w:r>
              <w:rPr>
                <w:sz w:val="20"/>
                <w:szCs w:val="20"/>
              </w:rPr>
              <w:t xml:space="preserve">20,38%</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2.895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4.109</w:t>
            </w:r>
          </w:p>
        </w:tc>
        <w:tc>
          <w:tcPr>
            <w:tcW w:type="dxa" w:w="1201"/>
            <w:vAlign w:val="center"/>
          </w:tcPr>
          <w:p>
            <w:pPr>
              <w:spacing w:before="20" w:after="20" w:line="260" w:lineRule="auto"/>
              <w:ind w:firstLine="0"/>
              <w:jc w:val="center"/>
            </w:pPr>
            <w:r>
              <w:rPr>
                <w:sz w:val="20"/>
                <w:szCs w:val="20"/>
              </w:rPr>
              <w:t xml:space="preserve">4.723</w:t>
            </w:r>
          </w:p>
        </w:tc>
        <w:tc>
          <w:tcPr>
            <w:tcW w:type="dxa" w:w="1201"/>
            <w:vAlign w:val="center"/>
          </w:tcPr>
          <w:p>
            <w:pPr>
              <w:spacing w:before="20" w:after="20" w:line="260" w:lineRule="auto"/>
              <w:ind w:firstLine="0"/>
              <w:jc w:val="center"/>
            </w:pPr>
            <w:r>
              <w:rPr>
                <w:sz w:val="20"/>
                <w:szCs w:val="20"/>
              </w:rPr>
              <w:t xml:space="preserve">19,22%</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2.091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3.595</w:t>
            </w:r>
          </w:p>
        </w:tc>
        <w:tc>
          <w:tcPr>
            <w:tcW w:type="dxa" w:w="1201"/>
            <w:vAlign w:val="center"/>
          </w:tcPr>
          <w:p>
            <w:pPr>
              <w:spacing w:before="20" w:after="20" w:line="260" w:lineRule="auto"/>
              <w:ind w:firstLine="0"/>
              <w:jc w:val="center"/>
            </w:pPr>
            <w:r>
              <w:rPr>
                <w:sz w:val="20"/>
                <w:szCs w:val="20"/>
              </w:rPr>
              <w:t xml:space="preserve">3.726</w:t>
            </w:r>
          </w:p>
        </w:tc>
        <w:tc>
          <w:tcPr>
            <w:tcW w:type="dxa" w:w="1201"/>
            <w:vAlign w:val="center"/>
          </w:tcPr>
          <w:p>
            <w:pPr>
              <w:spacing w:before="20" w:after="20" w:line="260" w:lineRule="auto"/>
              <w:ind w:firstLine="0"/>
              <w:jc w:val="center"/>
            </w:pPr>
            <w:r>
              <w:rPr>
                <w:sz w:val="20"/>
                <w:szCs w:val="20"/>
              </w:rPr>
              <w:t xml:space="preserve">14,30%</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1.864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3.202</w:t>
            </w:r>
          </w:p>
        </w:tc>
        <w:tc>
          <w:tcPr>
            <w:tcW w:type="dxa" w:w="1201"/>
            <w:vAlign w:val="center"/>
          </w:tcPr>
          <w:p>
            <w:pPr>
              <w:spacing w:before="20" w:after="20" w:line="260" w:lineRule="auto"/>
              <w:ind w:firstLine="0"/>
              <w:jc w:val="center"/>
            </w:pPr>
            <w:r>
              <w:rPr>
                <w:sz w:val="20"/>
                <w:szCs w:val="20"/>
              </w:rPr>
              <w:t xml:space="preserve">3.128</w:t>
            </w:r>
          </w:p>
        </w:tc>
        <w:tc>
          <w:tcPr>
            <w:tcW w:type="dxa" w:w="1201"/>
            <w:vAlign w:val="center"/>
          </w:tcPr>
          <w:p>
            <w:pPr>
              <w:spacing w:before="20" w:after="20" w:line="260" w:lineRule="auto"/>
              <w:ind w:firstLine="0"/>
              <w:jc w:val="center"/>
            </w:pPr>
            <w:r>
              <w:rPr>
                <w:sz w:val="20"/>
                <w:szCs w:val="20"/>
              </w:rPr>
              <w:t xml:space="preserve">21,40%</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1.520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2.498</w:t>
            </w:r>
          </w:p>
        </w:tc>
        <w:tc>
          <w:tcPr>
            <w:tcW w:type="dxa" w:w="1201"/>
            <w:vAlign w:val="center"/>
          </w:tcPr>
          <w:p>
            <w:pPr>
              <w:spacing w:before="20" w:after="20" w:line="260" w:lineRule="auto"/>
              <w:ind w:firstLine="0"/>
              <w:jc w:val="center"/>
            </w:pPr>
            <w:r>
              <w:rPr>
                <w:sz w:val="20"/>
                <w:szCs w:val="20"/>
              </w:rPr>
              <w:t xml:space="preserve">2.726</w:t>
            </w:r>
          </w:p>
        </w:tc>
        <w:tc>
          <w:tcPr>
            <w:tcW w:type="dxa" w:w="1201"/>
            <w:vAlign w:val="center"/>
          </w:tcPr>
          <w:p>
            <w:pPr>
              <w:spacing w:before="20" w:after="20" w:line="260" w:lineRule="auto"/>
              <w:ind w:firstLine="0"/>
              <w:jc w:val="center"/>
            </w:pPr>
            <w:r>
              <w:rPr>
                <w:sz w:val="20"/>
                <w:szCs w:val="20"/>
              </w:rPr>
              <w:t xml:space="preserve">17,49%</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1.300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2.098</w:t>
            </w:r>
          </w:p>
        </w:tc>
        <w:tc>
          <w:tcPr>
            <w:tcW w:type="dxa" w:w="1201"/>
            <w:vAlign w:val="center"/>
          </w:tcPr>
          <w:p>
            <w:pPr>
              <w:spacing w:before="20" w:after="20" w:line="260" w:lineRule="auto"/>
              <w:ind w:firstLine="0"/>
              <w:jc w:val="center"/>
            </w:pPr>
            <w:r>
              <w:rPr>
                <w:sz w:val="20"/>
                <w:szCs w:val="20"/>
              </w:rPr>
              <w:t xml:space="preserve">2.201</w:t>
            </w:r>
          </w:p>
        </w:tc>
        <w:tc>
          <w:tcPr>
            <w:tcW w:type="dxa" w:w="1201"/>
            <w:vAlign w:val="center"/>
          </w:tcPr>
          <w:p>
            <w:pPr>
              <w:spacing w:before="20" w:after="20" w:line="260" w:lineRule="auto"/>
              <w:ind w:firstLine="0"/>
              <w:jc w:val="center"/>
            </w:pPr>
            <w:r>
              <w:rPr>
                <w:sz w:val="20"/>
                <w:szCs w:val="20"/>
              </w:rPr>
              <w:t xml:space="preserve">17,23%</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1.139</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A.16. Cửa hàng 16 (Santo Domingo, Santo Domingo de los Tsachilas; loại C, cụm 3)</w:t>
      </w:r>
    </w:p>
    <w:p>
      <w:pPr>
        <w:keepLines w:val="0"/>
        <w:spacing w:after="120"/>
        <w:ind w:firstLine="567"/>
      </w:pPr>
      <w:r>
        <w:t xml:space="preserve">Trong 16 ngày của tập kiểm tra cuối, cửa hàng 16 có tổng doanh số thực tế 104.594 (hạng 51/54 về quy mô) và tổng dự báo 105.888, tức dự báo cao hơn thực tế 1,24%. WAPE của cửa hàng là 17,30% (hạng 38/54 từ thấp đến cao), MAE 34,277, RMSE 99,500 và bias −2,450. Độ bao phủ thực nghiệm của khoảng P10–P90 đạt 78,98% (hạng 9/54), so với mức danh nghĩa 80%. Nhóm có doanh số thực tế lớn nhất là GROCERY I (35.369; WAPE 10,81%; bao phủ 87,50%). Trong các nhóm có quy mô từ trung vị của cửa hàng trở lên, nhóm có WAPE thấp nhất là PRODUCE (7,60%). Có 4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82.344, 105.674 và 143.112; tổng lượng bổ sung gợi ý theo giả định là 58.573. Cửa hàng có 23 nhóm mang nhãn HIGH, 10 nhóm MEDIUM và 0 nhóm LOW. Bảng A.18 liệt kê mười nhóm có doanh số thực tế lớn nhất của cửa hàng.</w:t>
      </w:r>
    </w:p>
    <w:p>
      <w:pPr>
        <w:keepNext/>
        <w:spacing w:before="120" w:after="60"/>
        <w:ind w:firstLine="0"/>
        <w:jc w:val="center"/>
      </w:pPr>
      <w:r>
        <w:t xml:space="preserve">Bảng A.18. Mười nhóm sản phẩm có doanh số thực tế lớn nhất của cửa hàng 16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35.369</w:t>
            </w:r>
          </w:p>
        </w:tc>
        <w:tc>
          <w:tcPr>
            <w:tcW w:type="dxa" w:w="1201"/>
            <w:vAlign w:val="center"/>
          </w:tcPr>
          <w:p>
            <w:pPr>
              <w:spacing w:before="20" w:after="20" w:line="260" w:lineRule="auto"/>
              <w:ind w:firstLine="0"/>
              <w:jc w:val="center"/>
            </w:pPr>
            <w:r>
              <w:rPr>
                <w:sz w:val="20"/>
                <w:szCs w:val="20"/>
              </w:rPr>
              <w:t xml:space="preserve">35.841</w:t>
            </w:r>
          </w:p>
        </w:tc>
        <w:tc>
          <w:tcPr>
            <w:tcW w:type="dxa" w:w="1201"/>
            <w:vAlign w:val="center"/>
          </w:tcPr>
          <w:p>
            <w:pPr>
              <w:spacing w:before="20" w:after="20" w:line="260" w:lineRule="auto"/>
              <w:ind w:firstLine="0"/>
              <w:jc w:val="center"/>
            </w:pPr>
            <w:r>
              <w:rPr>
                <w:sz w:val="20"/>
                <w:szCs w:val="20"/>
              </w:rPr>
              <w:t xml:space="preserve">10,81%</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19.333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24.542</w:t>
            </w:r>
          </w:p>
        </w:tc>
        <w:tc>
          <w:tcPr>
            <w:tcW w:type="dxa" w:w="1201"/>
            <w:vAlign w:val="center"/>
          </w:tcPr>
          <w:p>
            <w:pPr>
              <w:spacing w:before="20" w:after="20" w:line="260" w:lineRule="auto"/>
              <w:ind w:firstLine="0"/>
              <w:jc w:val="center"/>
            </w:pPr>
            <w:r>
              <w:rPr>
                <w:sz w:val="20"/>
                <w:szCs w:val="20"/>
              </w:rPr>
              <w:t xml:space="preserve">22.830</w:t>
            </w:r>
          </w:p>
        </w:tc>
        <w:tc>
          <w:tcPr>
            <w:tcW w:type="dxa" w:w="1201"/>
            <w:vAlign w:val="center"/>
          </w:tcPr>
          <w:p>
            <w:pPr>
              <w:spacing w:before="20" w:after="20" w:line="260" w:lineRule="auto"/>
              <w:ind w:firstLine="0"/>
              <w:jc w:val="center"/>
            </w:pPr>
            <w:r>
              <w:rPr>
                <w:sz w:val="20"/>
                <w:szCs w:val="20"/>
              </w:rPr>
              <w:t xml:space="preserve">17,68%</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15.514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13.600</w:t>
            </w:r>
          </w:p>
        </w:tc>
        <w:tc>
          <w:tcPr>
            <w:tcW w:type="dxa" w:w="1201"/>
            <w:vAlign w:val="center"/>
          </w:tcPr>
          <w:p>
            <w:pPr>
              <w:spacing w:before="20" w:after="20" w:line="260" w:lineRule="auto"/>
              <w:ind w:firstLine="0"/>
              <w:jc w:val="center"/>
            </w:pPr>
            <w:r>
              <w:rPr>
                <w:sz w:val="20"/>
                <w:szCs w:val="20"/>
              </w:rPr>
              <w:t xml:space="preserve">15.094</w:t>
            </w:r>
          </w:p>
        </w:tc>
        <w:tc>
          <w:tcPr>
            <w:tcW w:type="dxa" w:w="1201"/>
            <w:vAlign w:val="center"/>
          </w:tcPr>
          <w:p>
            <w:pPr>
              <w:spacing w:before="20" w:after="20" w:line="260" w:lineRule="auto"/>
              <w:ind w:firstLine="0"/>
              <w:jc w:val="center"/>
            </w:pPr>
            <w:r>
              <w:rPr>
                <w:sz w:val="20"/>
                <w:szCs w:val="20"/>
              </w:rPr>
              <w:t xml:space="preserve">32,02%</w:t>
            </w:r>
          </w:p>
        </w:tc>
        <w:tc>
          <w:tcPr>
            <w:tcW w:type="dxa" w:w="1201"/>
            <w:vAlign w:val="center"/>
          </w:tcPr>
          <w:p>
            <w:pPr>
              <w:spacing w:before="20" w:after="20" w:line="260" w:lineRule="auto"/>
              <w:ind w:firstLine="0"/>
              <w:jc w:val="center"/>
            </w:pPr>
            <w:r>
              <w:rPr>
                <w:sz w:val="20"/>
                <w:szCs w:val="20"/>
              </w:rPr>
              <w:t xml:space="preserve">37,50%</w:t>
            </w:r>
          </w:p>
        </w:tc>
        <w:tc>
          <w:tcPr>
            <w:tcW w:type="dxa" w:w="1531"/>
            <w:vAlign w:val="center"/>
          </w:tcPr>
          <w:p>
            <w:pPr>
              <w:spacing w:before="20" w:after="20" w:line="260" w:lineRule="auto"/>
              <w:ind w:firstLine="0"/>
              <w:jc w:val="center"/>
            </w:pPr>
            <w:r>
              <w:rPr>
                <w:sz w:val="20"/>
                <w:szCs w:val="20"/>
              </w:rPr>
              <w:t xml:space="preserve">6.059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9.273</w:t>
            </w:r>
          </w:p>
        </w:tc>
        <w:tc>
          <w:tcPr>
            <w:tcW w:type="dxa" w:w="1201"/>
            <w:vAlign w:val="center"/>
          </w:tcPr>
          <w:p>
            <w:pPr>
              <w:spacing w:before="20" w:after="20" w:line="260" w:lineRule="auto"/>
              <w:ind w:firstLine="0"/>
              <w:jc w:val="center"/>
            </w:pPr>
            <w:r>
              <w:rPr>
                <w:sz w:val="20"/>
                <w:szCs w:val="20"/>
              </w:rPr>
              <w:t xml:space="preserve">9.691</w:t>
            </w:r>
          </w:p>
        </w:tc>
        <w:tc>
          <w:tcPr>
            <w:tcW w:type="dxa" w:w="1201"/>
            <w:vAlign w:val="center"/>
          </w:tcPr>
          <w:p>
            <w:pPr>
              <w:spacing w:before="20" w:after="20" w:line="260" w:lineRule="auto"/>
              <w:ind w:firstLine="0"/>
              <w:jc w:val="center"/>
            </w:pPr>
            <w:r>
              <w:rPr>
                <w:sz w:val="20"/>
                <w:szCs w:val="20"/>
              </w:rPr>
              <w:t xml:space="preserve">7,60%</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4.370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4.214</w:t>
            </w:r>
          </w:p>
        </w:tc>
        <w:tc>
          <w:tcPr>
            <w:tcW w:type="dxa" w:w="1201"/>
            <w:vAlign w:val="center"/>
          </w:tcPr>
          <w:p>
            <w:pPr>
              <w:spacing w:before="20" w:after="20" w:line="260" w:lineRule="auto"/>
              <w:ind w:firstLine="0"/>
              <w:jc w:val="center"/>
            </w:pPr>
            <w:r>
              <w:rPr>
                <w:sz w:val="20"/>
                <w:szCs w:val="20"/>
              </w:rPr>
              <w:t xml:space="preserve">4.413</w:t>
            </w:r>
          </w:p>
        </w:tc>
        <w:tc>
          <w:tcPr>
            <w:tcW w:type="dxa" w:w="1201"/>
            <w:vAlign w:val="center"/>
          </w:tcPr>
          <w:p>
            <w:pPr>
              <w:spacing w:before="20" w:after="20" w:line="260" w:lineRule="auto"/>
              <w:ind w:firstLine="0"/>
              <w:jc w:val="center"/>
            </w:pPr>
            <w:r>
              <w:rPr>
                <w:sz w:val="20"/>
                <w:szCs w:val="20"/>
              </w:rPr>
              <w:t xml:space="preserve">9,15%</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2.029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EGGS</w:t>
            </w:r>
          </w:p>
        </w:tc>
        <w:tc>
          <w:tcPr>
            <w:tcW w:type="dxa" w:w="1201"/>
            <w:vAlign w:val="center"/>
          </w:tcPr>
          <w:p>
            <w:pPr>
              <w:spacing w:before="20" w:after="20" w:line="260" w:lineRule="auto"/>
              <w:ind w:firstLine="0"/>
              <w:jc w:val="center"/>
            </w:pPr>
            <w:r>
              <w:rPr>
                <w:sz w:val="20"/>
                <w:szCs w:val="20"/>
              </w:rPr>
              <w:t xml:space="preserve">2.857</w:t>
            </w:r>
          </w:p>
        </w:tc>
        <w:tc>
          <w:tcPr>
            <w:tcW w:type="dxa" w:w="1201"/>
            <w:vAlign w:val="center"/>
          </w:tcPr>
          <w:p>
            <w:pPr>
              <w:spacing w:before="20" w:after="20" w:line="260" w:lineRule="auto"/>
              <w:ind w:firstLine="0"/>
              <w:jc w:val="center"/>
            </w:pPr>
            <w:r>
              <w:rPr>
                <w:sz w:val="20"/>
                <w:szCs w:val="20"/>
              </w:rPr>
              <w:t xml:space="preserve">2.512</w:t>
            </w:r>
          </w:p>
        </w:tc>
        <w:tc>
          <w:tcPr>
            <w:tcW w:type="dxa" w:w="1201"/>
            <w:vAlign w:val="center"/>
          </w:tcPr>
          <w:p>
            <w:pPr>
              <w:spacing w:before="20" w:after="20" w:line="260" w:lineRule="auto"/>
              <w:ind w:firstLine="0"/>
              <w:jc w:val="center"/>
            </w:pPr>
            <w:r>
              <w:rPr>
                <w:sz w:val="20"/>
                <w:szCs w:val="20"/>
              </w:rPr>
              <w:t xml:space="preserve">27,75%</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1.313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2.658</w:t>
            </w:r>
          </w:p>
        </w:tc>
        <w:tc>
          <w:tcPr>
            <w:tcW w:type="dxa" w:w="1201"/>
            <w:vAlign w:val="center"/>
          </w:tcPr>
          <w:p>
            <w:pPr>
              <w:spacing w:before="20" w:after="20" w:line="260" w:lineRule="auto"/>
              <w:ind w:firstLine="0"/>
              <w:jc w:val="center"/>
            </w:pPr>
            <w:r>
              <w:rPr>
                <w:sz w:val="20"/>
                <w:szCs w:val="20"/>
              </w:rPr>
              <w:t xml:space="preserve">2.995</w:t>
            </w:r>
          </w:p>
        </w:tc>
        <w:tc>
          <w:tcPr>
            <w:tcW w:type="dxa" w:w="1201"/>
            <w:vAlign w:val="center"/>
          </w:tcPr>
          <w:p>
            <w:pPr>
              <w:spacing w:before="20" w:after="20" w:line="260" w:lineRule="auto"/>
              <w:ind w:firstLine="0"/>
              <w:jc w:val="center"/>
            </w:pPr>
            <w:r>
              <w:rPr>
                <w:sz w:val="20"/>
                <w:szCs w:val="20"/>
              </w:rPr>
              <w:t xml:space="preserve">15,29%</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1.438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2.625</w:t>
            </w:r>
          </w:p>
        </w:tc>
        <w:tc>
          <w:tcPr>
            <w:tcW w:type="dxa" w:w="1201"/>
            <w:vAlign w:val="center"/>
          </w:tcPr>
          <w:p>
            <w:pPr>
              <w:spacing w:before="20" w:after="20" w:line="260" w:lineRule="auto"/>
              <w:ind w:firstLine="0"/>
              <w:jc w:val="center"/>
            </w:pPr>
            <w:r>
              <w:rPr>
                <w:sz w:val="20"/>
                <w:szCs w:val="20"/>
              </w:rPr>
              <w:t xml:space="preserve">2.841</w:t>
            </w:r>
          </w:p>
        </w:tc>
        <w:tc>
          <w:tcPr>
            <w:tcW w:type="dxa" w:w="1201"/>
            <w:vAlign w:val="center"/>
          </w:tcPr>
          <w:p>
            <w:pPr>
              <w:spacing w:before="20" w:after="20" w:line="260" w:lineRule="auto"/>
              <w:ind w:firstLine="0"/>
              <w:jc w:val="center"/>
            </w:pPr>
            <w:r>
              <w:rPr>
                <w:sz w:val="20"/>
                <w:szCs w:val="20"/>
              </w:rPr>
              <w:t xml:space="preserve">15,47%</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1.379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2.569</w:t>
            </w:r>
          </w:p>
        </w:tc>
        <w:tc>
          <w:tcPr>
            <w:tcW w:type="dxa" w:w="1201"/>
            <w:vAlign w:val="center"/>
          </w:tcPr>
          <w:p>
            <w:pPr>
              <w:spacing w:before="20" w:after="20" w:line="260" w:lineRule="auto"/>
              <w:ind w:firstLine="0"/>
              <w:jc w:val="center"/>
            </w:pPr>
            <w:r>
              <w:rPr>
                <w:sz w:val="20"/>
                <w:szCs w:val="20"/>
              </w:rPr>
              <w:t xml:space="preserve">2.538</w:t>
            </w:r>
          </w:p>
        </w:tc>
        <w:tc>
          <w:tcPr>
            <w:tcW w:type="dxa" w:w="1201"/>
            <w:vAlign w:val="center"/>
          </w:tcPr>
          <w:p>
            <w:pPr>
              <w:spacing w:before="20" w:after="20" w:line="260" w:lineRule="auto"/>
              <w:ind w:firstLine="0"/>
              <w:jc w:val="center"/>
            </w:pPr>
            <w:r>
              <w:rPr>
                <w:sz w:val="20"/>
                <w:szCs w:val="20"/>
              </w:rPr>
              <w:t xml:space="preserve">16,21%</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1.263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2.233</w:t>
            </w:r>
          </w:p>
        </w:tc>
        <w:tc>
          <w:tcPr>
            <w:tcW w:type="dxa" w:w="1201"/>
            <w:vAlign w:val="center"/>
          </w:tcPr>
          <w:p>
            <w:pPr>
              <w:spacing w:before="20" w:after="20" w:line="260" w:lineRule="auto"/>
              <w:ind w:firstLine="0"/>
              <w:jc w:val="center"/>
            </w:pPr>
            <w:r>
              <w:rPr>
                <w:sz w:val="20"/>
                <w:szCs w:val="20"/>
              </w:rPr>
              <w:t xml:space="preserve">2.366</w:t>
            </w:r>
          </w:p>
        </w:tc>
        <w:tc>
          <w:tcPr>
            <w:tcW w:type="dxa" w:w="1201"/>
            <w:vAlign w:val="center"/>
          </w:tcPr>
          <w:p>
            <w:pPr>
              <w:spacing w:before="20" w:after="20" w:line="260" w:lineRule="auto"/>
              <w:ind w:firstLine="0"/>
              <w:jc w:val="center"/>
            </w:pPr>
            <w:r>
              <w:rPr>
                <w:sz w:val="20"/>
                <w:szCs w:val="20"/>
              </w:rPr>
              <w:t xml:space="preserve">14,75%</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1.228</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A.17. Cửa hàng 17 (Quito, Pichincha; loại C, cụm 12)</w:t>
      </w:r>
    </w:p>
    <w:p>
      <w:pPr>
        <w:keepLines w:val="0"/>
        <w:spacing w:after="120"/>
        <w:ind w:firstLine="567"/>
      </w:pPr>
      <w:r>
        <w:t xml:space="preserve">Trong 16 ngày của tập kiểm tra cuối, cửa hàng 17 có tổng doanh số thực tế 220.880 (hạng 25/54 về quy mô) và tổng dự báo 231.242, tức dự báo cao hơn thực tế 4,69%. WAPE của cửa hàng là 11,18% (hạng 11/54 từ thấp đến cao), MAE 46,766, RMSE 119,100 và bias −19,624. Độ bao phủ thực nghiệm của khoảng P10–P90 đạt 78,79% (hạng 11/54), so với mức danh nghĩa 80%. Nhóm có doanh số thực tế lớn nhất là GROCERY I (73.770; WAPE 5,58%; bao phủ 81,25%). Trong các nhóm có quy mô từ trung vị của cửa hàng trở lên, nhóm có WAPE thấp nhất là GROCERY I (5,58%).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195.798, 231.002 và 287.693; tổng lượng bổ sung gợi ý theo giả định là 102.892. Cửa hàng có 20 nhóm mang nhãn HIGH, 10 nhóm MEDIUM và 3 nhóm LOW. Bảng A.19 liệt kê mười nhóm có doanh số thực tế lớn nhất của cửa hàng.</w:t>
      </w:r>
    </w:p>
    <w:p>
      <w:pPr>
        <w:keepNext/>
        <w:spacing w:before="120" w:after="60"/>
        <w:ind w:firstLine="0"/>
        <w:jc w:val="center"/>
      </w:pPr>
      <w:r>
        <w:t xml:space="preserve">Bảng A.19. Mười nhóm sản phẩm có doanh số thực tế lớn nhất của cửa hàng 17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73.770</w:t>
            </w:r>
          </w:p>
        </w:tc>
        <w:tc>
          <w:tcPr>
            <w:tcW w:type="dxa" w:w="1201"/>
            <w:vAlign w:val="center"/>
          </w:tcPr>
          <w:p>
            <w:pPr>
              <w:spacing w:before="20" w:after="20" w:line="260" w:lineRule="auto"/>
              <w:ind w:firstLine="0"/>
              <w:jc w:val="center"/>
            </w:pPr>
            <w:r>
              <w:rPr>
                <w:sz w:val="20"/>
                <w:szCs w:val="20"/>
              </w:rPr>
              <w:t xml:space="preserve">74.538</w:t>
            </w:r>
          </w:p>
        </w:tc>
        <w:tc>
          <w:tcPr>
            <w:tcW w:type="dxa" w:w="1201"/>
            <w:vAlign w:val="center"/>
          </w:tcPr>
          <w:p>
            <w:pPr>
              <w:spacing w:before="20" w:after="20" w:line="260" w:lineRule="auto"/>
              <w:ind w:firstLine="0"/>
              <w:jc w:val="center"/>
            </w:pPr>
            <w:r>
              <w:rPr>
                <w:sz w:val="20"/>
                <w:szCs w:val="20"/>
              </w:rPr>
              <w:t xml:space="preserve">5,58%</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27.072</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49.469</w:t>
            </w:r>
          </w:p>
        </w:tc>
        <w:tc>
          <w:tcPr>
            <w:tcW w:type="dxa" w:w="1201"/>
            <w:vAlign w:val="center"/>
          </w:tcPr>
          <w:p>
            <w:pPr>
              <w:spacing w:before="20" w:after="20" w:line="260" w:lineRule="auto"/>
              <w:ind w:firstLine="0"/>
              <w:jc w:val="center"/>
            </w:pPr>
            <w:r>
              <w:rPr>
                <w:sz w:val="20"/>
                <w:szCs w:val="20"/>
              </w:rPr>
              <w:t xml:space="preserve">55.218</w:t>
            </w:r>
          </w:p>
        </w:tc>
        <w:tc>
          <w:tcPr>
            <w:tcW w:type="dxa" w:w="1201"/>
            <w:vAlign w:val="center"/>
          </w:tcPr>
          <w:p>
            <w:pPr>
              <w:spacing w:before="20" w:after="20" w:line="260" w:lineRule="auto"/>
              <w:ind w:firstLine="0"/>
              <w:jc w:val="center"/>
            </w:pPr>
            <w:r>
              <w:rPr>
                <w:sz w:val="20"/>
                <w:szCs w:val="20"/>
              </w:rPr>
              <w:t xml:space="preserve">12,27%</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23.208</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23.679</w:t>
            </w:r>
          </w:p>
        </w:tc>
        <w:tc>
          <w:tcPr>
            <w:tcW w:type="dxa" w:w="1201"/>
            <w:vAlign w:val="center"/>
          </w:tcPr>
          <w:p>
            <w:pPr>
              <w:spacing w:before="20" w:after="20" w:line="260" w:lineRule="auto"/>
              <w:ind w:firstLine="0"/>
              <w:jc w:val="center"/>
            </w:pPr>
            <w:r>
              <w:rPr>
                <w:sz w:val="20"/>
                <w:szCs w:val="20"/>
              </w:rPr>
              <w:t xml:space="preserve">25.728</w:t>
            </w:r>
          </w:p>
        </w:tc>
        <w:tc>
          <w:tcPr>
            <w:tcW w:type="dxa" w:w="1201"/>
            <w:vAlign w:val="center"/>
          </w:tcPr>
          <w:p>
            <w:pPr>
              <w:spacing w:before="20" w:after="20" w:line="260" w:lineRule="auto"/>
              <w:ind w:firstLine="0"/>
              <w:jc w:val="center"/>
            </w:pPr>
            <w:r>
              <w:rPr>
                <w:sz w:val="20"/>
                <w:szCs w:val="20"/>
              </w:rPr>
              <w:t xml:space="preserve">10,27%</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16.093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19.908</w:t>
            </w:r>
          </w:p>
        </w:tc>
        <w:tc>
          <w:tcPr>
            <w:tcW w:type="dxa" w:w="1201"/>
            <w:vAlign w:val="center"/>
          </w:tcPr>
          <w:p>
            <w:pPr>
              <w:spacing w:before="20" w:after="20" w:line="260" w:lineRule="auto"/>
              <w:ind w:firstLine="0"/>
              <w:jc w:val="center"/>
            </w:pPr>
            <w:r>
              <w:rPr>
                <w:sz w:val="20"/>
                <w:szCs w:val="20"/>
              </w:rPr>
              <w:t xml:space="preserve">18.252</w:t>
            </w:r>
          </w:p>
        </w:tc>
        <w:tc>
          <w:tcPr>
            <w:tcW w:type="dxa" w:w="1201"/>
            <w:vAlign w:val="center"/>
          </w:tcPr>
          <w:p>
            <w:pPr>
              <w:spacing w:before="20" w:after="20" w:line="260" w:lineRule="auto"/>
              <w:ind w:firstLine="0"/>
              <w:jc w:val="center"/>
            </w:pPr>
            <w:r>
              <w:rPr>
                <w:sz w:val="20"/>
                <w:szCs w:val="20"/>
              </w:rPr>
              <w:t xml:space="preserve">16,51%</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8.515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11.906</w:t>
            </w:r>
          </w:p>
        </w:tc>
        <w:tc>
          <w:tcPr>
            <w:tcW w:type="dxa" w:w="1201"/>
            <w:vAlign w:val="center"/>
          </w:tcPr>
          <w:p>
            <w:pPr>
              <w:spacing w:before="20" w:after="20" w:line="260" w:lineRule="auto"/>
              <w:ind w:firstLine="0"/>
              <w:jc w:val="center"/>
            </w:pPr>
            <w:r>
              <w:rPr>
                <w:sz w:val="20"/>
                <w:szCs w:val="20"/>
              </w:rPr>
              <w:t xml:space="preserve">12.964</w:t>
            </w:r>
          </w:p>
        </w:tc>
        <w:tc>
          <w:tcPr>
            <w:tcW w:type="dxa" w:w="1201"/>
            <w:vAlign w:val="center"/>
          </w:tcPr>
          <w:p>
            <w:pPr>
              <w:spacing w:before="20" w:after="20" w:line="260" w:lineRule="auto"/>
              <w:ind w:firstLine="0"/>
              <w:jc w:val="center"/>
            </w:pPr>
            <w:r>
              <w:rPr>
                <w:sz w:val="20"/>
                <w:szCs w:val="20"/>
              </w:rPr>
              <w:t xml:space="preserve">13,24%</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5.025</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8.227</w:t>
            </w:r>
          </w:p>
        </w:tc>
        <w:tc>
          <w:tcPr>
            <w:tcW w:type="dxa" w:w="1201"/>
            <w:vAlign w:val="center"/>
          </w:tcPr>
          <w:p>
            <w:pPr>
              <w:spacing w:before="20" w:after="20" w:line="260" w:lineRule="auto"/>
              <w:ind w:firstLine="0"/>
              <w:jc w:val="center"/>
            </w:pPr>
            <w:r>
              <w:rPr>
                <w:sz w:val="20"/>
                <w:szCs w:val="20"/>
              </w:rPr>
              <w:t xml:space="preserve">9.124</w:t>
            </w:r>
          </w:p>
        </w:tc>
        <w:tc>
          <w:tcPr>
            <w:tcW w:type="dxa" w:w="1201"/>
            <w:vAlign w:val="center"/>
          </w:tcPr>
          <w:p>
            <w:pPr>
              <w:spacing w:before="20" w:after="20" w:line="260" w:lineRule="auto"/>
              <w:ind w:firstLine="0"/>
              <w:jc w:val="center"/>
            </w:pPr>
            <w:r>
              <w:rPr>
                <w:sz w:val="20"/>
                <w:szCs w:val="20"/>
              </w:rPr>
              <w:t xml:space="preserve">14,49%</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4.176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6.075</w:t>
            </w:r>
          </w:p>
        </w:tc>
        <w:tc>
          <w:tcPr>
            <w:tcW w:type="dxa" w:w="1201"/>
            <w:vAlign w:val="center"/>
          </w:tcPr>
          <w:p>
            <w:pPr>
              <w:spacing w:before="20" w:after="20" w:line="260" w:lineRule="auto"/>
              <w:ind w:firstLine="0"/>
              <w:jc w:val="center"/>
            </w:pPr>
            <w:r>
              <w:rPr>
                <w:sz w:val="20"/>
                <w:szCs w:val="20"/>
              </w:rPr>
              <w:t xml:space="preserve">5.971</w:t>
            </w:r>
          </w:p>
        </w:tc>
        <w:tc>
          <w:tcPr>
            <w:tcW w:type="dxa" w:w="1201"/>
            <w:vAlign w:val="center"/>
          </w:tcPr>
          <w:p>
            <w:pPr>
              <w:spacing w:before="20" w:after="20" w:line="260" w:lineRule="auto"/>
              <w:ind w:firstLine="0"/>
              <w:jc w:val="center"/>
            </w:pPr>
            <w:r>
              <w:rPr>
                <w:sz w:val="20"/>
                <w:szCs w:val="20"/>
              </w:rPr>
              <w:t xml:space="preserve">13,30%</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2.742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5.215</w:t>
            </w:r>
          </w:p>
        </w:tc>
        <w:tc>
          <w:tcPr>
            <w:tcW w:type="dxa" w:w="1201"/>
            <w:vAlign w:val="center"/>
          </w:tcPr>
          <w:p>
            <w:pPr>
              <w:spacing w:before="20" w:after="20" w:line="260" w:lineRule="auto"/>
              <w:ind w:firstLine="0"/>
              <w:jc w:val="center"/>
            </w:pPr>
            <w:r>
              <w:rPr>
                <w:sz w:val="20"/>
                <w:szCs w:val="20"/>
              </w:rPr>
              <w:t xml:space="preserve">6.004</w:t>
            </w:r>
          </w:p>
        </w:tc>
        <w:tc>
          <w:tcPr>
            <w:tcW w:type="dxa" w:w="1201"/>
            <w:vAlign w:val="center"/>
          </w:tcPr>
          <w:p>
            <w:pPr>
              <w:spacing w:before="20" w:after="20" w:line="260" w:lineRule="auto"/>
              <w:ind w:firstLine="0"/>
              <w:jc w:val="center"/>
            </w:pPr>
            <w:r>
              <w:rPr>
                <w:sz w:val="20"/>
                <w:szCs w:val="20"/>
              </w:rPr>
              <w:t xml:space="preserve">15,12%</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2.669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4.727</w:t>
            </w:r>
          </w:p>
        </w:tc>
        <w:tc>
          <w:tcPr>
            <w:tcW w:type="dxa" w:w="1201"/>
            <w:vAlign w:val="center"/>
          </w:tcPr>
          <w:p>
            <w:pPr>
              <w:spacing w:before="20" w:after="20" w:line="260" w:lineRule="auto"/>
              <w:ind w:firstLine="0"/>
              <w:jc w:val="center"/>
            </w:pPr>
            <w:r>
              <w:rPr>
                <w:sz w:val="20"/>
                <w:szCs w:val="20"/>
              </w:rPr>
              <w:t xml:space="preserve">5.392</w:t>
            </w:r>
          </w:p>
        </w:tc>
        <w:tc>
          <w:tcPr>
            <w:tcW w:type="dxa" w:w="1201"/>
            <w:vAlign w:val="center"/>
          </w:tcPr>
          <w:p>
            <w:pPr>
              <w:spacing w:before="20" w:after="20" w:line="260" w:lineRule="auto"/>
              <w:ind w:firstLine="0"/>
              <w:jc w:val="center"/>
            </w:pPr>
            <w:r>
              <w:rPr>
                <w:sz w:val="20"/>
                <w:szCs w:val="20"/>
              </w:rPr>
              <w:t xml:space="preserve">15,58%</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2.386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4.646</w:t>
            </w:r>
          </w:p>
        </w:tc>
        <w:tc>
          <w:tcPr>
            <w:tcW w:type="dxa" w:w="1201"/>
            <w:vAlign w:val="center"/>
          </w:tcPr>
          <w:p>
            <w:pPr>
              <w:spacing w:before="20" w:after="20" w:line="260" w:lineRule="auto"/>
              <w:ind w:firstLine="0"/>
              <w:jc w:val="center"/>
            </w:pPr>
            <w:r>
              <w:rPr>
                <w:sz w:val="20"/>
                <w:szCs w:val="20"/>
              </w:rPr>
              <w:t xml:space="preserve">4.671</w:t>
            </w:r>
          </w:p>
        </w:tc>
        <w:tc>
          <w:tcPr>
            <w:tcW w:type="dxa" w:w="1201"/>
            <w:vAlign w:val="center"/>
          </w:tcPr>
          <w:p>
            <w:pPr>
              <w:spacing w:before="20" w:after="20" w:line="260" w:lineRule="auto"/>
              <w:ind w:firstLine="0"/>
              <w:jc w:val="center"/>
            </w:pPr>
            <w:r>
              <w:rPr>
                <w:sz w:val="20"/>
                <w:szCs w:val="20"/>
              </w:rPr>
              <w:t xml:space="preserve">10,97%</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2.161</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A.18. Cửa hàng 18 (Quito, Pichincha; loại B, cụm 16)</w:t>
      </w:r>
    </w:p>
    <w:p>
      <w:pPr>
        <w:keepLines w:val="0"/>
        <w:spacing w:after="120"/>
        <w:ind w:firstLine="567"/>
      </w:pPr>
      <w:r>
        <w:t xml:space="preserve">Trong 16 ngày của tập kiểm tra cuối, cửa hàng 18 có tổng doanh số thực tế 162.414 (hạng 38/54 về quy mô) và tổng dự báo 182.314, tức dự báo cao hơn thực tế 12,25%. WAPE của cửa hàng là 15,89% (hạng 33/54 từ thấp đến cao), MAE 48,866, RMSE 115,714 và bias −37,689. Độ bao phủ thực nghiệm của khoảng P10–P90 đạt 75,57% (hạng 26/54), so với mức danh nghĩa 80%. Nhóm có doanh số thực tế lớn nhất là GROCERY I (47.554; WAPE 7,50%; bao phủ 93,75%). Trong các nhóm có quy mô từ trung vị của cửa hàng trở lên, nhóm có WAPE thấp nhất là GROCERY I (7,50%). Có 1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149.111, 182.050 và 235.111; tổng lượng bổ sung gợi ý theo giả định là 89.471. Cửa hàng có 21 nhóm mang nhãn HIGH, 12 nhóm MEDIUM và 0 nhóm LOW. Bảng A.20 liệt kê mười nhóm có doanh số thực tế lớn nhất của cửa hàng.</w:t>
      </w:r>
    </w:p>
    <w:p>
      <w:pPr>
        <w:keepNext/>
        <w:spacing w:before="120" w:after="60"/>
        <w:ind w:firstLine="0"/>
        <w:jc w:val="center"/>
      </w:pPr>
      <w:r>
        <w:t xml:space="preserve">Bảng A.20. Mười nhóm sản phẩm có doanh số thực tế lớn nhất của cửa hàng 18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47.554</w:t>
            </w:r>
          </w:p>
        </w:tc>
        <w:tc>
          <w:tcPr>
            <w:tcW w:type="dxa" w:w="1201"/>
            <w:vAlign w:val="center"/>
          </w:tcPr>
          <w:p>
            <w:pPr>
              <w:spacing w:before="20" w:after="20" w:line="260" w:lineRule="auto"/>
              <w:ind w:firstLine="0"/>
              <w:jc w:val="center"/>
            </w:pPr>
            <w:r>
              <w:rPr>
                <w:sz w:val="20"/>
                <w:szCs w:val="20"/>
              </w:rPr>
              <w:t xml:space="preserve">49.109</w:t>
            </w:r>
          </w:p>
        </w:tc>
        <w:tc>
          <w:tcPr>
            <w:tcW w:type="dxa" w:w="1201"/>
            <w:vAlign w:val="center"/>
          </w:tcPr>
          <w:p>
            <w:pPr>
              <w:spacing w:before="20" w:after="20" w:line="260" w:lineRule="auto"/>
              <w:ind w:firstLine="0"/>
              <w:jc w:val="center"/>
            </w:pPr>
            <w:r>
              <w:rPr>
                <w:sz w:val="20"/>
                <w:szCs w:val="20"/>
              </w:rPr>
              <w:t xml:space="preserve">7,50%</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21.986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34.551</w:t>
            </w:r>
          </w:p>
        </w:tc>
        <w:tc>
          <w:tcPr>
            <w:tcW w:type="dxa" w:w="1201"/>
            <w:vAlign w:val="center"/>
          </w:tcPr>
          <w:p>
            <w:pPr>
              <w:spacing w:before="20" w:after="20" w:line="260" w:lineRule="auto"/>
              <w:ind w:firstLine="0"/>
              <w:jc w:val="center"/>
            </w:pPr>
            <w:r>
              <w:rPr>
                <w:sz w:val="20"/>
                <w:szCs w:val="20"/>
              </w:rPr>
              <w:t xml:space="preserve">42.003</w:t>
            </w:r>
          </w:p>
        </w:tc>
        <w:tc>
          <w:tcPr>
            <w:tcW w:type="dxa" w:w="1201"/>
            <w:vAlign w:val="center"/>
          </w:tcPr>
          <w:p>
            <w:pPr>
              <w:spacing w:before="20" w:after="20" w:line="260" w:lineRule="auto"/>
              <w:ind w:firstLine="0"/>
              <w:jc w:val="center"/>
            </w:pPr>
            <w:r>
              <w:rPr>
                <w:sz w:val="20"/>
                <w:szCs w:val="20"/>
              </w:rPr>
              <w:t xml:space="preserve">21,57%</w:t>
            </w:r>
          </w:p>
        </w:tc>
        <w:tc>
          <w:tcPr>
            <w:tcW w:type="dxa" w:w="1201"/>
            <w:vAlign w:val="center"/>
          </w:tcPr>
          <w:p>
            <w:pPr>
              <w:spacing w:before="20" w:after="20" w:line="260" w:lineRule="auto"/>
              <w:ind w:firstLine="0"/>
              <w:jc w:val="center"/>
            </w:pPr>
            <w:r>
              <w:rPr>
                <w:sz w:val="20"/>
                <w:szCs w:val="20"/>
              </w:rPr>
              <w:t xml:space="preserve">31,25%</w:t>
            </w:r>
          </w:p>
        </w:tc>
        <w:tc>
          <w:tcPr>
            <w:tcW w:type="dxa" w:w="1531"/>
            <w:vAlign w:val="center"/>
          </w:tcPr>
          <w:p>
            <w:pPr>
              <w:spacing w:before="20" w:after="20" w:line="260" w:lineRule="auto"/>
              <w:ind w:firstLine="0"/>
              <w:jc w:val="center"/>
            </w:pPr>
            <w:r>
              <w:rPr>
                <w:sz w:val="20"/>
                <w:szCs w:val="20"/>
              </w:rPr>
              <w:t xml:space="preserve">20.565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29.376</w:t>
            </w:r>
          </w:p>
        </w:tc>
        <w:tc>
          <w:tcPr>
            <w:tcW w:type="dxa" w:w="1201"/>
            <w:vAlign w:val="center"/>
          </w:tcPr>
          <w:p>
            <w:pPr>
              <w:spacing w:before="20" w:after="20" w:line="260" w:lineRule="auto"/>
              <w:ind w:firstLine="0"/>
              <w:jc w:val="center"/>
            </w:pPr>
            <w:r>
              <w:rPr>
                <w:sz w:val="20"/>
                <w:szCs w:val="20"/>
              </w:rPr>
              <w:t xml:space="preserve">33.047</w:t>
            </w:r>
          </w:p>
        </w:tc>
        <w:tc>
          <w:tcPr>
            <w:tcW w:type="dxa" w:w="1201"/>
            <w:vAlign w:val="center"/>
          </w:tcPr>
          <w:p>
            <w:pPr>
              <w:spacing w:before="20" w:after="20" w:line="260" w:lineRule="auto"/>
              <w:ind w:firstLine="0"/>
              <w:jc w:val="center"/>
            </w:pPr>
            <w:r>
              <w:rPr>
                <w:sz w:val="20"/>
                <w:szCs w:val="20"/>
              </w:rPr>
              <w:t xml:space="preserve">12,50%</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18.165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10.483</w:t>
            </w:r>
          </w:p>
        </w:tc>
        <w:tc>
          <w:tcPr>
            <w:tcW w:type="dxa" w:w="1201"/>
            <w:vAlign w:val="center"/>
          </w:tcPr>
          <w:p>
            <w:pPr>
              <w:spacing w:before="20" w:after="20" w:line="260" w:lineRule="auto"/>
              <w:ind w:firstLine="0"/>
              <w:jc w:val="center"/>
            </w:pPr>
            <w:r>
              <w:rPr>
                <w:sz w:val="20"/>
                <w:szCs w:val="20"/>
              </w:rPr>
              <w:t xml:space="preserve">10.381</w:t>
            </w:r>
          </w:p>
        </w:tc>
        <w:tc>
          <w:tcPr>
            <w:tcW w:type="dxa" w:w="1201"/>
            <w:vAlign w:val="center"/>
          </w:tcPr>
          <w:p>
            <w:pPr>
              <w:spacing w:before="20" w:after="20" w:line="260" w:lineRule="auto"/>
              <w:ind w:firstLine="0"/>
              <w:jc w:val="center"/>
            </w:pPr>
            <w:r>
              <w:rPr>
                <w:sz w:val="20"/>
                <w:szCs w:val="20"/>
              </w:rPr>
              <w:t xml:space="preserve">9,52%</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4.508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9.360</w:t>
            </w:r>
          </w:p>
        </w:tc>
        <w:tc>
          <w:tcPr>
            <w:tcW w:type="dxa" w:w="1201"/>
            <w:vAlign w:val="center"/>
          </w:tcPr>
          <w:p>
            <w:pPr>
              <w:spacing w:before="20" w:after="20" w:line="260" w:lineRule="auto"/>
              <w:ind w:firstLine="0"/>
              <w:jc w:val="center"/>
            </w:pPr>
            <w:r>
              <w:rPr>
                <w:sz w:val="20"/>
                <w:szCs w:val="20"/>
              </w:rPr>
              <w:t xml:space="preserve">11.558</w:t>
            </w:r>
          </w:p>
        </w:tc>
        <w:tc>
          <w:tcPr>
            <w:tcW w:type="dxa" w:w="1201"/>
            <w:vAlign w:val="center"/>
          </w:tcPr>
          <w:p>
            <w:pPr>
              <w:spacing w:before="20" w:after="20" w:line="260" w:lineRule="auto"/>
              <w:ind w:firstLine="0"/>
              <w:jc w:val="center"/>
            </w:pPr>
            <w:r>
              <w:rPr>
                <w:sz w:val="20"/>
                <w:szCs w:val="20"/>
              </w:rPr>
              <w:t xml:space="preserve">23,48%</w:t>
            </w:r>
          </w:p>
        </w:tc>
        <w:tc>
          <w:tcPr>
            <w:tcW w:type="dxa" w:w="1201"/>
            <w:vAlign w:val="center"/>
          </w:tcPr>
          <w:p>
            <w:pPr>
              <w:spacing w:before="20" w:after="20" w:line="260" w:lineRule="auto"/>
              <w:ind w:firstLine="0"/>
              <w:jc w:val="center"/>
            </w:pPr>
            <w:r>
              <w:rPr>
                <w:sz w:val="20"/>
                <w:szCs w:val="20"/>
              </w:rPr>
              <w:t xml:space="preserve">50,00%</w:t>
            </w:r>
          </w:p>
        </w:tc>
        <w:tc>
          <w:tcPr>
            <w:tcW w:type="dxa" w:w="1531"/>
            <w:vAlign w:val="center"/>
          </w:tcPr>
          <w:p>
            <w:pPr>
              <w:spacing w:before="20" w:after="20" w:line="260" w:lineRule="auto"/>
              <w:ind w:firstLine="0"/>
              <w:jc w:val="center"/>
            </w:pPr>
            <w:r>
              <w:rPr>
                <w:sz w:val="20"/>
                <w:szCs w:val="20"/>
              </w:rPr>
              <w:t xml:space="preserve">4.743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8.778</w:t>
            </w:r>
          </w:p>
        </w:tc>
        <w:tc>
          <w:tcPr>
            <w:tcW w:type="dxa" w:w="1201"/>
            <w:vAlign w:val="center"/>
          </w:tcPr>
          <w:p>
            <w:pPr>
              <w:spacing w:before="20" w:after="20" w:line="260" w:lineRule="auto"/>
              <w:ind w:firstLine="0"/>
              <w:jc w:val="center"/>
            </w:pPr>
            <w:r>
              <w:rPr>
                <w:sz w:val="20"/>
                <w:szCs w:val="20"/>
              </w:rPr>
              <w:t xml:space="preserve">10.446</w:t>
            </w:r>
          </w:p>
        </w:tc>
        <w:tc>
          <w:tcPr>
            <w:tcW w:type="dxa" w:w="1201"/>
            <w:vAlign w:val="center"/>
          </w:tcPr>
          <w:p>
            <w:pPr>
              <w:spacing w:before="20" w:after="20" w:line="260" w:lineRule="auto"/>
              <w:ind w:firstLine="0"/>
              <w:jc w:val="center"/>
            </w:pPr>
            <w:r>
              <w:rPr>
                <w:sz w:val="20"/>
                <w:szCs w:val="20"/>
              </w:rPr>
              <w:t xml:space="preserve">19,19%</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4.521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3.345</w:t>
            </w:r>
          </w:p>
        </w:tc>
        <w:tc>
          <w:tcPr>
            <w:tcW w:type="dxa" w:w="1201"/>
            <w:vAlign w:val="center"/>
          </w:tcPr>
          <w:p>
            <w:pPr>
              <w:spacing w:before="20" w:after="20" w:line="260" w:lineRule="auto"/>
              <w:ind w:firstLine="0"/>
              <w:jc w:val="center"/>
            </w:pPr>
            <w:r>
              <w:rPr>
                <w:sz w:val="20"/>
                <w:szCs w:val="20"/>
              </w:rPr>
              <w:t xml:space="preserve">4.143</w:t>
            </w:r>
          </w:p>
        </w:tc>
        <w:tc>
          <w:tcPr>
            <w:tcW w:type="dxa" w:w="1201"/>
            <w:vAlign w:val="center"/>
          </w:tcPr>
          <w:p>
            <w:pPr>
              <w:spacing w:before="20" w:after="20" w:line="260" w:lineRule="auto"/>
              <w:ind w:firstLine="0"/>
              <w:jc w:val="center"/>
            </w:pPr>
            <w:r>
              <w:rPr>
                <w:sz w:val="20"/>
                <w:szCs w:val="20"/>
              </w:rPr>
              <w:t xml:space="preserve">27,05%</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1.919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3.124</w:t>
            </w:r>
          </w:p>
        </w:tc>
        <w:tc>
          <w:tcPr>
            <w:tcW w:type="dxa" w:w="1201"/>
            <w:vAlign w:val="center"/>
          </w:tcPr>
          <w:p>
            <w:pPr>
              <w:spacing w:before="20" w:after="20" w:line="260" w:lineRule="auto"/>
              <w:ind w:firstLine="0"/>
              <w:jc w:val="center"/>
            </w:pPr>
            <w:r>
              <w:rPr>
                <w:sz w:val="20"/>
                <w:szCs w:val="20"/>
              </w:rPr>
              <w:t xml:space="preserve">3.626</w:t>
            </w:r>
          </w:p>
        </w:tc>
        <w:tc>
          <w:tcPr>
            <w:tcW w:type="dxa" w:w="1201"/>
            <w:vAlign w:val="center"/>
          </w:tcPr>
          <w:p>
            <w:pPr>
              <w:spacing w:before="20" w:after="20" w:line="260" w:lineRule="auto"/>
              <w:ind w:firstLine="0"/>
              <w:jc w:val="center"/>
            </w:pPr>
            <w:r>
              <w:rPr>
                <w:sz w:val="20"/>
                <w:szCs w:val="20"/>
              </w:rPr>
              <w:t xml:space="preserve">18,42%</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1.788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EGGS</w:t>
            </w:r>
          </w:p>
        </w:tc>
        <w:tc>
          <w:tcPr>
            <w:tcW w:type="dxa" w:w="1201"/>
            <w:vAlign w:val="center"/>
          </w:tcPr>
          <w:p>
            <w:pPr>
              <w:spacing w:before="20" w:after="20" w:line="260" w:lineRule="auto"/>
              <w:ind w:firstLine="0"/>
              <w:jc w:val="center"/>
            </w:pPr>
            <w:r>
              <w:rPr>
                <w:sz w:val="20"/>
                <w:szCs w:val="20"/>
              </w:rPr>
              <w:t xml:space="preserve">2.974</w:t>
            </w:r>
          </w:p>
        </w:tc>
        <w:tc>
          <w:tcPr>
            <w:tcW w:type="dxa" w:w="1201"/>
            <w:vAlign w:val="center"/>
          </w:tcPr>
          <w:p>
            <w:pPr>
              <w:spacing w:before="20" w:after="20" w:line="260" w:lineRule="auto"/>
              <w:ind w:firstLine="0"/>
              <w:jc w:val="center"/>
            </w:pPr>
            <w:r>
              <w:rPr>
                <w:sz w:val="20"/>
                <w:szCs w:val="20"/>
              </w:rPr>
              <w:t xml:space="preserve">3.317</w:t>
            </w:r>
          </w:p>
        </w:tc>
        <w:tc>
          <w:tcPr>
            <w:tcW w:type="dxa" w:w="1201"/>
            <w:vAlign w:val="center"/>
          </w:tcPr>
          <w:p>
            <w:pPr>
              <w:spacing w:before="20" w:after="20" w:line="260" w:lineRule="auto"/>
              <w:ind w:firstLine="0"/>
              <w:jc w:val="center"/>
            </w:pPr>
            <w:r>
              <w:rPr>
                <w:sz w:val="20"/>
                <w:szCs w:val="20"/>
              </w:rPr>
              <w:t xml:space="preserve">22,65%</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1.586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2.936</w:t>
            </w:r>
          </w:p>
        </w:tc>
        <w:tc>
          <w:tcPr>
            <w:tcW w:type="dxa" w:w="1201"/>
            <w:vAlign w:val="center"/>
          </w:tcPr>
          <w:p>
            <w:pPr>
              <w:spacing w:before="20" w:after="20" w:line="260" w:lineRule="auto"/>
              <w:ind w:firstLine="0"/>
              <w:jc w:val="center"/>
            </w:pPr>
            <w:r>
              <w:rPr>
                <w:sz w:val="20"/>
                <w:szCs w:val="20"/>
              </w:rPr>
              <w:t xml:space="preserve">3.493</w:t>
            </w:r>
          </w:p>
        </w:tc>
        <w:tc>
          <w:tcPr>
            <w:tcW w:type="dxa" w:w="1201"/>
            <w:vAlign w:val="center"/>
          </w:tcPr>
          <w:p>
            <w:pPr>
              <w:spacing w:before="20" w:after="20" w:line="260" w:lineRule="auto"/>
              <w:ind w:firstLine="0"/>
              <w:jc w:val="center"/>
            </w:pPr>
            <w:r>
              <w:rPr>
                <w:sz w:val="20"/>
                <w:szCs w:val="20"/>
              </w:rPr>
              <w:t xml:space="preserve">22,58%</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1.677</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A.19. Cửa hàng 19 (Guaranda, Bolivar; loại C, cụm 15)</w:t>
      </w:r>
    </w:p>
    <w:p>
      <w:pPr>
        <w:keepLines w:val="0"/>
        <w:spacing w:after="120"/>
        <w:ind w:firstLine="567"/>
      </w:pPr>
      <w:r>
        <w:t xml:space="preserve">Trong 16 ngày của tập kiểm tra cuối, cửa hàng 19 có tổng doanh số thực tế 150.509 (hạng 42/54 về quy mô) và tổng dự báo 152.660, tức dự báo cao hơn thực tế 1,43%. WAPE của cửa hàng là 13,00% (hạng 20/54 từ thấp đến cao), MAE 37,055, RMSE 96,354 và bias −4,073. Độ bao phủ thực nghiệm của khoảng P10–P90 đạt 78,22% (hạng 15/54), so với mức danh nghĩa 80%. Nhóm có doanh số thực tế lớn nhất là GROCERY I (55.599; WAPE 8,72%; bao phủ 87,50%). Trong các nhóm có quy mô từ trung vị của cửa hàng trở lên, nhóm có WAPE thấp nhất là GROCERY I (8,72%).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126.646, 152.458 và 193.595; tổng lượng bổ sung gợi ý theo giả định là 71.628. Cửa hàng có 21 nhóm mang nhãn HIGH, 11 nhóm MEDIUM và 1 nhóm LOW. Bảng A.21 liệt kê mười nhóm có doanh số thực tế lớn nhất của cửa hàng.</w:t>
      </w:r>
    </w:p>
    <w:p>
      <w:pPr>
        <w:keepNext/>
        <w:spacing w:before="120" w:after="60"/>
        <w:ind w:firstLine="0"/>
        <w:jc w:val="center"/>
      </w:pPr>
      <w:r>
        <w:t xml:space="preserve">Bảng A.21. Mười nhóm sản phẩm có doanh số thực tế lớn nhất của cửa hàng 19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55.599</w:t>
            </w:r>
          </w:p>
        </w:tc>
        <w:tc>
          <w:tcPr>
            <w:tcW w:type="dxa" w:w="1201"/>
            <w:vAlign w:val="center"/>
          </w:tcPr>
          <w:p>
            <w:pPr>
              <w:spacing w:before="20" w:after="20" w:line="260" w:lineRule="auto"/>
              <w:ind w:firstLine="0"/>
              <w:jc w:val="center"/>
            </w:pPr>
            <w:r>
              <w:rPr>
                <w:sz w:val="20"/>
                <w:szCs w:val="20"/>
              </w:rPr>
              <w:t xml:space="preserve">56.017</w:t>
            </w:r>
          </w:p>
        </w:tc>
        <w:tc>
          <w:tcPr>
            <w:tcW w:type="dxa" w:w="1201"/>
            <w:vAlign w:val="center"/>
          </w:tcPr>
          <w:p>
            <w:pPr>
              <w:spacing w:before="20" w:after="20" w:line="260" w:lineRule="auto"/>
              <w:ind w:firstLine="0"/>
              <w:jc w:val="center"/>
            </w:pPr>
            <w:r>
              <w:rPr>
                <w:sz w:val="20"/>
                <w:szCs w:val="20"/>
              </w:rPr>
              <w:t xml:space="preserve">8,72%</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23.368</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43.124</w:t>
            </w:r>
          </w:p>
        </w:tc>
        <w:tc>
          <w:tcPr>
            <w:tcW w:type="dxa" w:w="1201"/>
            <w:vAlign w:val="center"/>
          </w:tcPr>
          <w:p>
            <w:pPr>
              <w:spacing w:before="20" w:after="20" w:line="260" w:lineRule="auto"/>
              <w:ind w:firstLine="0"/>
              <w:jc w:val="center"/>
            </w:pPr>
            <w:r>
              <w:rPr>
                <w:sz w:val="20"/>
                <w:szCs w:val="20"/>
              </w:rPr>
              <w:t xml:space="preserve">42.503</w:t>
            </w:r>
          </w:p>
        </w:tc>
        <w:tc>
          <w:tcPr>
            <w:tcW w:type="dxa" w:w="1201"/>
            <w:vAlign w:val="center"/>
          </w:tcPr>
          <w:p>
            <w:pPr>
              <w:spacing w:before="20" w:after="20" w:line="260" w:lineRule="auto"/>
              <w:ind w:firstLine="0"/>
              <w:jc w:val="center"/>
            </w:pPr>
            <w:r>
              <w:rPr>
                <w:sz w:val="20"/>
                <w:szCs w:val="20"/>
              </w:rPr>
              <w:t xml:space="preserve">10,95%</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20.665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15.321</w:t>
            </w:r>
          </w:p>
        </w:tc>
        <w:tc>
          <w:tcPr>
            <w:tcW w:type="dxa" w:w="1201"/>
            <w:vAlign w:val="center"/>
          </w:tcPr>
          <w:p>
            <w:pPr>
              <w:spacing w:before="20" w:after="20" w:line="260" w:lineRule="auto"/>
              <w:ind w:firstLine="0"/>
              <w:jc w:val="center"/>
            </w:pPr>
            <w:r>
              <w:rPr>
                <w:sz w:val="20"/>
                <w:szCs w:val="20"/>
              </w:rPr>
              <w:t xml:space="preserve">15.279</w:t>
            </w:r>
          </w:p>
        </w:tc>
        <w:tc>
          <w:tcPr>
            <w:tcW w:type="dxa" w:w="1201"/>
            <w:vAlign w:val="center"/>
          </w:tcPr>
          <w:p>
            <w:pPr>
              <w:spacing w:before="20" w:after="20" w:line="260" w:lineRule="auto"/>
              <w:ind w:firstLine="0"/>
              <w:jc w:val="center"/>
            </w:pPr>
            <w:r>
              <w:rPr>
                <w:sz w:val="20"/>
                <w:szCs w:val="20"/>
              </w:rPr>
              <w:t xml:space="preserve">12,88%</w:t>
            </w:r>
          </w:p>
        </w:tc>
        <w:tc>
          <w:tcPr>
            <w:tcW w:type="dxa" w:w="1201"/>
            <w:vAlign w:val="center"/>
          </w:tcPr>
          <w:p>
            <w:pPr>
              <w:spacing w:before="20" w:after="20" w:line="260" w:lineRule="auto"/>
              <w:ind w:firstLine="0"/>
              <w:jc w:val="center"/>
            </w:pPr>
            <w:r>
              <w:rPr>
                <w:sz w:val="20"/>
                <w:szCs w:val="20"/>
              </w:rPr>
              <w:t xml:space="preserve">50,00%</w:t>
            </w:r>
          </w:p>
        </w:tc>
        <w:tc>
          <w:tcPr>
            <w:tcW w:type="dxa" w:w="1531"/>
            <w:vAlign w:val="center"/>
          </w:tcPr>
          <w:p>
            <w:pPr>
              <w:spacing w:before="20" w:after="20" w:line="260" w:lineRule="auto"/>
              <w:ind w:firstLine="0"/>
              <w:jc w:val="center"/>
            </w:pPr>
            <w:r>
              <w:rPr>
                <w:sz w:val="20"/>
                <w:szCs w:val="20"/>
              </w:rPr>
              <w:t xml:space="preserve">6.704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7.709</w:t>
            </w:r>
          </w:p>
        </w:tc>
        <w:tc>
          <w:tcPr>
            <w:tcW w:type="dxa" w:w="1201"/>
            <w:vAlign w:val="center"/>
          </w:tcPr>
          <w:p>
            <w:pPr>
              <w:spacing w:before="20" w:after="20" w:line="260" w:lineRule="auto"/>
              <w:ind w:firstLine="0"/>
              <w:jc w:val="center"/>
            </w:pPr>
            <w:r>
              <w:rPr>
                <w:sz w:val="20"/>
                <w:szCs w:val="20"/>
              </w:rPr>
              <w:t xml:space="preserve">8.019</w:t>
            </w:r>
          </w:p>
        </w:tc>
        <w:tc>
          <w:tcPr>
            <w:tcW w:type="dxa" w:w="1201"/>
            <w:vAlign w:val="center"/>
          </w:tcPr>
          <w:p>
            <w:pPr>
              <w:spacing w:before="20" w:after="20" w:line="260" w:lineRule="auto"/>
              <w:ind w:firstLine="0"/>
              <w:jc w:val="center"/>
            </w:pPr>
            <w:r>
              <w:rPr>
                <w:sz w:val="20"/>
                <w:szCs w:val="20"/>
              </w:rPr>
              <w:t xml:space="preserve">14,03%</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3.795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5.602</w:t>
            </w:r>
          </w:p>
        </w:tc>
        <w:tc>
          <w:tcPr>
            <w:tcW w:type="dxa" w:w="1201"/>
            <w:vAlign w:val="center"/>
          </w:tcPr>
          <w:p>
            <w:pPr>
              <w:spacing w:before="20" w:after="20" w:line="260" w:lineRule="auto"/>
              <w:ind w:firstLine="0"/>
              <w:jc w:val="center"/>
            </w:pPr>
            <w:r>
              <w:rPr>
                <w:sz w:val="20"/>
                <w:szCs w:val="20"/>
              </w:rPr>
              <w:t xml:space="preserve">6.200</w:t>
            </w:r>
          </w:p>
        </w:tc>
        <w:tc>
          <w:tcPr>
            <w:tcW w:type="dxa" w:w="1201"/>
            <w:vAlign w:val="center"/>
          </w:tcPr>
          <w:p>
            <w:pPr>
              <w:spacing w:before="20" w:after="20" w:line="260" w:lineRule="auto"/>
              <w:ind w:firstLine="0"/>
              <w:jc w:val="center"/>
            </w:pPr>
            <w:r>
              <w:rPr>
                <w:sz w:val="20"/>
                <w:szCs w:val="20"/>
              </w:rPr>
              <w:t xml:space="preserve">14,70%</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2.788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4.902</w:t>
            </w:r>
          </w:p>
        </w:tc>
        <w:tc>
          <w:tcPr>
            <w:tcW w:type="dxa" w:w="1201"/>
            <w:vAlign w:val="center"/>
          </w:tcPr>
          <w:p>
            <w:pPr>
              <w:spacing w:before="20" w:after="20" w:line="260" w:lineRule="auto"/>
              <w:ind w:firstLine="0"/>
              <w:jc w:val="center"/>
            </w:pPr>
            <w:r>
              <w:rPr>
                <w:sz w:val="20"/>
                <w:szCs w:val="20"/>
              </w:rPr>
              <w:t xml:space="preserve">5.212</w:t>
            </w:r>
          </w:p>
        </w:tc>
        <w:tc>
          <w:tcPr>
            <w:tcW w:type="dxa" w:w="1201"/>
            <w:vAlign w:val="center"/>
          </w:tcPr>
          <w:p>
            <w:pPr>
              <w:spacing w:before="20" w:after="20" w:line="260" w:lineRule="auto"/>
              <w:ind w:firstLine="0"/>
              <w:jc w:val="center"/>
            </w:pPr>
            <w:r>
              <w:rPr>
                <w:sz w:val="20"/>
                <w:szCs w:val="20"/>
              </w:rPr>
              <w:t xml:space="preserve">14,48%</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2.350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3.169</w:t>
            </w:r>
          </w:p>
        </w:tc>
        <w:tc>
          <w:tcPr>
            <w:tcW w:type="dxa" w:w="1201"/>
            <w:vAlign w:val="center"/>
          </w:tcPr>
          <w:p>
            <w:pPr>
              <w:spacing w:before="20" w:after="20" w:line="260" w:lineRule="auto"/>
              <w:ind w:firstLine="0"/>
              <w:jc w:val="center"/>
            </w:pPr>
            <w:r>
              <w:rPr>
                <w:sz w:val="20"/>
                <w:szCs w:val="20"/>
              </w:rPr>
              <w:t xml:space="preserve">3.188</w:t>
            </w:r>
          </w:p>
        </w:tc>
        <w:tc>
          <w:tcPr>
            <w:tcW w:type="dxa" w:w="1201"/>
            <w:vAlign w:val="center"/>
          </w:tcPr>
          <w:p>
            <w:pPr>
              <w:spacing w:before="20" w:after="20" w:line="260" w:lineRule="auto"/>
              <w:ind w:firstLine="0"/>
              <w:jc w:val="center"/>
            </w:pPr>
            <w:r>
              <w:rPr>
                <w:sz w:val="20"/>
                <w:szCs w:val="20"/>
              </w:rPr>
              <w:t xml:space="preserve">13,35%</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1.532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3.029</w:t>
            </w:r>
          </w:p>
        </w:tc>
        <w:tc>
          <w:tcPr>
            <w:tcW w:type="dxa" w:w="1201"/>
            <w:vAlign w:val="center"/>
          </w:tcPr>
          <w:p>
            <w:pPr>
              <w:spacing w:before="20" w:after="20" w:line="260" w:lineRule="auto"/>
              <w:ind w:firstLine="0"/>
              <w:jc w:val="center"/>
            </w:pPr>
            <w:r>
              <w:rPr>
                <w:sz w:val="20"/>
                <w:szCs w:val="20"/>
              </w:rPr>
              <w:t xml:space="preserve">3.220</w:t>
            </w:r>
          </w:p>
        </w:tc>
        <w:tc>
          <w:tcPr>
            <w:tcW w:type="dxa" w:w="1201"/>
            <w:vAlign w:val="center"/>
          </w:tcPr>
          <w:p>
            <w:pPr>
              <w:spacing w:before="20" w:after="20" w:line="260" w:lineRule="auto"/>
              <w:ind w:firstLine="0"/>
              <w:jc w:val="center"/>
            </w:pPr>
            <w:r>
              <w:rPr>
                <w:sz w:val="20"/>
                <w:szCs w:val="20"/>
              </w:rPr>
              <w:t xml:space="preserve">15,14%</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1.539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2.920</w:t>
            </w:r>
          </w:p>
        </w:tc>
        <w:tc>
          <w:tcPr>
            <w:tcW w:type="dxa" w:w="1201"/>
            <w:vAlign w:val="center"/>
          </w:tcPr>
          <w:p>
            <w:pPr>
              <w:spacing w:before="20" w:after="20" w:line="260" w:lineRule="auto"/>
              <w:ind w:firstLine="0"/>
              <w:jc w:val="center"/>
            </w:pPr>
            <w:r>
              <w:rPr>
                <w:sz w:val="20"/>
                <w:szCs w:val="20"/>
              </w:rPr>
              <w:t xml:space="preserve">2.823</w:t>
            </w:r>
          </w:p>
        </w:tc>
        <w:tc>
          <w:tcPr>
            <w:tcW w:type="dxa" w:w="1201"/>
            <w:vAlign w:val="center"/>
          </w:tcPr>
          <w:p>
            <w:pPr>
              <w:spacing w:before="20" w:after="20" w:line="260" w:lineRule="auto"/>
              <w:ind w:firstLine="0"/>
              <w:jc w:val="center"/>
            </w:pPr>
            <w:r>
              <w:rPr>
                <w:sz w:val="20"/>
                <w:szCs w:val="20"/>
              </w:rPr>
              <w:t xml:space="preserve">17,99%</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1.376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2.470</w:t>
            </w:r>
          </w:p>
        </w:tc>
        <w:tc>
          <w:tcPr>
            <w:tcW w:type="dxa" w:w="1201"/>
            <w:vAlign w:val="center"/>
          </w:tcPr>
          <w:p>
            <w:pPr>
              <w:spacing w:before="20" w:after="20" w:line="260" w:lineRule="auto"/>
              <w:ind w:firstLine="0"/>
              <w:jc w:val="center"/>
            </w:pPr>
            <w:r>
              <w:rPr>
                <w:sz w:val="20"/>
                <w:szCs w:val="20"/>
              </w:rPr>
              <w:t xml:space="preserve">2.240</w:t>
            </w:r>
          </w:p>
        </w:tc>
        <w:tc>
          <w:tcPr>
            <w:tcW w:type="dxa" w:w="1201"/>
            <w:vAlign w:val="center"/>
          </w:tcPr>
          <w:p>
            <w:pPr>
              <w:spacing w:before="20" w:after="20" w:line="260" w:lineRule="auto"/>
              <w:ind w:firstLine="0"/>
              <w:jc w:val="center"/>
            </w:pPr>
            <w:r>
              <w:rPr>
                <w:sz w:val="20"/>
                <w:szCs w:val="20"/>
              </w:rPr>
              <w:t xml:space="preserve">14,77%</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1.203</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A.20. Cửa hàng 20 (Quito, Pichincha; loại B, cụm 6)</w:t>
      </w:r>
    </w:p>
    <w:p>
      <w:pPr>
        <w:keepLines w:val="0"/>
        <w:spacing w:after="120"/>
        <w:ind w:firstLine="567"/>
      </w:pPr>
      <w:r>
        <w:t xml:space="preserve">Trong 16 ngày của tập kiểm tra cuối, cửa hàng 20 có tổng doanh số thực tế 288.873 (hạng 14/54 về quy mô) và tổng dự báo 255.773, tức dự báo thấp hơn thực tế 11,46%. WAPE của cửa hàng là 17,53% (hạng 39/54 từ thấp đến cao), MAE 95,890, RMSE 351,297 và bias 62,688. Độ bao phủ thực nghiệm của khoảng P10–P90 đạt 72,16% (hạng 42/54), so với mức danh nghĩa 80%. Nhóm có doanh số thực tế lớn nhất là GROCERY I (103.971; WAPE 13,64%; bao phủ 43,75%). Trong các nhóm có quy mô từ trung vị của cửa hàng trở lên, nhóm có WAPE thấp nhất là HOME CARE (8,63%).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218.234, 255.375 và 314.599; tổng lượng bổ sung gợi ý theo giả định là 110.300. Cửa hàng có 20 nhóm mang nhãn HIGH, 11 nhóm MEDIUM và 2 nhóm LOW. Bảng A.22 liệt kê mười nhóm có doanh số thực tế lớn nhất của cửa hàng.</w:t>
      </w:r>
    </w:p>
    <w:p>
      <w:pPr>
        <w:keepNext/>
        <w:spacing w:before="120" w:after="60"/>
        <w:ind w:firstLine="0"/>
        <w:jc w:val="center"/>
      </w:pPr>
      <w:r>
        <w:t xml:space="preserve">Bảng A.22. Mười nhóm sản phẩm có doanh số thực tế lớn nhất của cửa hàng 20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103.971</w:t>
            </w:r>
          </w:p>
        </w:tc>
        <w:tc>
          <w:tcPr>
            <w:tcW w:type="dxa" w:w="1201"/>
            <w:vAlign w:val="center"/>
          </w:tcPr>
          <w:p>
            <w:pPr>
              <w:spacing w:before="20" w:after="20" w:line="260" w:lineRule="auto"/>
              <w:ind w:firstLine="0"/>
              <w:jc w:val="center"/>
            </w:pPr>
            <w:r>
              <w:rPr>
                <w:sz w:val="20"/>
                <w:szCs w:val="20"/>
              </w:rPr>
              <w:t xml:space="preserve">91.426</w:t>
            </w:r>
          </w:p>
        </w:tc>
        <w:tc>
          <w:tcPr>
            <w:tcW w:type="dxa" w:w="1201"/>
            <w:vAlign w:val="center"/>
          </w:tcPr>
          <w:p>
            <w:pPr>
              <w:spacing w:before="20" w:after="20" w:line="260" w:lineRule="auto"/>
              <w:ind w:firstLine="0"/>
              <w:jc w:val="center"/>
            </w:pPr>
            <w:r>
              <w:rPr>
                <w:sz w:val="20"/>
                <w:szCs w:val="20"/>
              </w:rPr>
              <w:t xml:space="preserve">13,64%</w:t>
            </w:r>
          </w:p>
        </w:tc>
        <w:tc>
          <w:tcPr>
            <w:tcW w:type="dxa" w:w="1201"/>
            <w:vAlign w:val="center"/>
          </w:tcPr>
          <w:p>
            <w:pPr>
              <w:spacing w:before="20" w:after="20" w:line="260" w:lineRule="auto"/>
              <w:ind w:firstLine="0"/>
              <w:jc w:val="center"/>
            </w:pPr>
            <w:r>
              <w:rPr>
                <w:sz w:val="20"/>
                <w:szCs w:val="20"/>
              </w:rPr>
              <w:t xml:space="preserve">43,75%</w:t>
            </w:r>
          </w:p>
        </w:tc>
        <w:tc>
          <w:tcPr>
            <w:tcW w:type="dxa" w:w="1531"/>
            <w:vAlign w:val="center"/>
          </w:tcPr>
          <w:p>
            <w:pPr>
              <w:spacing w:before="20" w:after="20" w:line="260" w:lineRule="auto"/>
              <w:ind w:firstLine="0"/>
              <w:jc w:val="center"/>
            </w:pPr>
            <w:r>
              <w:rPr>
                <w:sz w:val="20"/>
                <w:szCs w:val="20"/>
              </w:rPr>
              <w:t xml:space="preserve">30.450</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71.261</w:t>
            </w:r>
          </w:p>
        </w:tc>
        <w:tc>
          <w:tcPr>
            <w:tcW w:type="dxa" w:w="1201"/>
            <w:vAlign w:val="center"/>
          </w:tcPr>
          <w:p>
            <w:pPr>
              <w:spacing w:before="20" w:after="20" w:line="260" w:lineRule="auto"/>
              <w:ind w:firstLine="0"/>
              <w:jc w:val="center"/>
            </w:pPr>
            <w:r>
              <w:rPr>
                <w:sz w:val="20"/>
                <w:szCs w:val="20"/>
              </w:rPr>
              <w:t xml:space="preserve">58.257</w:t>
            </w:r>
          </w:p>
        </w:tc>
        <w:tc>
          <w:tcPr>
            <w:tcW w:type="dxa" w:w="1201"/>
            <w:vAlign w:val="center"/>
          </w:tcPr>
          <w:p>
            <w:pPr>
              <w:spacing w:before="20" w:after="20" w:line="260" w:lineRule="auto"/>
              <w:ind w:firstLine="0"/>
              <w:jc w:val="center"/>
            </w:pPr>
            <w:r>
              <w:rPr>
                <w:sz w:val="20"/>
                <w:szCs w:val="20"/>
              </w:rPr>
              <w:t xml:space="preserve">19,94%</w:t>
            </w:r>
          </w:p>
        </w:tc>
        <w:tc>
          <w:tcPr>
            <w:tcW w:type="dxa" w:w="1201"/>
            <w:vAlign w:val="center"/>
          </w:tcPr>
          <w:p>
            <w:pPr>
              <w:spacing w:before="20" w:after="20" w:line="260" w:lineRule="auto"/>
              <w:ind w:firstLine="0"/>
              <w:jc w:val="center"/>
            </w:pPr>
            <w:r>
              <w:rPr>
                <w:sz w:val="20"/>
                <w:szCs w:val="20"/>
              </w:rPr>
              <w:t xml:space="preserve">50,00%</w:t>
            </w:r>
          </w:p>
        </w:tc>
        <w:tc>
          <w:tcPr>
            <w:tcW w:type="dxa" w:w="1531"/>
            <w:vAlign w:val="center"/>
          </w:tcPr>
          <w:p>
            <w:pPr>
              <w:spacing w:before="20" w:after="20" w:line="260" w:lineRule="auto"/>
              <w:ind w:firstLine="0"/>
              <w:jc w:val="center"/>
            </w:pPr>
            <w:r>
              <w:rPr>
                <w:sz w:val="20"/>
                <w:szCs w:val="20"/>
              </w:rPr>
              <w:t xml:space="preserve">23.816</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30.363</w:t>
            </w:r>
          </w:p>
        </w:tc>
        <w:tc>
          <w:tcPr>
            <w:tcW w:type="dxa" w:w="1201"/>
            <w:vAlign w:val="center"/>
          </w:tcPr>
          <w:p>
            <w:pPr>
              <w:spacing w:before="20" w:after="20" w:line="260" w:lineRule="auto"/>
              <w:ind w:firstLine="0"/>
              <w:jc w:val="center"/>
            </w:pPr>
            <w:r>
              <w:rPr>
                <w:sz w:val="20"/>
                <w:szCs w:val="20"/>
              </w:rPr>
              <w:t xml:space="preserve">21.309</w:t>
            </w:r>
          </w:p>
        </w:tc>
        <w:tc>
          <w:tcPr>
            <w:tcW w:type="dxa" w:w="1201"/>
            <w:vAlign w:val="center"/>
          </w:tcPr>
          <w:p>
            <w:pPr>
              <w:spacing w:before="20" w:after="20" w:line="260" w:lineRule="auto"/>
              <w:ind w:firstLine="0"/>
              <w:jc w:val="center"/>
            </w:pPr>
            <w:r>
              <w:rPr>
                <w:sz w:val="20"/>
                <w:szCs w:val="20"/>
              </w:rPr>
              <w:t xml:space="preserve">34,06%</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12.776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17.685</w:t>
            </w:r>
          </w:p>
        </w:tc>
        <w:tc>
          <w:tcPr>
            <w:tcW w:type="dxa" w:w="1201"/>
            <w:vAlign w:val="center"/>
          </w:tcPr>
          <w:p>
            <w:pPr>
              <w:spacing w:before="20" w:after="20" w:line="260" w:lineRule="auto"/>
              <w:ind w:firstLine="0"/>
              <w:jc w:val="center"/>
            </w:pPr>
            <w:r>
              <w:rPr>
                <w:sz w:val="20"/>
                <w:szCs w:val="20"/>
              </w:rPr>
              <w:t xml:space="preserve">18.321</w:t>
            </w:r>
          </w:p>
        </w:tc>
        <w:tc>
          <w:tcPr>
            <w:tcW w:type="dxa" w:w="1201"/>
            <w:vAlign w:val="center"/>
          </w:tcPr>
          <w:p>
            <w:pPr>
              <w:spacing w:before="20" w:after="20" w:line="260" w:lineRule="auto"/>
              <w:ind w:firstLine="0"/>
              <w:jc w:val="center"/>
            </w:pPr>
            <w:r>
              <w:rPr>
                <w:sz w:val="20"/>
                <w:szCs w:val="20"/>
              </w:rPr>
              <w:t xml:space="preserve">10,27%</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10.354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12.790</w:t>
            </w:r>
          </w:p>
        </w:tc>
        <w:tc>
          <w:tcPr>
            <w:tcW w:type="dxa" w:w="1201"/>
            <w:vAlign w:val="center"/>
          </w:tcPr>
          <w:p>
            <w:pPr>
              <w:spacing w:before="20" w:after="20" w:line="260" w:lineRule="auto"/>
              <w:ind w:firstLine="0"/>
              <w:jc w:val="center"/>
            </w:pPr>
            <w:r>
              <w:rPr>
                <w:sz w:val="20"/>
                <w:szCs w:val="20"/>
              </w:rPr>
              <w:t xml:space="preserve">13.817</w:t>
            </w:r>
          </w:p>
        </w:tc>
        <w:tc>
          <w:tcPr>
            <w:tcW w:type="dxa" w:w="1201"/>
            <w:vAlign w:val="center"/>
          </w:tcPr>
          <w:p>
            <w:pPr>
              <w:spacing w:before="20" w:after="20" w:line="260" w:lineRule="auto"/>
              <w:ind w:firstLine="0"/>
              <w:jc w:val="center"/>
            </w:pPr>
            <w:r>
              <w:rPr>
                <w:sz w:val="20"/>
                <w:szCs w:val="20"/>
              </w:rPr>
              <w:t xml:space="preserve">9,45%</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5.803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11.567</w:t>
            </w:r>
          </w:p>
        </w:tc>
        <w:tc>
          <w:tcPr>
            <w:tcW w:type="dxa" w:w="1201"/>
            <w:vAlign w:val="center"/>
          </w:tcPr>
          <w:p>
            <w:pPr>
              <w:spacing w:before="20" w:after="20" w:line="260" w:lineRule="auto"/>
              <w:ind w:firstLine="0"/>
              <w:jc w:val="center"/>
            </w:pPr>
            <w:r>
              <w:rPr>
                <w:sz w:val="20"/>
                <w:szCs w:val="20"/>
              </w:rPr>
              <w:t xml:space="preserve">12.198</w:t>
            </w:r>
          </w:p>
        </w:tc>
        <w:tc>
          <w:tcPr>
            <w:tcW w:type="dxa" w:w="1201"/>
            <w:vAlign w:val="center"/>
          </w:tcPr>
          <w:p>
            <w:pPr>
              <w:spacing w:before="20" w:after="20" w:line="260" w:lineRule="auto"/>
              <w:ind w:firstLine="0"/>
              <w:jc w:val="center"/>
            </w:pPr>
            <w:r>
              <w:rPr>
                <w:sz w:val="20"/>
                <w:szCs w:val="20"/>
              </w:rPr>
              <w:t xml:space="preserve">11,63%</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5.480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8.474</w:t>
            </w:r>
          </w:p>
        </w:tc>
        <w:tc>
          <w:tcPr>
            <w:tcW w:type="dxa" w:w="1201"/>
            <w:vAlign w:val="center"/>
          </w:tcPr>
          <w:p>
            <w:pPr>
              <w:spacing w:before="20" w:after="20" w:line="260" w:lineRule="auto"/>
              <w:ind w:firstLine="0"/>
              <w:jc w:val="center"/>
            </w:pPr>
            <w:r>
              <w:rPr>
                <w:sz w:val="20"/>
                <w:szCs w:val="20"/>
              </w:rPr>
              <w:t xml:space="preserve">8.749</w:t>
            </w:r>
          </w:p>
        </w:tc>
        <w:tc>
          <w:tcPr>
            <w:tcW w:type="dxa" w:w="1201"/>
            <w:vAlign w:val="center"/>
          </w:tcPr>
          <w:p>
            <w:pPr>
              <w:spacing w:before="20" w:after="20" w:line="260" w:lineRule="auto"/>
              <w:ind w:firstLine="0"/>
              <w:jc w:val="center"/>
            </w:pPr>
            <w:r>
              <w:rPr>
                <w:sz w:val="20"/>
                <w:szCs w:val="20"/>
              </w:rPr>
              <w:t xml:space="preserve">16,28%</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3.941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6.668</w:t>
            </w:r>
          </w:p>
        </w:tc>
        <w:tc>
          <w:tcPr>
            <w:tcW w:type="dxa" w:w="1201"/>
            <w:vAlign w:val="center"/>
          </w:tcPr>
          <w:p>
            <w:pPr>
              <w:spacing w:before="20" w:after="20" w:line="260" w:lineRule="auto"/>
              <w:ind w:firstLine="0"/>
              <w:jc w:val="center"/>
            </w:pPr>
            <w:r>
              <w:rPr>
                <w:sz w:val="20"/>
                <w:szCs w:val="20"/>
              </w:rPr>
              <w:t xml:space="preserve">5.893</w:t>
            </w:r>
          </w:p>
        </w:tc>
        <w:tc>
          <w:tcPr>
            <w:tcW w:type="dxa" w:w="1201"/>
            <w:vAlign w:val="center"/>
          </w:tcPr>
          <w:p>
            <w:pPr>
              <w:spacing w:before="20" w:after="20" w:line="260" w:lineRule="auto"/>
              <w:ind w:firstLine="0"/>
              <w:jc w:val="center"/>
            </w:pPr>
            <w:r>
              <w:rPr>
                <w:sz w:val="20"/>
                <w:szCs w:val="20"/>
              </w:rPr>
              <w:t xml:space="preserve">14,23%</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2.727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6.198</w:t>
            </w:r>
          </w:p>
        </w:tc>
        <w:tc>
          <w:tcPr>
            <w:tcW w:type="dxa" w:w="1201"/>
            <w:vAlign w:val="center"/>
          </w:tcPr>
          <w:p>
            <w:pPr>
              <w:spacing w:before="20" w:after="20" w:line="260" w:lineRule="auto"/>
              <w:ind w:firstLine="0"/>
              <w:jc w:val="center"/>
            </w:pPr>
            <w:r>
              <w:rPr>
                <w:sz w:val="20"/>
                <w:szCs w:val="20"/>
              </w:rPr>
              <w:t xml:space="preserve">5.748</w:t>
            </w:r>
          </w:p>
        </w:tc>
        <w:tc>
          <w:tcPr>
            <w:tcW w:type="dxa" w:w="1201"/>
            <w:vAlign w:val="center"/>
          </w:tcPr>
          <w:p>
            <w:pPr>
              <w:spacing w:before="20" w:after="20" w:line="260" w:lineRule="auto"/>
              <w:ind w:firstLine="0"/>
              <w:jc w:val="center"/>
            </w:pPr>
            <w:r>
              <w:rPr>
                <w:sz w:val="20"/>
                <w:szCs w:val="20"/>
              </w:rPr>
              <w:t xml:space="preserve">10,76%</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2.617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5.907</w:t>
            </w:r>
          </w:p>
        </w:tc>
        <w:tc>
          <w:tcPr>
            <w:tcW w:type="dxa" w:w="1201"/>
            <w:vAlign w:val="center"/>
          </w:tcPr>
          <w:p>
            <w:pPr>
              <w:spacing w:before="20" w:after="20" w:line="260" w:lineRule="auto"/>
              <w:ind w:firstLine="0"/>
              <w:jc w:val="center"/>
            </w:pPr>
            <w:r>
              <w:rPr>
                <w:sz w:val="20"/>
                <w:szCs w:val="20"/>
              </w:rPr>
              <w:t xml:space="preserve">5.978</w:t>
            </w:r>
          </w:p>
        </w:tc>
        <w:tc>
          <w:tcPr>
            <w:tcW w:type="dxa" w:w="1201"/>
            <w:vAlign w:val="center"/>
          </w:tcPr>
          <w:p>
            <w:pPr>
              <w:spacing w:before="20" w:after="20" w:line="260" w:lineRule="auto"/>
              <w:ind w:firstLine="0"/>
              <w:jc w:val="center"/>
            </w:pPr>
            <w:r>
              <w:rPr>
                <w:sz w:val="20"/>
                <w:szCs w:val="20"/>
              </w:rPr>
              <w:t xml:space="preserve">8,63%</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2.744</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A.21. Cửa hàng 21 (Santo Domingo, Santo Domingo de los Tsachilas; loại B, cụm 6)</w:t>
      </w:r>
    </w:p>
    <w:p>
      <w:pPr>
        <w:keepLines w:val="0"/>
        <w:spacing w:after="120"/>
        <w:ind w:firstLine="567"/>
      </w:pPr>
      <w:r>
        <w:t xml:space="preserve">Trong 16 ngày của tập kiểm tra cuối, cửa hàng 21 có tổng doanh số thực tế 235.963 (hạng 24/54 về quy mô) và tổng dự báo 217.075, tức dự báo thấp hơn thực tế 8,00%. WAPE của cửa hàng là 14,96% (hạng 27/54 từ thấp đến cao), MAE 66,834, RMSE 211,260 và bias 35,774. Độ bao phủ thực nghiệm của khoảng P10–P90 đạt 78,79% (hạng 11/54), so với mức danh nghĩa 80%. Nhóm có doanh số thực tế lớn nhất là GROCERY I (75.425; WAPE 8,49%; bao phủ 75,00%). Trong các nhóm có quy mô từ trung vị của cửa hàng trở lên, nhóm có WAPE thấp nhất là PRODUCE (7,64%). Có 1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180.875, 216.970 và 275.645; tổng lượng bổ sung gợi ý theo giả định là 102.069. Cửa hàng có 18 nhóm mang nhãn HIGH, 14 nhóm MEDIUM và 1 nhóm LOW. Bảng A.23 liệt kê mười nhóm có doanh số thực tế lớn nhất của cửa hàng.</w:t>
      </w:r>
    </w:p>
    <w:p>
      <w:pPr>
        <w:keepNext/>
        <w:spacing w:before="120" w:after="60"/>
        <w:ind w:firstLine="0"/>
        <w:jc w:val="center"/>
      </w:pPr>
      <w:r>
        <w:t xml:space="preserve">Bảng A.23. Mười nhóm sản phẩm có doanh số thực tế lớn nhất của cửa hàng 21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75.425</w:t>
            </w:r>
          </w:p>
        </w:tc>
        <w:tc>
          <w:tcPr>
            <w:tcW w:type="dxa" w:w="1201"/>
            <w:vAlign w:val="center"/>
          </w:tcPr>
          <w:p>
            <w:pPr>
              <w:spacing w:before="20" w:after="20" w:line="260" w:lineRule="auto"/>
              <w:ind w:firstLine="0"/>
              <w:jc w:val="center"/>
            </w:pPr>
            <w:r>
              <w:rPr>
                <w:sz w:val="20"/>
                <w:szCs w:val="20"/>
              </w:rPr>
              <w:t xml:space="preserve">69.555</w:t>
            </w:r>
          </w:p>
        </w:tc>
        <w:tc>
          <w:tcPr>
            <w:tcW w:type="dxa" w:w="1201"/>
            <w:vAlign w:val="center"/>
          </w:tcPr>
          <w:p>
            <w:pPr>
              <w:spacing w:before="20" w:after="20" w:line="260" w:lineRule="auto"/>
              <w:ind w:firstLine="0"/>
              <w:jc w:val="center"/>
            </w:pPr>
            <w:r>
              <w:rPr>
                <w:sz w:val="20"/>
                <w:szCs w:val="20"/>
              </w:rPr>
              <w:t xml:space="preserve">8,49%</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26.075</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57.474</w:t>
            </w:r>
          </w:p>
        </w:tc>
        <w:tc>
          <w:tcPr>
            <w:tcW w:type="dxa" w:w="1201"/>
            <w:vAlign w:val="center"/>
          </w:tcPr>
          <w:p>
            <w:pPr>
              <w:spacing w:before="20" w:after="20" w:line="260" w:lineRule="auto"/>
              <w:ind w:firstLine="0"/>
              <w:jc w:val="center"/>
            </w:pPr>
            <w:r>
              <w:rPr>
                <w:sz w:val="20"/>
                <w:szCs w:val="20"/>
              </w:rPr>
              <w:t xml:space="preserve">48.498</w:t>
            </w:r>
          </w:p>
        </w:tc>
        <w:tc>
          <w:tcPr>
            <w:tcW w:type="dxa" w:w="1201"/>
            <w:vAlign w:val="center"/>
          </w:tcPr>
          <w:p>
            <w:pPr>
              <w:spacing w:before="20" w:after="20" w:line="260" w:lineRule="auto"/>
              <w:ind w:firstLine="0"/>
              <w:jc w:val="center"/>
            </w:pPr>
            <w:r>
              <w:rPr>
                <w:sz w:val="20"/>
                <w:szCs w:val="20"/>
              </w:rPr>
              <w:t xml:space="preserve">18,67%</w:t>
            </w:r>
          </w:p>
        </w:tc>
        <w:tc>
          <w:tcPr>
            <w:tcW w:type="dxa" w:w="1201"/>
            <w:vAlign w:val="center"/>
          </w:tcPr>
          <w:p>
            <w:pPr>
              <w:spacing w:before="20" w:after="20" w:line="260" w:lineRule="auto"/>
              <w:ind w:firstLine="0"/>
              <w:jc w:val="center"/>
            </w:pPr>
            <w:r>
              <w:rPr>
                <w:sz w:val="20"/>
                <w:szCs w:val="20"/>
              </w:rPr>
              <w:t xml:space="preserve">50,00%</w:t>
            </w:r>
          </w:p>
        </w:tc>
        <w:tc>
          <w:tcPr>
            <w:tcW w:type="dxa" w:w="1531"/>
            <w:vAlign w:val="center"/>
          </w:tcPr>
          <w:p>
            <w:pPr>
              <w:spacing w:before="20" w:after="20" w:line="260" w:lineRule="auto"/>
              <w:ind w:firstLine="0"/>
              <w:jc w:val="center"/>
            </w:pPr>
            <w:r>
              <w:rPr>
                <w:sz w:val="20"/>
                <w:szCs w:val="20"/>
              </w:rPr>
              <w:t xml:space="preserve">21.864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27.359</w:t>
            </w:r>
          </w:p>
        </w:tc>
        <w:tc>
          <w:tcPr>
            <w:tcW w:type="dxa" w:w="1201"/>
            <w:vAlign w:val="center"/>
          </w:tcPr>
          <w:p>
            <w:pPr>
              <w:spacing w:before="20" w:after="20" w:line="260" w:lineRule="auto"/>
              <w:ind w:firstLine="0"/>
              <w:jc w:val="center"/>
            </w:pPr>
            <w:r>
              <w:rPr>
                <w:sz w:val="20"/>
                <w:szCs w:val="20"/>
              </w:rPr>
              <w:t xml:space="preserve">22.018</w:t>
            </w:r>
          </w:p>
        </w:tc>
        <w:tc>
          <w:tcPr>
            <w:tcW w:type="dxa" w:w="1201"/>
            <w:vAlign w:val="center"/>
          </w:tcPr>
          <w:p>
            <w:pPr>
              <w:spacing w:before="20" w:after="20" w:line="260" w:lineRule="auto"/>
              <w:ind w:firstLine="0"/>
              <w:jc w:val="center"/>
            </w:pPr>
            <w:r>
              <w:rPr>
                <w:sz w:val="20"/>
                <w:szCs w:val="20"/>
              </w:rPr>
              <w:t xml:space="preserve">27,98%</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13.527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23.826</w:t>
            </w:r>
          </w:p>
        </w:tc>
        <w:tc>
          <w:tcPr>
            <w:tcW w:type="dxa" w:w="1201"/>
            <w:vAlign w:val="center"/>
          </w:tcPr>
          <w:p>
            <w:pPr>
              <w:spacing w:before="20" w:after="20" w:line="260" w:lineRule="auto"/>
              <w:ind w:firstLine="0"/>
              <w:jc w:val="center"/>
            </w:pPr>
            <w:r>
              <w:rPr>
                <w:sz w:val="20"/>
                <w:szCs w:val="20"/>
              </w:rPr>
              <w:t xml:space="preserve">24.090</w:t>
            </w:r>
          </w:p>
        </w:tc>
        <w:tc>
          <w:tcPr>
            <w:tcW w:type="dxa" w:w="1201"/>
            <w:vAlign w:val="center"/>
          </w:tcPr>
          <w:p>
            <w:pPr>
              <w:spacing w:before="20" w:after="20" w:line="260" w:lineRule="auto"/>
              <w:ind w:firstLine="0"/>
              <w:jc w:val="center"/>
            </w:pPr>
            <w:r>
              <w:rPr>
                <w:sz w:val="20"/>
                <w:szCs w:val="20"/>
              </w:rPr>
              <w:t xml:space="preserve">7,64%</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13.941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10.288</w:t>
            </w:r>
          </w:p>
        </w:tc>
        <w:tc>
          <w:tcPr>
            <w:tcW w:type="dxa" w:w="1201"/>
            <w:vAlign w:val="center"/>
          </w:tcPr>
          <w:p>
            <w:pPr>
              <w:spacing w:before="20" w:after="20" w:line="260" w:lineRule="auto"/>
              <w:ind w:firstLine="0"/>
              <w:jc w:val="center"/>
            </w:pPr>
            <w:r>
              <w:rPr>
                <w:sz w:val="20"/>
                <w:szCs w:val="20"/>
              </w:rPr>
              <w:t xml:space="preserve">11.015</w:t>
            </w:r>
          </w:p>
        </w:tc>
        <w:tc>
          <w:tcPr>
            <w:tcW w:type="dxa" w:w="1201"/>
            <w:vAlign w:val="center"/>
          </w:tcPr>
          <w:p>
            <w:pPr>
              <w:spacing w:before="20" w:after="20" w:line="260" w:lineRule="auto"/>
              <w:ind w:firstLine="0"/>
              <w:jc w:val="center"/>
            </w:pPr>
            <w:r>
              <w:rPr>
                <w:sz w:val="20"/>
                <w:szCs w:val="20"/>
              </w:rPr>
              <w:t xml:space="preserve">10,07%</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4.635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7.422</w:t>
            </w:r>
          </w:p>
        </w:tc>
        <w:tc>
          <w:tcPr>
            <w:tcW w:type="dxa" w:w="1201"/>
            <w:vAlign w:val="center"/>
          </w:tcPr>
          <w:p>
            <w:pPr>
              <w:spacing w:before="20" w:after="20" w:line="260" w:lineRule="auto"/>
              <w:ind w:firstLine="0"/>
              <w:jc w:val="center"/>
            </w:pPr>
            <w:r>
              <w:rPr>
                <w:sz w:val="20"/>
                <w:szCs w:val="20"/>
              </w:rPr>
              <w:t xml:space="preserve">8.295</w:t>
            </w:r>
          </w:p>
        </w:tc>
        <w:tc>
          <w:tcPr>
            <w:tcW w:type="dxa" w:w="1201"/>
            <w:vAlign w:val="center"/>
          </w:tcPr>
          <w:p>
            <w:pPr>
              <w:spacing w:before="20" w:after="20" w:line="260" w:lineRule="auto"/>
              <w:ind w:firstLine="0"/>
              <w:jc w:val="center"/>
            </w:pPr>
            <w:r>
              <w:rPr>
                <w:sz w:val="20"/>
                <w:szCs w:val="20"/>
              </w:rPr>
              <w:t xml:space="preserve">13,98%</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3.850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5.778</w:t>
            </w:r>
          </w:p>
        </w:tc>
        <w:tc>
          <w:tcPr>
            <w:tcW w:type="dxa" w:w="1201"/>
            <w:vAlign w:val="center"/>
          </w:tcPr>
          <w:p>
            <w:pPr>
              <w:spacing w:before="20" w:after="20" w:line="260" w:lineRule="auto"/>
              <w:ind w:firstLine="0"/>
              <w:jc w:val="center"/>
            </w:pPr>
            <w:r>
              <w:rPr>
                <w:sz w:val="20"/>
                <w:szCs w:val="20"/>
              </w:rPr>
              <w:t xml:space="preserve">5.338</w:t>
            </w:r>
          </w:p>
        </w:tc>
        <w:tc>
          <w:tcPr>
            <w:tcW w:type="dxa" w:w="1201"/>
            <w:vAlign w:val="center"/>
          </w:tcPr>
          <w:p>
            <w:pPr>
              <w:spacing w:before="20" w:after="20" w:line="260" w:lineRule="auto"/>
              <w:ind w:firstLine="0"/>
              <w:jc w:val="center"/>
            </w:pPr>
            <w:r>
              <w:rPr>
                <w:sz w:val="20"/>
                <w:szCs w:val="20"/>
              </w:rPr>
              <w:t xml:space="preserve">14,63%</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2.375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5.555</w:t>
            </w:r>
          </w:p>
        </w:tc>
        <w:tc>
          <w:tcPr>
            <w:tcW w:type="dxa" w:w="1201"/>
            <w:vAlign w:val="center"/>
          </w:tcPr>
          <w:p>
            <w:pPr>
              <w:spacing w:before="20" w:after="20" w:line="260" w:lineRule="auto"/>
              <w:ind w:firstLine="0"/>
              <w:jc w:val="center"/>
            </w:pPr>
            <w:r>
              <w:rPr>
                <w:sz w:val="20"/>
                <w:szCs w:val="20"/>
              </w:rPr>
              <w:t xml:space="preserve">5.800</w:t>
            </w:r>
          </w:p>
        </w:tc>
        <w:tc>
          <w:tcPr>
            <w:tcW w:type="dxa" w:w="1201"/>
            <w:vAlign w:val="center"/>
          </w:tcPr>
          <w:p>
            <w:pPr>
              <w:spacing w:before="20" w:after="20" w:line="260" w:lineRule="auto"/>
              <w:ind w:firstLine="0"/>
              <w:jc w:val="center"/>
            </w:pPr>
            <w:r>
              <w:rPr>
                <w:sz w:val="20"/>
                <w:szCs w:val="20"/>
              </w:rPr>
              <w:t xml:space="preserve">11,51%</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2.628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5.111</w:t>
            </w:r>
          </w:p>
        </w:tc>
        <w:tc>
          <w:tcPr>
            <w:tcW w:type="dxa" w:w="1201"/>
            <w:vAlign w:val="center"/>
          </w:tcPr>
          <w:p>
            <w:pPr>
              <w:spacing w:before="20" w:after="20" w:line="260" w:lineRule="auto"/>
              <w:ind w:firstLine="0"/>
              <w:jc w:val="center"/>
            </w:pPr>
            <w:r>
              <w:rPr>
                <w:sz w:val="20"/>
                <w:szCs w:val="20"/>
              </w:rPr>
              <w:t xml:space="preserve">4.895</w:t>
            </w:r>
          </w:p>
        </w:tc>
        <w:tc>
          <w:tcPr>
            <w:tcW w:type="dxa" w:w="1201"/>
            <w:vAlign w:val="center"/>
          </w:tcPr>
          <w:p>
            <w:pPr>
              <w:spacing w:before="20" w:after="20" w:line="260" w:lineRule="auto"/>
              <w:ind w:firstLine="0"/>
              <w:jc w:val="center"/>
            </w:pPr>
            <w:r>
              <w:rPr>
                <w:sz w:val="20"/>
                <w:szCs w:val="20"/>
              </w:rPr>
              <w:t xml:space="preserve">13,77%</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2.258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EGGS</w:t>
            </w:r>
          </w:p>
        </w:tc>
        <w:tc>
          <w:tcPr>
            <w:tcW w:type="dxa" w:w="1201"/>
            <w:vAlign w:val="center"/>
          </w:tcPr>
          <w:p>
            <w:pPr>
              <w:spacing w:before="20" w:after="20" w:line="260" w:lineRule="auto"/>
              <w:ind w:firstLine="0"/>
              <w:jc w:val="center"/>
            </w:pPr>
            <w:r>
              <w:rPr>
                <w:sz w:val="20"/>
                <w:szCs w:val="20"/>
              </w:rPr>
              <w:t xml:space="preserve">4.686</w:t>
            </w:r>
          </w:p>
        </w:tc>
        <w:tc>
          <w:tcPr>
            <w:tcW w:type="dxa" w:w="1201"/>
            <w:vAlign w:val="center"/>
          </w:tcPr>
          <w:p>
            <w:pPr>
              <w:spacing w:before="20" w:after="20" w:line="260" w:lineRule="auto"/>
              <w:ind w:firstLine="0"/>
              <w:jc w:val="center"/>
            </w:pPr>
            <w:r>
              <w:rPr>
                <w:sz w:val="20"/>
                <w:szCs w:val="20"/>
              </w:rPr>
              <w:t xml:space="preserve">5.039</w:t>
            </w:r>
          </w:p>
        </w:tc>
        <w:tc>
          <w:tcPr>
            <w:tcW w:type="dxa" w:w="1201"/>
            <w:vAlign w:val="center"/>
          </w:tcPr>
          <w:p>
            <w:pPr>
              <w:spacing w:before="20" w:after="20" w:line="260" w:lineRule="auto"/>
              <w:ind w:firstLine="0"/>
              <w:jc w:val="center"/>
            </w:pPr>
            <w:r>
              <w:rPr>
                <w:sz w:val="20"/>
                <w:szCs w:val="20"/>
              </w:rPr>
              <w:t xml:space="preserve">24,56%</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2.420</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A.22. Cửa hàng 22 (Puyo, Pastaza; loại C, cụm 7)</w:t>
      </w:r>
    </w:p>
    <w:p>
      <w:pPr>
        <w:keepLines w:val="0"/>
        <w:spacing w:after="120"/>
        <w:ind w:firstLine="567"/>
      </w:pPr>
      <w:r>
        <w:t xml:space="preserve">Trong 16 ngày của tập kiểm tra cuối, cửa hàng 22 có tổng doanh số thực tế 121.738 (hạng 46/54 về quy mô) và tổng dự báo 113.879, tức dự báo thấp hơn thực tế 6,46%. WAPE của cửa hàng là 20,90% (hạng 46/54 từ thấp đến cao), MAE 48,198, RMSE 135,790 và bias 14,885. Độ bao phủ thực nghiệm của khoảng P10–P90 đạt 73,67% (hạng 38/54), so với mức danh nghĩa 80%. Nhóm có doanh số thực tế lớn nhất là GROCERY I (43.450; WAPE 13,69%; bao phủ 75,00%). Trong các nhóm có quy mô từ trung vị của cửa hàng trở lên, nhóm có WAPE thấp nhất là GROCERY I (13,69%). Có 3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89.064, 113.626 và 152.689; tổng lượng bổ sung gợi ý theo giả định là 61.789. Cửa hàng có 23 nhóm mang nhãn HIGH, 10 nhóm MEDIUM và 0 nhóm LOW. Bảng A.24 liệt kê mười nhóm có doanh số thực tế lớn nhất của cửa hàng.</w:t>
      </w:r>
    </w:p>
    <w:p>
      <w:pPr>
        <w:keepNext/>
        <w:spacing w:before="120" w:after="60"/>
        <w:ind w:firstLine="0"/>
        <w:jc w:val="center"/>
      </w:pPr>
      <w:r>
        <w:t xml:space="preserve">Bảng A.24. Mười nhóm sản phẩm có doanh số thực tế lớn nhất của cửa hàng 22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43.450</w:t>
            </w:r>
          </w:p>
        </w:tc>
        <w:tc>
          <w:tcPr>
            <w:tcW w:type="dxa" w:w="1201"/>
            <w:vAlign w:val="center"/>
          </w:tcPr>
          <w:p>
            <w:pPr>
              <w:spacing w:before="20" w:after="20" w:line="260" w:lineRule="auto"/>
              <w:ind w:firstLine="0"/>
              <w:jc w:val="center"/>
            </w:pPr>
            <w:r>
              <w:rPr>
                <w:sz w:val="20"/>
                <w:szCs w:val="20"/>
              </w:rPr>
              <w:t xml:space="preserve">41.578</w:t>
            </w:r>
          </w:p>
        </w:tc>
        <w:tc>
          <w:tcPr>
            <w:tcW w:type="dxa" w:w="1201"/>
            <w:vAlign w:val="center"/>
          </w:tcPr>
          <w:p>
            <w:pPr>
              <w:spacing w:before="20" w:after="20" w:line="260" w:lineRule="auto"/>
              <w:ind w:firstLine="0"/>
              <w:jc w:val="center"/>
            </w:pPr>
            <w:r>
              <w:rPr>
                <w:sz w:val="20"/>
                <w:szCs w:val="20"/>
              </w:rPr>
              <w:t xml:space="preserve">13,69%</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20.480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31.554</w:t>
            </w:r>
          </w:p>
        </w:tc>
        <w:tc>
          <w:tcPr>
            <w:tcW w:type="dxa" w:w="1201"/>
            <w:vAlign w:val="center"/>
          </w:tcPr>
          <w:p>
            <w:pPr>
              <w:spacing w:before="20" w:after="20" w:line="260" w:lineRule="auto"/>
              <w:ind w:firstLine="0"/>
              <w:jc w:val="center"/>
            </w:pPr>
            <w:r>
              <w:rPr>
                <w:sz w:val="20"/>
                <w:szCs w:val="20"/>
              </w:rPr>
              <w:t xml:space="preserve">27.478</w:t>
            </w:r>
          </w:p>
        </w:tc>
        <w:tc>
          <w:tcPr>
            <w:tcW w:type="dxa" w:w="1201"/>
            <w:vAlign w:val="center"/>
          </w:tcPr>
          <w:p>
            <w:pPr>
              <w:spacing w:before="20" w:after="20" w:line="260" w:lineRule="auto"/>
              <w:ind w:firstLine="0"/>
              <w:jc w:val="center"/>
            </w:pPr>
            <w:r>
              <w:rPr>
                <w:sz w:val="20"/>
                <w:szCs w:val="20"/>
              </w:rPr>
              <w:t xml:space="preserve">20,20%</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17.660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13.104</w:t>
            </w:r>
          </w:p>
        </w:tc>
        <w:tc>
          <w:tcPr>
            <w:tcW w:type="dxa" w:w="1201"/>
            <w:vAlign w:val="center"/>
          </w:tcPr>
          <w:p>
            <w:pPr>
              <w:spacing w:before="20" w:after="20" w:line="260" w:lineRule="auto"/>
              <w:ind w:firstLine="0"/>
              <w:jc w:val="center"/>
            </w:pPr>
            <w:r>
              <w:rPr>
                <w:sz w:val="20"/>
                <w:szCs w:val="20"/>
              </w:rPr>
              <w:t xml:space="preserve">9.991</w:t>
            </w:r>
          </w:p>
        </w:tc>
        <w:tc>
          <w:tcPr>
            <w:tcW w:type="dxa" w:w="1201"/>
            <w:vAlign w:val="center"/>
          </w:tcPr>
          <w:p>
            <w:pPr>
              <w:spacing w:before="20" w:after="20" w:line="260" w:lineRule="auto"/>
              <w:ind w:firstLine="0"/>
              <w:jc w:val="center"/>
            </w:pPr>
            <w:r>
              <w:rPr>
                <w:sz w:val="20"/>
                <w:szCs w:val="20"/>
              </w:rPr>
              <w:t xml:space="preserve">25,99%</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4.430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8.224</w:t>
            </w:r>
          </w:p>
        </w:tc>
        <w:tc>
          <w:tcPr>
            <w:tcW w:type="dxa" w:w="1201"/>
            <w:vAlign w:val="center"/>
          </w:tcPr>
          <w:p>
            <w:pPr>
              <w:spacing w:before="20" w:after="20" w:line="260" w:lineRule="auto"/>
              <w:ind w:firstLine="0"/>
              <w:jc w:val="center"/>
            </w:pPr>
            <w:r>
              <w:rPr>
                <w:sz w:val="20"/>
                <w:szCs w:val="20"/>
              </w:rPr>
              <w:t xml:space="preserve">8.422</w:t>
            </w:r>
          </w:p>
        </w:tc>
        <w:tc>
          <w:tcPr>
            <w:tcW w:type="dxa" w:w="1201"/>
            <w:vAlign w:val="center"/>
          </w:tcPr>
          <w:p>
            <w:pPr>
              <w:spacing w:before="20" w:after="20" w:line="260" w:lineRule="auto"/>
              <w:ind w:firstLine="0"/>
              <w:jc w:val="center"/>
            </w:pPr>
            <w:r>
              <w:rPr>
                <w:sz w:val="20"/>
                <w:szCs w:val="20"/>
              </w:rPr>
              <w:t xml:space="preserve">26,12%</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4.036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5.281</w:t>
            </w:r>
          </w:p>
        </w:tc>
        <w:tc>
          <w:tcPr>
            <w:tcW w:type="dxa" w:w="1201"/>
            <w:vAlign w:val="center"/>
          </w:tcPr>
          <w:p>
            <w:pPr>
              <w:spacing w:before="20" w:after="20" w:line="260" w:lineRule="auto"/>
              <w:ind w:firstLine="0"/>
              <w:jc w:val="center"/>
            </w:pPr>
            <w:r>
              <w:rPr>
                <w:sz w:val="20"/>
                <w:szCs w:val="20"/>
              </w:rPr>
              <w:t xml:space="preserve">5.875</w:t>
            </w:r>
          </w:p>
        </w:tc>
        <w:tc>
          <w:tcPr>
            <w:tcW w:type="dxa" w:w="1201"/>
            <w:vAlign w:val="center"/>
          </w:tcPr>
          <w:p>
            <w:pPr>
              <w:spacing w:before="20" w:after="20" w:line="260" w:lineRule="auto"/>
              <w:ind w:firstLine="0"/>
              <w:jc w:val="center"/>
            </w:pPr>
            <w:r>
              <w:rPr>
                <w:sz w:val="20"/>
                <w:szCs w:val="20"/>
              </w:rPr>
              <w:t xml:space="preserve">14,51%</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2.563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2.944</w:t>
            </w:r>
          </w:p>
        </w:tc>
        <w:tc>
          <w:tcPr>
            <w:tcW w:type="dxa" w:w="1201"/>
            <w:vAlign w:val="center"/>
          </w:tcPr>
          <w:p>
            <w:pPr>
              <w:spacing w:before="20" w:after="20" w:line="260" w:lineRule="auto"/>
              <w:ind w:firstLine="0"/>
              <w:jc w:val="center"/>
            </w:pPr>
            <w:r>
              <w:rPr>
                <w:sz w:val="20"/>
                <w:szCs w:val="20"/>
              </w:rPr>
              <w:t xml:space="preserve">2.959</w:t>
            </w:r>
          </w:p>
        </w:tc>
        <w:tc>
          <w:tcPr>
            <w:tcW w:type="dxa" w:w="1201"/>
            <w:vAlign w:val="center"/>
          </w:tcPr>
          <w:p>
            <w:pPr>
              <w:spacing w:before="20" w:after="20" w:line="260" w:lineRule="auto"/>
              <w:ind w:firstLine="0"/>
              <w:jc w:val="center"/>
            </w:pPr>
            <w:r>
              <w:rPr>
                <w:sz w:val="20"/>
                <w:szCs w:val="20"/>
              </w:rPr>
              <w:t xml:space="preserve">14,34%</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1.459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2.623</w:t>
            </w:r>
          </w:p>
        </w:tc>
        <w:tc>
          <w:tcPr>
            <w:tcW w:type="dxa" w:w="1201"/>
            <w:vAlign w:val="center"/>
          </w:tcPr>
          <w:p>
            <w:pPr>
              <w:spacing w:before="20" w:after="20" w:line="260" w:lineRule="auto"/>
              <w:ind w:firstLine="0"/>
              <w:jc w:val="center"/>
            </w:pPr>
            <w:r>
              <w:rPr>
                <w:sz w:val="20"/>
                <w:szCs w:val="20"/>
              </w:rPr>
              <w:t xml:space="preserve">2.681</w:t>
            </w:r>
          </w:p>
        </w:tc>
        <w:tc>
          <w:tcPr>
            <w:tcW w:type="dxa" w:w="1201"/>
            <w:vAlign w:val="center"/>
          </w:tcPr>
          <w:p>
            <w:pPr>
              <w:spacing w:before="20" w:after="20" w:line="260" w:lineRule="auto"/>
              <w:ind w:firstLine="0"/>
              <w:jc w:val="center"/>
            </w:pPr>
            <w:r>
              <w:rPr>
                <w:sz w:val="20"/>
                <w:szCs w:val="20"/>
              </w:rPr>
              <w:t xml:space="preserve">19,71%</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1.319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2.395</w:t>
            </w:r>
          </w:p>
        </w:tc>
        <w:tc>
          <w:tcPr>
            <w:tcW w:type="dxa" w:w="1201"/>
            <w:vAlign w:val="center"/>
          </w:tcPr>
          <w:p>
            <w:pPr>
              <w:spacing w:before="20" w:after="20" w:line="260" w:lineRule="auto"/>
              <w:ind w:firstLine="0"/>
              <w:jc w:val="center"/>
            </w:pPr>
            <w:r>
              <w:rPr>
                <w:sz w:val="20"/>
                <w:szCs w:val="20"/>
              </w:rPr>
              <w:t xml:space="preserve">2.585</w:t>
            </w:r>
          </w:p>
        </w:tc>
        <w:tc>
          <w:tcPr>
            <w:tcW w:type="dxa" w:w="1201"/>
            <w:vAlign w:val="center"/>
          </w:tcPr>
          <w:p>
            <w:pPr>
              <w:spacing w:before="20" w:after="20" w:line="260" w:lineRule="auto"/>
              <w:ind w:firstLine="0"/>
              <w:jc w:val="center"/>
            </w:pPr>
            <w:r>
              <w:rPr>
                <w:sz w:val="20"/>
                <w:szCs w:val="20"/>
              </w:rPr>
              <w:t xml:space="preserve">32,20%</w:t>
            </w:r>
          </w:p>
        </w:tc>
        <w:tc>
          <w:tcPr>
            <w:tcW w:type="dxa" w:w="1201"/>
            <w:vAlign w:val="center"/>
          </w:tcPr>
          <w:p>
            <w:pPr>
              <w:spacing w:before="20" w:after="20" w:line="260" w:lineRule="auto"/>
              <w:ind w:firstLine="0"/>
              <w:jc w:val="center"/>
            </w:pPr>
            <w:r>
              <w:rPr>
                <w:sz w:val="20"/>
                <w:szCs w:val="20"/>
              </w:rPr>
              <w:t xml:space="preserve">43,75%</w:t>
            </w:r>
          </w:p>
        </w:tc>
        <w:tc>
          <w:tcPr>
            <w:tcW w:type="dxa" w:w="1531"/>
            <w:vAlign w:val="center"/>
          </w:tcPr>
          <w:p>
            <w:pPr>
              <w:spacing w:before="20" w:after="20" w:line="260" w:lineRule="auto"/>
              <w:ind w:firstLine="0"/>
              <w:jc w:val="center"/>
            </w:pPr>
            <w:r>
              <w:rPr>
                <w:sz w:val="20"/>
                <w:szCs w:val="20"/>
              </w:rPr>
              <w:t xml:space="preserve">1.272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2.349</w:t>
            </w:r>
          </w:p>
        </w:tc>
        <w:tc>
          <w:tcPr>
            <w:tcW w:type="dxa" w:w="1201"/>
            <w:vAlign w:val="center"/>
          </w:tcPr>
          <w:p>
            <w:pPr>
              <w:spacing w:before="20" w:after="20" w:line="260" w:lineRule="auto"/>
              <w:ind w:firstLine="0"/>
              <w:jc w:val="center"/>
            </w:pPr>
            <w:r>
              <w:rPr>
                <w:sz w:val="20"/>
                <w:szCs w:val="20"/>
              </w:rPr>
              <w:t xml:space="preserve">2.819</w:t>
            </w:r>
          </w:p>
        </w:tc>
        <w:tc>
          <w:tcPr>
            <w:tcW w:type="dxa" w:w="1201"/>
            <w:vAlign w:val="center"/>
          </w:tcPr>
          <w:p>
            <w:pPr>
              <w:spacing w:before="20" w:after="20" w:line="260" w:lineRule="auto"/>
              <w:ind w:firstLine="0"/>
              <w:jc w:val="center"/>
            </w:pPr>
            <w:r>
              <w:rPr>
                <w:sz w:val="20"/>
                <w:szCs w:val="20"/>
              </w:rPr>
              <w:t xml:space="preserve">24,05%</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1.347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2.305</w:t>
            </w:r>
          </w:p>
        </w:tc>
        <w:tc>
          <w:tcPr>
            <w:tcW w:type="dxa" w:w="1201"/>
            <w:vAlign w:val="center"/>
          </w:tcPr>
          <w:p>
            <w:pPr>
              <w:spacing w:before="20" w:after="20" w:line="260" w:lineRule="auto"/>
              <w:ind w:firstLine="0"/>
              <w:jc w:val="center"/>
            </w:pPr>
            <w:r>
              <w:rPr>
                <w:sz w:val="20"/>
                <w:szCs w:val="20"/>
              </w:rPr>
              <w:t xml:space="preserve">2.608</w:t>
            </w:r>
          </w:p>
        </w:tc>
        <w:tc>
          <w:tcPr>
            <w:tcW w:type="dxa" w:w="1201"/>
            <w:vAlign w:val="center"/>
          </w:tcPr>
          <w:p>
            <w:pPr>
              <w:spacing w:before="20" w:after="20" w:line="260" w:lineRule="auto"/>
              <w:ind w:firstLine="0"/>
              <w:jc w:val="center"/>
            </w:pPr>
            <w:r>
              <w:rPr>
                <w:sz w:val="20"/>
                <w:szCs w:val="20"/>
              </w:rPr>
              <w:t xml:space="preserve">33,42%</w:t>
            </w:r>
          </w:p>
        </w:tc>
        <w:tc>
          <w:tcPr>
            <w:tcW w:type="dxa" w:w="1201"/>
            <w:vAlign w:val="center"/>
          </w:tcPr>
          <w:p>
            <w:pPr>
              <w:spacing w:before="20" w:after="20" w:line="260" w:lineRule="auto"/>
              <w:ind w:firstLine="0"/>
              <w:jc w:val="center"/>
            </w:pPr>
            <w:r>
              <w:rPr>
                <w:sz w:val="20"/>
                <w:szCs w:val="20"/>
              </w:rPr>
              <w:t xml:space="preserve">43,75%</w:t>
            </w:r>
          </w:p>
        </w:tc>
        <w:tc>
          <w:tcPr>
            <w:tcW w:type="dxa" w:w="1531"/>
            <w:vAlign w:val="center"/>
          </w:tcPr>
          <w:p>
            <w:pPr>
              <w:spacing w:before="20" w:after="20" w:line="260" w:lineRule="auto"/>
              <w:ind w:firstLine="0"/>
              <w:jc w:val="center"/>
            </w:pPr>
            <w:r>
              <w:rPr>
                <w:sz w:val="20"/>
                <w:szCs w:val="20"/>
              </w:rPr>
              <w:t xml:space="preserve">1.277</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A.23. Cửa hàng 23 (Ambato, Tungurahua; loại D, cụm 9)</w:t>
      </w:r>
    </w:p>
    <w:p>
      <w:pPr>
        <w:keepLines w:val="0"/>
        <w:spacing w:after="120"/>
        <w:ind w:firstLine="567"/>
      </w:pPr>
      <w:r>
        <w:t xml:space="preserve">Trong 16 ngày của tập kiểm tra cuối, cửa hàng 23 có tổng doanh số thực tế 120.386 (hạng 47/54 về quy mô) và tổng dự báo 133.570, tức dự báo cao hơn thực tế 10,95%. WAPE của cửa hàng là 17,71% (hạng 41/54 từ thấp đến cao), MAE 40,382, RMSE 98,724 và bias −24,969. Độ bao phủ thực nghiệm của khoảng P10–P90 đạt 71,78% (hạng 46/54), so với mức danh nghĩa 80%. Nhóm có doanh số thực tế lớn nhất là GROCERY I (32.535; WAPE 14,12%; bao phủ 81,25%). Trong các nhóm có quy mô từ trung vị của cửa hàng trở lên, nhóm có WAPE thấp nhất là DAIRY (12,45%).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103.495, 133.281 và 181.003; tổng lượng bổ sung gợi ý theo giả định là 74.378. Cửa hàng có 22 nhóm mang nhãn HIGH, 11 nhóm MEDIUM và 0 nhóm LOW. Bảng A.25 liệt kê mười nhóm có doanh số thực tế lớn nhất của cửa hàng.</w:t>
      </w:r>
    </w:p>
    <w:p>
      <w:pPr>
        <w:keepNext/>
        <w:spacing w:before="120" w:after="60"/>
        <w:ind w:firstLine="0"/>
        <w:jc w:val="center"/>
      </w:pPr>
      <w:r>
        <w:t xml:space="preserve">Bảng A.25. Mười nhóm sản phẩm có doanh số thực tế lớn nhất của cửa hàng 23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32.535</w:t>
            </w:r>
          </w:p>
        </w:tc>
        <w:tc>
          <w:tcPr>
            <w:tcW w:type="dxa" w:w="1201"/>
            <w:vAlign w:val="center"/>
          </w:tcPr>
          <w:p>
            <w:pPr>
              <w:spacing w:before="20" w:after="20" w:line="260" w:lineRule="auto"/>
              <w:ind w:firstLine="0"/>
              <w:jc w:val="center"/>
            </w:pPr>
            <w:r>
              <w:rPr>
                <w:sz w:val="20"/>
                <w:szCs w:val="20"/>
              </w:rPr>
              <w:t xml:space="preserve">36.882</w:t>
            </w:r>
          </w:p>
        </w:tc>
        <w:tc>
          <w:tcPr>
            <w:tcW w:type="dxa" w:w="1201"/>
            <w:vAlign w:val="center"/>
          </w:tcPr>
          <w:p>
            <w:pPr>
              <w:spacing w:before="20" w:after="20" w:line="260" w:lineRule="auto"/>
              <w:ind w:firstLine="0"/>
              <w:jc w:val="center"/>
            </w:pPr>
            <w:r>
              <w:rPr>
                <w:sz w:val="20"/>
                <w:szCs w:val="20"/>
              </w:rPr>
              <w:t xml:space="preserve">14,12%</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19.541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22.060</w:t>
            </w:r>
          </w:p>
        </w:tc>
        <w:tc>
          <w:tcPr>
            <w:tcW w:type="dxa" w:w="1201"/>
            <w:vAlign w:val="center"/>
          </w:tcPr>
          <w:p>
            <w:pPr>
              <w:spacing w:before="20" w:after="20" w:line="260" w:lineRule="auto"/>
              <w:ind w:firstLine="0"/>
              <w:jc w:val="center"/>
            </w:pPr>
            <w:r>
              <w:rPr>
                <w:sz w:val="20"/>
                <w:szCs w:val="20"/>
              </w:rPr>
              <w:t xml:space="preserve">26.240</w:t>
            </w:r>
          </w:p>
        </w:tc>
        <w:tc>
          <w:tcPr>
            <w:tcW w:type="dxa" w:w="1201"/>
            <w:vAlign w:val="center"/>
          </w:tcPr>
          <w:p>
            <w:pPr>
              <w:spacing w:before="20" w:after="20" w:line="260" w:lineRule="auto"/>
              <w:ind w:firstLine="0"/>
              <w:jc w:val="center"/>
            </w:pPr>
            <w:r>
              <w:rPr>
                <w:sz w:val="20"/>
                <w:szCs w:val="20"/>
              </w:rPr>
              <w:t xml:space="preserve">19,34%</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17.412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18.701</w:t>
            </w:r>
          </w:p>
        </w:tc>
        <w:tc>
          <w:tcPr>
            <w:tcW w:type="dxa" w:w="1201"/>
            <w:vAlign w:val="center"/>
          </w:tcPr>
          <w:p>
            <w:pPr>
              <w:spacing w:before="20" w:after="20" w:line="260" w:lineRule="auto"/>
              <w:ind w:firstLine="0"/>
              <w:jc w:val="center"/>
            </w:pPr>
            <w:r>
              <w:rPr>
                <w:sz w:val="20"/>
                <w:szCs w:val="20"/>
              </w:rPr>
              <w:t xml:space="preserve">20.567</w:t>
            </w:r>
          </w:p>
        </w:tc>
        <w:tc>
          <w:tcPr>
            <w:tcW w:type="dxa" w:w="1201"/>
            <w:vAlign w:val="center"/>
          </w:tcPr>
          <w:p>
            <w:pPr>
              <w:spacing w:before="20" w:after="20" w:line="260" w:lineRule="auto"/>
              <w:ind w:firstLine="0"/>
              <w:jc w:val="center"/>
            </w:pPr>
            <w:r>
              <w:rPr>
                <w:sz w:val="20"/>
                <w:szCs w:val="20"/>
              </w:rPr>
              <w:t xml:space="preserve">12,67%</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12.020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10.301</w:t>
            </w:r>
          </w:p>
        </w:tc>
        <w:tc>
          <w:tcPr>
            <w:tcW w:type="dxa" w:w="1201"/>
            <w:vAlign w:val="center"/>
          </w:tcPr>
          <w:p>
            <w:pPr>
              <w:spacing w:before="20" w:after="20" w:line="260" w:lineRule="auto"/>
              <w:ind w:firstLine="0"/>
              <w:jc w:val="center"/>
            </w:pPr>
            <w:r>
              <w:rPr>
                <w:sz w:val="20"/>
                <w:szCs w:val="20"/>
              </w:rPr>
              <w:t xml:space="preserve">9.868</w:t>
            </w:r>
          </w:p>
        </w:tc>
        <w:tc>
          <w:tcPr>
            <w:tcW w:type="dxa" w:w="1201"/>
            <w:vAlign w:val="center"/>
          </w:tcPr>
          <w:p>
            <w:pPr>
              <w:spacing w:before="20" w:after="20" w:line="260" w:lineRule="auto"/>
              <w:ind w:firstLine="0"/>
              <w:jc w:val="center"/>
            </w:pPr>
            <w:r>
              <w:rPr>
                <w:sz w:val="20"/>
                <w:szCs w:val="20"/>
              </w:rPr>
              <w:t xml:space="preserve">27,21%</w:t>
            </w:r>
          </w:p>
        </w:tc>
        <w:tc>
          <w:tcPr>
            <w:tcW w:type="dxa" w:w="1201"/>
            <w:vAlign w:val="center"/>
          </w:tcPr>
          <w:p>
            <w:pPr>
              <w:spacing w:before="20" w:after="20" w:line="260" w:lineRule="auto"/>
              <w:ind w:firstLine="0"/>
              <w:jc w:val="center"/>
            </w:pPr>
            <w:r>
              <w:rPr>
                <w:sz w:val="20"/>
                <w:szCs w:val="20"/>
              </w:rPr>
              <w:t xml:space="preserve">37,50%</w:t>
            </w:r>
          </w:p>
        </w:tc>
        <w:tc>
          <w:tcPr>
            <w:tcW w:type="dxa" w:w="1531"/>
            <w:vAlign w:val="center"/>
          </w:tcPr>
          <w:p>
            <w:pPr>
              <w:spacing w:before="20" w:after="20" w:line="260" w:lineRule="auto"/>
              <w:ind w:firstLine="0"/>
              <w:jc w:val="center"/>
            </w:pPr>
            <w:r>
              <w:rPr>
                <w:sz w:val="20"/>
                <w:szCs w:val="20"/>
              </w:rPr>
              <w:t xml:space="preserve">4.004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8.236</w:t>
            </w:r>
          </w:p>
        </w:tc>
        <w:tc>
          <w:tcPr>
            <w:tcW w:type="dxa" w:w="1201"/>
            <w:vAlign w:val="center"/>
          </w:tcPr>
          <w:p>
            <w:pPr>
              <w:spacing w:before="20" w:after="20" w:line="260" w:lineRule="auto"/>
              <w:ind w:firstLine="0"/>
              <w:jc w:val="center"/>
            </w:pPr>
            <w:r>
              <w:rPr>
                <w:sz w:val="20"/>
                <w:szCs w:val="20"/>
              </w:rPr>
              <w:t xml:space="preserve">9.502</w:t>
            </w:r>
          </w:p>
        </w:tc>
        <w:tc>
          <w:tcPr>
            <w:tcW w:type="dxa" w:w="1201"/>
            <w:vAlign w:val="center"/>
          </w:tcPr>
          <w:p>
            <w:pPr>
              <w:spacing w:before="20" w:after="20" w:line="260" w:lineRule="auto"/>
              <w:ind w:firstLine="0"/>
              <w:jc w:val="center"/>
            </w:pPr>
            <w:r>
              <w:rPr>
                <w:sz w:val="20"/>
                <w:szCs w:val="20"/>
              </w:rPr>
              <w:t xml:space="preserve">15,37%</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4.332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7.686</w:t>
            </w:r>
          </w:p>
        </w:tc>
        <w:tc>
          <w:tcPr>
            <w:tcW w:type="dxa" w:w="1201"/>
            <w:vAlign w:val="center"/>
          </w:tcPr>
          <w:p>
            <w:pPr>
              <w:spacing w:before="20" w:after="20" w:line="260" w:lineRule="auto"/>
              <w:ind w:firstLine="0"/>
              <w:jc w:val="center"/>
            </w:pPr>
            <w:r>
              <w:rPr>
                <w:sz w:val="20"/>
                <w:szCs w:val="20"/>
              </w:rPr>
              <w:t xml:space="preserve">8.491</w:t>
            </w:r>
          </w:p>
        </w:tc>
        <w:tc>
          <w:tcPr>
            <w:tcW w:type="dxa" w:w="1201"/>
            <w:vAlign w:val="center"/>
          </w:tcPr>
          <w:p>
            <w:pPr>
              <w:spacing w:before="20" w:after="20" w:line="260" w:lineRule="auto"/>
              <w:ind w:firstLine="0"/>
              <w:jc w:val="center"/>
            </w:pPr>
            <w:r>
              <w:rPr>
                <w:sz w:val="20"/>
                <w:szCs w:val="20"/>
              </w:rPr>
              <w:t xml:space="preserve">12,45%</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4.130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5.313</w:t>
            </w:r>
          </w:p>
        </w:tc>
        <w:tc>
          <w:tcPr>
            <w:tcW w:type="dxa" w:w="1201"/>
            <w:vAlign w:val="center"/>
          </w:tcPr>
          <w:p>
            <w:pPr>
              <w:spacing w:before="20" w:after="20" w:line="260" w:lineRule="auto"/>
              <w:ind w:firstLine="0"/>
              <w:jc w:val="center"/>
            </w:pPr>
            <w:r>
              <w:rPr>
                <w:sz w:val="20"/>
                <w:szCs w:val="20"/>
              </w:rPr>
              <w:t xml:space="preserve">5.125</w:t>
            </w:r>
          </w:p>
        </w:tc>
        <w:tc>
          <w:tcPr>
            <w:tcW w:type="dxa" w:w="1201"/>
            <w:vAlign w:val="center"/>
          </w:tcPr>
          <w:p>
            <w:pPr>
              <w:spacing w:before="20" w:after="20" w:line="260" w:lineRule="auto"/>
              <w:ind w:firstLine="0"/>
              <w:jc w:val="center"/>
            </w:pPr>
            <w:r>
              <w:rPr>
                <w:sz w:val="20"/>
                <w:szCs w:val="20"/>
              </w:rPr>
              <w:t xml:space="preserve">16,67%</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2.332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4.136</w:t>
            </w:r>
          </w:p>
        </w:tc>
        <w:tc>
          <w:tcPr>
            <w:tcW w:type="dxa" w:w="1201"/>
            <w:vAlign w:val="center"/>
          </w:tcPr>
          <w:p>
            <w:pPr>
              <w:spacing w:before="20" w:after="20" w:line="260" w:lineRule="auto"/>
              <w:ind w:firstLine="0"/>
              <w:jc w:val="center"/>
            </w:pPr>
            <w:r>
              <w:rPr>
                <w:sz w:val="20"/>
                <w:szCs w:val="20"/>
              </w:rPr>
              <w:t xml:space="preserve">4.547</w:t>
            </w:r>
          </w:p>
        </w:tc>
        <w:tc>
          <w:tcPr>
            <w:tcW w:type="dxa" w:w="1201"/>
            <w:vAlign w:val="center"/>
          </w:tcPr>
          <w:p>
            <w:pPr>
              <w:spacing w:before="20" w:after="20" w:line="260" w:lineRule="auto"/>
              <w:ind w:firstLine="0"/>
              <w:jc w:val="center"/>
            </w:pPr>
            <w:r>
              <w:rPr>
                <w:sz w:val="20"/>
                <w:szCs w:val="20"/>
              </w:rPr>
              <w:t xml:space="preserve">15,01%</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2.056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2.344</w:t>
            </w:r>
          </w:p>
        </w:tc>
        <w:tc>
          <w:tcPr>
            <w:tcW w:type="dxa" w:w="1201"/>
            <w:vAlign w:val="center"/>
          </w:tcPr>
          <w:p>
            <w:pPr>
              <w:spacing w:before="20" w:after="20" w:line="260" w:lineRule="auto"/>
              <w:ind w:firstLine="0"/>
              <w:jc w:val="center"/>
            </w:pPr>
            <w:r>
              <w:rPr>
                <w:sz w:val="20"/>
                <w:szCs w:val="20"/>
              </w:rPr>
              <w:t xml:space="preserve">2.661</w:t>
            </w:r>
          </w:p>
        </w:tc>
        <w:tc>
          <w:tcPr>
            <w:tcW w:type="dxa" w:w="1201"/>
            <w:vAlign w:val="center"/>
          </w:tcPr>
          <w:p>
            <w:pPr>
              <w:spacing w:before="20" w:after="20" w:line="260" w:lineRule="auto"/>
              <w:ind w:firstLine="0"/>
              <w:jc w:val="center"/>
            </w:pPr>
            <w:r>
              <w:rPr>
                <w:sz w:val="20"/>
                <w:szCs w:val="20"/>
              </w:rPr>
              <w:t xml:space="preserve">15,08%</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1.287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2.033</w:t>
            </w:r>
          </w:p>
        </w:tc>
        <w:tc>
          <w:tcPr>
            <w:tcW w:type="dxa" w:w="1201"/>
            <w:vAlign w:val="center"/>
          </w:tcPr>
          <w:p>
            <w:pPr>
              <w:spacing w:before="20" w:after="20" w:line="260" w:lineRule="auto"/>
              <w:ind w:firstLine="0"/>
              <w:jc w:val="center"/>
            </w:pPr>
            <w:r>
              <w:rPr>
                <w:sz w:val="20"/>
                <w:szCs w:val="20"/>
              </w:rPr>
              <w:t xml:space="preserve">2.261</w:t>
            </w:r>
          </w:p>
        </w:tc>
        <w:tc>
          <w:tcPr>
            <w:tcW w:type="dxa" w:w="1201"/>
            <w:vAlign w:val="center"/>
          </w:tcPr>
          <w:p>
            <w:pPr>
              <w:spacing w:before="20" w:after="20" w:line="260" w:lineRule="auto"/>
              <w:ind w:firstLine="0"/>
              <w:jc w:val="center"/>
            </w:pPr>
            <w:r>
              <w:rPr>
                <w:sz w:val="20"/>
                <w:szCs w:val="20"/>
              </w:rPr>
              <w:t xml:space="preserve">16,93%</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1.151</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A.24. Cửa hàng 24 (Guayaquil, Guayas; loại D, cụm 1)</w:t>
      </w:r>
    </w:p>
    <w:p>
      <w:pPr>
        <w:keepLines w:val="0"/>
        <w:spacing w:after="120"/>
        <w:ind w:firstLine="567"/>
      </w:pPr>
      <w:r>
        <w:t xml:space="preserve">Trong 16 ngày của tập kiểm tra cuối, cửa hàng 24 có tổng doanh số thực tế 268.780 (hạng 17/54 về quy mô) và tổng dự báo 283.646, tức dự báo cao hơn thực tế 5,53%. WAPE của cửa hàng là 9,23% (hạng 2/54 từ thấp đến cao), MAE 46,983, RMSE 118,319 và bias −28,156. Độ bao phủ thực nghiệm của khoảng P10–P90 đạt 80,11% (hạng 1/54), so với mức danh nghĩa 80%. Nhóm có doanh số thực tế lớn nhất là GROCERY I (63.862; WAPE 8,20%; bao phủ 75,00%). Trong các nhóm có quy mô từ trung vị của cửa hàng trở lên, nhóm có WAPE thấp nhất là BEVERAGES (6,36%). Có 3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240.573, 283.608 và 354.397; tổng lượng bổ sung gợi ý theo giả định là 127.510. Cửa hàng có 18 nhóm mang nhãn HIGH, 12 nhóm MEDIUM và 3 nhóm LOW. Bảng A.26 liệt kê mười nhóm có doanh số thực tế lớn nhất của cửa hàng.</w:t>
      </w:r>
    </w:p>
    <w:p>
      <w:pPr>
        <w:keepNext/>
        <w:spacing w:before="120" w:after="60"/>
        <w:ind w:firstLine="0"/>
        <w:jc w:val="center"/>
      </w:pPr>
      <w:r>
        <w:t xml:space="preserve">Bảng A.26. Mười nhóm sản phẩm có doanh số thực tế lớn nhất của cửa hàng 24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63.862</w:t>
            </w:r>
          </w:p>
        </w:tc>
        <w:tc>
          <w:tcPr>
            <w:tcW w:type="dxa" w:w="1201"/>
            <w:vAlign w:val="center"/>
          </w:tcPr>
          <w:p>
            <w:pPr>
              <w:spacing w:before="20" w:after="20" w:line="260" w:lineRule="auto"/>
              <w:ind w:firstLine="0"/>
              <w:jc w:val="center"/>
            </w:pPr>
            <w:r>
              <w:rPr>
                <w:sz w:val="20"/>
                <w:szCs w:val="20"/>
              </w:rPr>
              <w:t xml:space="preserve">67.619</w:t>
            </w:r>
          </w:p>
        </w:tc>
        <w:tc>
          <w:tcPr>
            <w:tcW w:type="dxa" w:w="1201"/>
            <w:vAlign w:val="center"/>
          </w:tcPr>
          <w:p>
            <w:pPr>
              <w:spacing w:before="20" w:after="20" w:line="260" w:lineRule="auto"/>
              <w:ind w:firstLine="0"/>
              <w:jc w:val="center"/>
            </w:pPr>
            <w:r>
              <w:rPr>
                <w:sz w:val="20"/>
                <w:szCs w:val="20"/>
              </w:rPr>
              <w:t xml:space="preserve">8,20%</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25.688</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58.897</w:t>
            </w:r>
          </w:p>
        </w:tc>
        <w:tc>
          <w:tcPr>
            <w:tcW w:type="dxa" w:w="1201"/>
            <w:vAlign w:val="center"/>
          </w:tcPr>
          <w:p>
            <w:pPr>
              <w:spacing w:before="20" w:after="20" w:line="260" w:lineRule="auto"/>
              <w:ind w:firstLine="0"/>
              <w:jc w:val="center"/>
            </w:pPr>
            <w:r>
              <w:rPr>
                <w:sz w:val="20"/>
                <w:szCs w:val="20"/>
              </w:rPr>
              <w:t xml:space="preserve">60.898</w:t>
            </w:r>
          </w:p>
        </w:tc>
        <w:tc>
          <w:tcPr>
            <w:tcW w:type="dxa" w:w="1201"/>
            <w:vAlign w:val="center"/>
          </w:tcPr>
          <w:p>
            <w:pPr>
              <w:spacing w:before="20" w:after="20" w:line="260" w:lineRule="auto"/>
              <w:ind w:firstLine="0"/>
              <w:jc w:val="center"/>
            </w:pPr>
            <w:r>
              <w:rPr>
                <w:sz w:val="20"/>
                <w:szCs w:val="20"/>
              </w:rPr>
              <w:t xml:space="preserve">7,82%</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24.344</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54.921</w:t>
            </w:r>
          </w:p>
        </w:tc>
        <w:tc>
          <w:tcPr>
            <w:tcW w:type="dxa" w:w="1201"/>
            <w:vAlign w:val="center"/>
          </w:tcPr>
          <w:p>
            <w:pPr>
              <w:spacing w:before="20" w:after="20" w:line="260" w:lineRule="auto"/>
              <w:ind w:firstLine="0"/>
              <w:jc w:val="center"/>
            </w:pPr>
            <w:r>
              <w:rPr>
                <w:sz w:val="20"/>
                <w:szCs w:val="20"/>
              </w:rPr>
              <w:t xml:space="preserve">57.374</w:t>
            </w:r>
          </w:p>
        </w:tc>
        <w:tc>
          <w:tcPr>
            <w:tcW w:type="dxa" w:w="1201"/>
            <w:vAlign w:val="center"/>
          </w:tcPr>
          <w:p>
            <w:pPr>
              <w:spacing w:before="20" w:after="20" w:line="260" w:lineRule="auto"/>
              <w:ind w:firstLine="0"/>
              <w:jc w:val="center"/>
            </w:pPr>
            <w:r>
              <w:rPr>
                <w:sz w:val="20"/>
                <w:szCs w:val="20"/>
              </w:rPr>
              <w:t xml:space="preserve">6,36%</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23.639</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20.418</w:t>
            </w:r>
          </w:p>
        </w:tc>
        <w:tc>
          <w:tcPr>
            <w:tcW w:type="dxa" w:w="1201"/>
            <w:vAlign w:val="center"/>
          </w:tcPr>
          <w:p>
            <w:pPr>
              <w:spacing w:before="20" w:after="20" w:line="260" w:lineRule="auto"/>
              <w:ind w:firstLine="0"/>
              <w:jc w:val="center"/>
            </w:pPr>
            <w:r>
              <w:rPr>
                <w:sz w:val="20"/>
                <w:szCs w:val="20"/>
              </w:rPr>
              <w:t xml:space="preserve">21.822</w:t>
            </w:r>
          </w:p>
        </w:tc>
        <w:tc>
          <w:tcPr>
            <w:tcW w:type="dxa" w:w="1201"/>
            <w:vAlign w:val="center"/>
          </w:tcPr>
          <w:p>
            <w:pPr>
              <w:spacing w:before="20" w:after="20" w:line="260" w:lineRule="auto"/>
              <w:ind w:firstLine="0"/>
              <w:jc w:val="center"/>
            </w:pPr>
            <w:r>
              <w:rPr>
                <w:sz w:val="20"/>
                <w:szCs w:val="20"/>
              </w:rPr>
              <w:t xml:space="preserve">7,90%</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14.704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16.924</w:t>
            </w:r>
          </w:p>
        </w:tc>
        <w:tc>
          <w:tcPr>
            <w:tcW w:type="dxa" w:w="1201"/>
            <w:vAlign w:val="center"/>
          </w:tcPr>
          <w:p>
            <w:pPr>
              <w:spacing w:before="20" w:after="20" w:line="260" w:lineRule="auto"/>
              <w:ind w:firstLine="0"/>
              <w:jc w:val="center"/>
            </w:pPr>
            <w:r>
              <w:rPr>
                <w:sz w:val="20"/>
                <w:szCs w:val="20"/>
              </w:rPr>
              <w:t xml:space="preserve">19.390</w:t>
            </w:r>
          </w:p>
        </w:tc>
        <w:tc>
          <w:tcPr>
            <w:tcW w:type="dxa" w:w="1201"/>
            <w:vAlign w:val="center"/>
          </w:tcPr>
          <w:p>
            <w:pPr>
              <w:spacing w:before="20" w:after="20" w:line="260" w:lineRule="auto"/>
              <w:ind w:firstLine="0"/>
              <w:jc w:val="center"/>
            </w:pPr>
            <w:r>
              <w:rPr>
                <w:sz w:val="20"/>
                <w:szCs w:val="20"/>
              </w:rPr>
              <w:t xml:space="preserve">15,52%</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11.176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12.104</w:t>
            </w:r>
          </w:p>
        </w:tc>
        <w:tc>
          <w:tcPr>
            <w:tcW w:type="dxa" w:w="1201"/>
            <w:vAlign w:val="center"/>
          </w:tcPr>
          <w:p>
            <w:pPr>
              <w:spacing w:before="20" w:after="20" w:line="260" w:lineRule="auto"/>
              <w:ind w:firstLine="0"/>
              <w:jc w:val="center"/>
            </w:pPr>
            <w:r>
              <w:rPr>
                <w:sz w:val="20"/>
                <w:szCs w:val="20"/>
              </w:rPr>
              <w:t xml:space="preserve">12.449</w:t>
            </w:r>
          </w:p>
        </w:tc>
        <w:tc>
          <w:tcPr>
            <w:tcW w:type="dxa" w:w="1201"/>
            <w:vAlign w:val="center"/>
          </w:tcPr>
          <w:p>
            <w:pPr>
              <w:spacing w:before="20" w:after="20" w:line="260" w:lineRule="auto"/>
              <w:ind w:firstLine="0"/>
              <w:jc w:val="center"/>
            </w:pPr>
            <w:r>
              <w:rPr>
                <w:sz w:val="20"/>
                <w:szCs w:val="20"/>
              </w:rPr>
              <w:t xml:space="preserve">7,23%</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4.922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8.530</w:t>
            </w:r>
          </w:p>
        </w:tc>
        <w:tc>
          <w:tcPr>
            <w:tcW w:type="dxa" w:w="1201"/>
            <w:vAlign w:val="center"/>
          </w:tcPr>
          <w:p>
            <w:pPr>
              <w:spacing w:before="20" w:after="20" w:line="260" w:lineRule="auto"/>
              <w:ind w:firstLine="0"/>
              <w:jc w:val="center"/>
            </w:pPr>
            <w:r>
              <w:rPr>
                <w:sz w:val="20"/>
                <w:szCs w:val="20"/>
              </w:rPr>
              <w:t xml:space="preserve">9.099</w:t>
            </w:r>
          </w:p>
        </w:tc>
        <w:tc>
          <w:tcPr>
            <w:tcW w:type="dxa" w:w="1201"/>
            <w:vAlign w:val="center"/>
          </w:tcPr>
          <w:p>
            <w:pPr>
              <w:spacing w:before="20" w:after="20" w:line="260" w:lineRule="auto"/>
              <w:ind w:firstLine="0"/>
              <w:jc w:val="center"/>
            </w:pPr>
            <w:r>
              <w:rPr>
                <w:sz w:val="20"/>
                <w:szCs w:val="20"/>
              </w:rPr>
              <w:t xml:space="preserve">12,26%</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4.252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6.582</w:t>
            </w:r>
          </w:p>
        </w:tc>
        <w:tc>
          <w:tcPr>
            <w:tcW w:type="dxa" w:w="1201"/>
            <w:vAlign w:val="center"/>
          </w:tcPr>
          <w:p>
            <w:pPr>
              <w:spacing w:before="20" w:after="20" w:line="260" w:lineRule="auto"/>
              <w:ind w:firstLine="0"/>
              <w:jc w:val="center"/>
            </w:pPr>
            <w:r>
              <w:rPr>
                <w:sz w:val="20"/>
                <w:szCs w:val="20"/>
              </w:rPr>
              <w:t xml:space="preserve">6.926</w:t>
            </w:r>
          </w:p>
        </w:tc>
        <w:tc>
          <w:tcPr>
            <w:tcW w:type="dxa" w:w="1201"/>
            <w:vAlign w:val="center"/>
          </w:tcPr>
          <w:p>
            <w:pPr>
              <w:spacing w:before="20" w:after="20" w:line="260" w:lineRule="auto"/>
              <w:ind w:firstLine="0"/>
              <w:jc w:val="center"/>
            </w:pPr>
            <w:r>
              <w:rPr>
                <w:sz w:val="20"/>
                <w:szCs w:val="20"/>
              </w:rPr>
              <w:t xml:space="preserve">11,21%</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3.014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4.540</w:t>
            </w:r>
          </w:p>
        </w:tc>
        <w:tc>
          <w:tcPr>
            <w:tcW w:type="dxa" w:w="1201"/>
            <w:vAlign w:val="center"/>
          </w:tcPr>
          <w:p>
            <w:pPr>
              <w:spacing w:before="20" w:after="20" w:line="260" w:lineRule="auto"/>
              <w:ind w:firstLine="0"/>
              <w:jc w:val="center"/>
            </w:pPr>
            <w:r>
              <w:rPr>
                <w:sz w:val="20"/>
                <w:szCs w:val="20"/>
              </w:rPr>
              <w:t xml:space="preserve">4.653</w:t>
            </w:r>
          </w:p>
        </w:tc>
        <w:tc>
          <w:tcPr>
            <w:tcW w:type="dxa" w:w="1201"/>
            <w:vAlign w:val="center"/>
          </w:tcPr>
          <w:p>
            <w:pPr>
              <w:spacing w:before="20" w:after="20" w:line="260" w:lineRule="auto"/>
              <w:ind w:firstLine="0"/>
              <w:jc w:val="center"/>
            </w:pPr>
            <w:r>
              <w:rPr>
                <w:sz w:val="20"/>
                <w:szCs w:val="20"/>
              </w:rPr>
              <w:t xml:space="preserve">12,03%</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2.077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4.415</w:t>
            </w:r>
          </w:p>
        </w:tc>
        <w:tc>
          <w:tcPr>
            <w:tcW w:type="dxa" w:w="1201"/>
            <w:vAlign w:val="center"/>
          </w:tcPr>
          <w:p>
            <w:pPr>
              <w:spacing w:before="20" w:after="20" w:line="260" w:lineRule="auto"/>
              <w:ind w:firstLine="0"/>
              <w:jc w:val="center"/>
            </w:pPr>
            <w:r>
              <w:rPr>
                <w:sz w:val="20"/>
                <w:szCs w:val="20"/>
              </w:rPr>
              <w:t xml:space="preserve">4.691</w:t>
            </w:r>
          </w:p>
        </w:tc>
        <w:tc>
          <w:tcPr>
            <w:tcW w:type="dxa" w:w="1201"/>
            <w:vAlign w:val="center"/>
          </w:tcPr>
          <w:p>
            <w:pPr>
              <w:spacing w:before="20" w:after="20" w:line="260" w:lineRule="auto"/>
              <w:ind w:firstLine="0"/>
              <w:jc w:val="center"/>
            </w:pPr>
            <w:r>
              <w:rPr>
                <w:sz w:val="20"/>
                <w:szCs w:val="20"/>
              </w:rPr>
              <w:t xml:space="preserve">7,80%</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2.085</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A.25. Cửa hàng 25 (Salinas, Santa Elena; loại D, cụm 1)</w:t>
      </w:r>
    </w:p>
    <w:p>
      <w:pPr>
        <w:keepLines w:val="0"/>
        <w:spacing w:after="120"/>
        <w:ind w:firstLine="567"/>
      </w:pPr>
      <w:r>
        <w:t xml:space="preserve">Trong 16 ngày của tập kiểm tra cuối, cửa hàng 25 có tổng doanh số thực tế 154.922 (hạng 41/54 về quy mô) và tổng dự báo 121.653, tức dự báo thấp hơn thực tế 21,47%. WAPE của cửa hàng là 23,91% (hạng 51/54 từ thấp đến cao), MAE 70,161, RMSE 281,042 và bias 63,008. Độ bao phủ thực nghiệm của khoảng P10–P90 đạt 71,59% (hạng 47/54), so với mức danh nghĩa 80%. Nhóm có doanh số thực tế lớn nhất là BEVERAGES (38.771; WAPE 22,52%; bao phủ 81,25%). Trong các nhóm có quy mô từ trung vị của cửa hàng trở lên, nhóm có WAPE thấp nhất là PERSONAL CARE (15,16%). Có 3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92.928, 121.669 và 168.125; tổng lượng bổ sung gợi ý theo giả định là 70.789. Cửa hàng có 20 nhóm mang nhãn HIGH, 13 nhóm MEDIUM và 0 nhóm LOW. Bảng A.27 liệt kê mười nhóm có doanh số thực tế lớn nhất của cửa hàng.</w:t>
      </w:r>
    </w:p>
    <w:p>
      <w:pPr>
        <w:keepNext/>
        <w:spacing w:before="120" w:after="60"/>
        <w:ind w:firstLine="0"/>
        <w:jc w:val="center"/>
      </w:pPr>
      <w:r>
        <w:t xml:space="preserve">Bảng A.27. Mười nhóm sản phẩm có doanh số thực tế lớn nhất của cửa hàng 25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668"/>
        <w:gridCol w:w="1179"/>
        <w:gridCol w:w="1179"/>
        <w:gridCol w:w="1179"/>
        <w:gridCol w:w="1179"/>
        <w:gridCol w:w="1503"/>
        <w:gridCol w:w="1184"/>
      </w:tblGrid>
      <w:tr>
        <w:trPr>
          <w:tblHeader/>
          <w:cantSplit/>
        </w:trPr>
        <w:tc>
          <w:tcPr>
            <w:tcW w:type="dxa" w:w="1668"/>
            <w:shd w:val="clear" w:color="auto" w:fill="D9E2F3"/>
            <w:vAlign w:val="center"/>
          </w:tcPr>
          <w:p>
            <w:pPr>
              <w:spacing w:before="20" w:after="20" w:line="260" w:lineRule="auto"/>
              <w:ind w:firstLine="0"/>
              <w:jc w:val="center"/>
            </w:pPr>
            <w:r>
              <w:rPr>
                <w:b/>
                <w:sz w:val="20"/>
                <w:szCs w:val="20"/>
              </w:rPr>
              <w:t xml:space="preserve">Nhóm sản phẩm</w:t>
            </w:r>
          </w:p>
        </w:tc>
        <w:tc>
          <w:tcPr>
            <w:tcW w:type="dxa" w:w="1179"/>
            <w:shd w:val="clear" w:color="auto" w:fill="D9E2F3"/>
            <w:vAlign w:val="center"/>
          </w:tcPr>
          <w:p>
            <w:pPr>
              <w:spacing w:before="20" w:after="20" w:line="260" w:lineRule="auto"/>
              <w:ind w:firstLine="0"/>
              <w:jc w:val="center"/>
            </w:pPr>
            <w:r>
              <w:rPr>
                <w:b/>
                <w:sz w:val="20"/>
                <w:szCs w:val="20"/>
              </w:rPr>
              <w:t xml:space="preserve">Thực tế</w:t>
            </w:r>
          </w:p>
        </w:tc>
        <w:tc>
          <w:tcPr>
            <w:tcW w:type="dxa" w:w="1179"/>
            <w:shd w:val="clear" w:color="auto" w:fill="D9E2F3"/>
            <w:vAlign w:val="center"/>
          </w:tcPr>
          <w:p>
            <w:pPr>
              <w:spacing w:before="20" w:after="20" w:line="260" w:lineRule="auto"/>
              <w:ind w:firstLine="0"/>
              <w:jc w:val="center"/>
            </w:pPr>
            <w:r>
              <w:rPr>
                <w:b/>
                <w:sz w:val="20"/>
                <w:szCs w:val="20"/>
              </w:rPr>
              <w:t xml:space="preserve">Dự báo</w:t>
            </w:r>
          </w:p>
        </w:tc>
        <w:tc>
          <w:tcPr>
            <w:tcW w:type="dxa" w:w="1179"/>
            <w:shd w:val="clear" w:color="auto" w:fill="D9E2F3"/>
            <w:vAlign w:val="center"/>
          </w:tcPr>
          <w:p>
            <w:pPr>
              <w:spacing w:before="20" w:after="20" w:line="260" w:lineRule="auto"/>
              <w:ind w:firstLine="0"/>
              <w:jc w:val="center"/>
            </w:pPr>
            <w:r>
              <w:rPr>
                <w:b/>
                <w:sz w:val="20"/>
                <w:szCs w:val="20"/>
              </w:rPr>
              <w:t xml:space="preserve">WAPE</w:t>
            </w:r>
          </w:p>
        </w:tc>
        <w:tc>
          <w:tcPr>
            <w:tcW w:type="dxa" w:w="1179"/>
            <w:shd w:val="clear" w:color="auto" w:fill="D9E2F3"/>
            <w:vAlign w:val="center"/>
          </w:tcPr>
          <w:p>
            <w:pPr>
              <w:spacing w:before="20" w:after="20" w:line="260" w:lineRule="auto"/>
              <w:ind w:firstLine="0"/>
              <w:jc w:val="center"/>
            </w:pPr>
            <w:r>
              <w:rPr>
                <w:b/>
                <w:sz w:val="20"/>
                <w:szCs w:val="20"/>
              </w:rPr>
              <w:t xml:space="preserve">Bao phủ</w:t>
            </w:r>
          </w:p>
        </w:tc>
        <w:tc>
          <w:tcPr>
            <w:tcW w:type="dxa" w:w="1503"/>
            <w:shd w:val="clear" w:color="auto" w:fill="D9E2F3"/>
            <w:vAlign w:val="center"/>
          </w:tcPr>
          <w:p>
            <w:pPr>
              <w:spacing w:before="20" w:after="20" w:line="260" w:lineRule="auto"/>
              <w:ind w:firstLine="0"/>
              <w:jc w:val="center"/>
            </w:pPr>
            <w:r>
              <w:rPr>
                <w:b/>
                <w:sz w:val="20"/>
                <w:szCs w:val="20"/>
              </w:rPr>
              <w:t xml:space="preserve">Bổ sung gợi ý</w:t>
            </w:r>
          </w:p>
        </w:tc>
        <w:tc>
          <w:tcPr>
            <w:tcW w:type="dxa" w:w="1184"/>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668"/>
            <w:vAlign w:val="center"/>
          </w:tcPr>
          <w:p>
            <w:pPr>
              <w:spacing w:before="20" w:after="20" w:line="260" w:lineRule="auto"/>
              <w:ind w:firstLine="0"/>
              <w:jc w:val="left"/>
            </w:pPr>
            <w:r>
              <w:rPr>
                <w:sz w:val="20"/>
                <w:szCs w:val="20"/>
              </w:rPr>
              <w:t xml:space="preserve">BEVERAGES</w:t>
            </w:r>
          </w:p>
        </w:tc>
        <w:tc>
          <w:tcPr>
            <w:tcW w:type="dxa" w:w="1179"/>
            <w:vAlign w:val="center"/>
          </w:tcPr>
          <w:p>
            <w:pPr>
              <w:spacing w:before="20" w:after="20" w:line="260" w:lineRule="auto"/>
              <w:ind w:firstLine="0"/>
              <w:jc w:val="center"/>
            </w:pPr>
            <w:r>
              <w:rPr>
                <w:sz w:val="20"/>
                <w:szCs w:val="20"/>
              </w:rPr>
              <w:t xml:space="preserve">38.771</w:t>
            </w:r>
          </w:p>
        </w:tc>
        <w:tc>
          <w:tcPr>
            <w:tcW w:type="dxa" w:w="1179"/>
            <w:vAlign w:val="center"/>
          </w:tcPr>
          <w:p>
            <w:pPr>
              <w:spacing w:before="20" w:after="20" w:line="260" w:lineRule="auto"/>
              <w:ind w:firstLine="0"/>
              <w:jc w:val="center"/>
            </w:pPr>
            <w:r>
              <w:rPr>
                <w:sz w:val="20"/>
                <w:szCs w:val="20"/>
              </w:rPr>
              <w:t xml:space="preserve">30.512</w:t>
            </w:r>
          </w:p>
        </w:tc>
        <w:tc>
          <w:tcPr>
            <w:tcW w:type="dxa" w:w="1179"/>
            <w:vAlign w:val="center"/>
          </w:tcPr>
          <w:p>
            <w:pPr>
              <w:spacing w:before="20" w:after="20" w:line="260" w:lineRule="auto"/>
              <w:ind w:firstLine="0"/>
              <w:jc w:val="center"/>
            </w:pPr>
            <w:r>
              <w:rPr>
                <w:sz w:val="20"/>
                <w:szCs w:val="20"/>
              </w:rPr>
              <w:t xml:space="preserve">22,52%</w:t>
            </w:r>
          </w:p>
        </w:tc>
        <w:tc>
          <w:tcPr>
            <w:tcW w:type="dxa" w:w="1179"/>
            <w:vAlign w:val="center"/>
          </w:tcPr>
          <w:p>
            <w:pPr>
              <w:spacing w:before="20" w:after="20" w:line="260" w:lineRule="auto"/>
              <w:ind w:firstLine="0"/>
              <w:jc w:val="center"/>
            </w:pPr>
            <w:r>
              <w:rPr>
                <w:sz w:val="20"/>
                <w:szCs w:val="20"/>
              </w:rPr>
              <w:t xml:space="preserve">81,25%</w:t>
            </w:r>
          </w:p>
        </w:tc>
        <w:tc>
          <w:tcPr>
            <w:tcW w:type="dxa" w:w="1503"/>
            <w:vAlign w:val="center"/>
          </w:tcPr>
          <w:p>
            <w:pPr>
              <w:spacing w:before="20" w:after="20" w:line="260" w:lineRule="auto"/>
              <w:ind w:firstLine="0"/>
              <w:jc w:val="center"/>
            </w:pPr>
            <w:r>
              <w:rPr>
                <w:sz w:val="20"/>
                <w:szCs w:val="20"/>
              </w:rPr>
              <w:t xml:space="preserve">18.267</w:t>
            </w:r>
          </w:p>
        </w:tc>
        <w:tc>
          <w:tcPr>
            <w:tcW w:type="dxa" w:w="1184"/>
            <w:vAlign w:val="center"/>
          </w:tcPr>
          <w:p>
            <w:pPr>
              <w:spacing w:before="20" w:after="20" w:line="260" w:lineRule="auto"/>
              <w:ind w:firstLine="0"/>
              <w:jc w:val="left"/>
            </w:pPr>
            <w:r>
              <w:rPr>
                <w:sz w:val="20"/>
                <w:szCs w:val="20"/>
              </w:rPr>
              <w:t xml:space="preserve">MEDIUM</w:t>
            </w:r>
          </w:p>
        </w:tc>
      </w:tr>
      <w:tr>
        <w:trPr>
          <w:cantSplit/>
        </w:trPr>
        <w:tc>
          <w:tcPr>
            <w:tcW w:type="dxa" w:w="1668"/>
            <w:vAlign w:val="center"/>
          </w:tcPr>
          <w:p>
            <w:pPr>
              <w:spacing w:before="20" w:after="20" w:line="260" w:lineRule="auto"/>
              <w:ind w:firstLine="0"/>
              <w:jc w:val="left"/>
            </w:pPr>
            <w:r>
              <w:rPr>
                <w:sz w:val="20"/>
                <w:szCs w:val="20"/>
              </w:rPr>
              <w:t xml:space="preserve">GROCERY I</w:t>
            </w:r>
          </w:p>
        </w:tc>
        <w:tc>
          <w:tcPr>
            <w:tcW w:type="dxa" w:w="1179"/>
            <w:vAlign w:val="center"/>
          </w:tcPr>
          <w:p>
            <w:pPr>
              <w:spacing w:before="20" w:after="20" w:line="260" w:lineRule="auto"/>
              <w:ind w:firstLine="0"/>
              <w:jc w:val="center"/>
            </w:pPr>
            <w:r>
              <w:rPr>
                <w:sz w:val="20"/>
                <w:szCs w:val="20"/>
              </w:rPr>
              <w:t xml:space="preserve">33.667</w:t>
            </w:r>
          </w:p>
        </w:tc>
        <w:tc>
          <w:tcPr>
            <w:tcW w:type="dxa" w:w="1179"/>
            <w:vAlign w:val="center"/>
          </w:tcPr>
          <w:p>
            <w:pPr>
              <w:spacing w:before="20" w:after="20" w:line="260" w:lineRule="auto"/>
              <w:ind w:firstLine="0"/>
              <w:jc w:val="center"/>
            </w:pPr>
            <w:r>
              <w:rPr>
                <w:sz w:val="20"/>
                <w:szCs w:val="20"/>
              </w:rPr>
              <w:t xml:space="preserve">28.112</w:t>
            </w:r>
          </w:p>
        </w:tc>
        <w:tc>
          <w:tcPr>
            <w:tcW w:type="dxa" w:w="1179"/>
            <w:vAlign w:val="center"/>
          </w:tcPr>
          <w:p>
            <w:pPr>
              <w:spacing w:before="20" w:after="20" w:line="260" w:lineRule="auto"/>
              <w:ind w:firstLine="0"/>
              <w:jc w:val="center"/>
            </w:pPr>
            <w:r>
              <w:rPr>
                <w:sz w:val="20"/>
                <w:szCs w:val="20"/>
              </w:rPr>
              <w:t xml:space="preserve">17,68%</w:t>
            </w:r>
          </w:p>
        </w:tc>
        <w:tc>
          <w:tcPr>
            <w:tcW w:type="dxa" w:w="1179"/>
            <w:vAlign w:val="center"/>
          </w:tcPr>
          <w:p>
            <w:pPr>
              <w:spacing w:before="20" w:after="20" w:line="260" w:lineRule="auto"/>
              <w:ind w:firstLine="0"/>
              <w:jc w:val="center"/>
            </w:pPr>
            <w:r>
              <w:rPr>
                <w:sz w:val="20"/>
                <w:szCs w:val="20"/>
              </w:rPr>
              <w:t xml:space="preserve">87,50%</w:t>
            </w:r>
          </w:p>
        </w:tc>
        <w:tc>
          <w:tcPr>
            <w:tcW w:type="dxa" w:w="1503"/>
            <w:vAlign w:val="center"/>
          </w:tcPr>
          <w:p>
            <w:pPr>
              <w:spacing w:before="20" w:after="20" w:line="260" w:lineRule="auto"/>
              <w:ind w:firstLine="0"/>
              <w:jc w:val="center"/>
            </w:pPr>
            <w:r>
              <w:rPr>
                <w:sz w:val="20"/>
                <w:szCs w:val="20"/>
              </w:rPr>
              <w:t xml:space="preserve">17.787</w:t>
            </w:r>
          </w:p>
        </w:tc>
        <w:tc>
          <w:tcPr>
            <w:tcW w:type="dxa" w:w="1184"/>
            <w:vAlign w:val="center"/>
          </w:tcPr>
          <w:p>
            <w:pPr>
              <w:spacing w:before="20" w:after="20" w:line="260" w:lineRule="auto"/>
              <w:ind w:firstLine="0"/>
              <w:jc w:val="left"/>
            </w:pPr>
            <w:r>
              <w:rPr>
                <w:sz w:val="20"/>
                <w:szCs w:val="20"/>
              </w:rPr>
              <w:t xml:space="preserve">MEDIUM</w:t>
            </w:r>
          </w:p>
        </w:tc>
      </w:tr>
      <w:tr>
        <w:trPr>
          <w:cantSplit/>
        </w:trPr>
        <w:tc>
          <w:tcPr>
            <w:tcW w:type="dxa" w:w="1668"/>
            <w:vAlign w:val="center"/>
          </w:tcPr>
          <w:p>
            <w:pPr>
              <w:spacing w:before="20" w:after="20" w:line="260" w:lineRule="auto"/>
              <w:ind w:firstLine="0"/>
              <w:jc w:val="left"/>
            </w:pPr>
            <w:r>
              <w:rPr>
                <w:sz w:val="20"/>
                <w:szCs w:val="20"/>
              </w:rPr>
              <w:t xml:space="preserve">PRODUCE</w:t>
            </w:r>
          </w:p>
        </w:tc>
        <w:tc>
          <w:tcPr>
            <w:tcW w:type="dxa" w:w="1179"/>
            <w:vAlign w:val="center"/>
          </w:tcPr>
          <w:p>
            <w:pPr>
              <w:spacing w:before="20" w:after="20" w:line="260" w:lineRule="auto"/>
              <w:ind w:firstLine="0"/>
              <w:jc w:val="center"/>
            </w:pPr>
            <w:r>
              <w:rPr>
                <w:sz w:val="20"/>
                <w:szCs w:val="20"/>
              </w:rPr>
              <w:t xml:space="preserve">30.904</w:t>
            </w:r>
          </w:p>
        </w:tc>
        <w:tc>
          <w:tcPr>
            <w:tcW w:type="dxa" w:w="1179"/>
            <w:vAlign w:val="center"/>
          </w:tcPr>
          <w:p>
            <w:pPr>
              <w:spacing w:before="20" w:after="20" w:line="260" w:lineRule="auto"/>
              <w:ind w:firstLine="0"/>
              <w:jc w:val="center"/>
            </w:pPr>
            <w:r>
              <w:rPr>
                <w:sz w:val="20"/>
                <w:szCs w:val="20"/>
              </w:rPr>
              <w:t xml:space="preserve">23.164</w:t>
            </w:r>
          </w:p>
        </w:tc>
        <w:tc>
          <w:tcPr>
            <w:tcW w:type="dxa" w:w="1179"/>
            <w:vAlign w:val="center"/>
          </w:tcPr>
          <w:p>
            <w:pPr>
              <w:spacing w:before="20" w:after="20" w:line="260" w:lineRule="auto"/>
              <w:ind w:firstLine="0"/>
              <w:jc w:val="center"/>
            </w:pPr>
            <w:r>
              <w:rPr>
                <w:sz w:val="20"/>
                <w:szCs w:val="20"/>
              </w:rPr>
              <w:t xml:space="preserve">25,24%</w:t>
            </w:r>
          </w:p>
        </w:tc>
        <w:tc>
          <w:tcPr>
            <w:tcW w:type="dxa" w:w="1179"/>
            <w:vAlign w:val="center"/>
          </w:tcPr>
          <w:p>
            <w:pPr>
              <w:spacing w:before="20" w:after="20" w:line="260" w:lineRule="auto"/>
              <w:ind w:firstLine="0"/>
              <w:jc w:val="center"/>
            </w:pPr>
            <w:r>
              <w:rPr>
                <w:sz w:val="20"/>
                <w:szCs w:val="20"/>
              </w:rPr>
              <w:t xml:space="preserve">62,50%</w:t>
            </w:r>
          </w:p>
        </w:tc>
        <w:tc>
          <w:tcPr>
            <w:tcW w:type="dxa" w:w="1503"/>
            <w:vAlign w:val="center"/>
          </w:tcPr>
          <w:p>
            <w:pPr>
              <w:spacing w:before="20" w:after="20" w:line="260" w:lineRule="auto"/>
              <w:ind w:firstLine="0"/>
              <w:jc w:val="center"/>
            </w:pPr>
            <w:r>
              <w:rPr>
                <w:sz w:val="20"/>
                <w:szCs w:val="20"/>
              </w:rPr>
              <w:t xml:space="preserve">13.147</w:t>
            </w:r>
          </w:p>
        </w:tc>
        <w:tc>
          <w:tcPr>
            <w:tcW w:type="dxa" w:w="1184"/>
            <w:vAlign w:val="center"/>
          </w:tcPr>
          <w:p>
            <w:pPr>
              <w:spacing w:before="20" w:after="20" w:line="260" w:lineRule="auto"/>
              <w:ind w:firstLine="0"/>
              <w:jc w:val="left"/>
            </w:pPr>
            <w:r>
              <w:rPr>
                <w:sz w:val="20"/>
                <w:szCs w:val="20"/>
              </w:rPr>
              <w:t xml:space="preserve">MEDIUM</w:t>
            </w:r>
          </w:p>
        </w:tc>
      </w:tr>
      <w:tr>
        <w:trPr>
          <w:cantSplit/>
        </w:trPr>
        <w:tc>
          <w:tcPr>
            <w:tcW w:type="dxa" w:w="1668"/>
            <w:vAlign w:val="center"/>
          </w:tcPr>
          <w:p>
            <w:pPr>
              <w:spacing w:before="20" w:after="20" w:line="260" w:lineRule="auto"/>
              <w:ind w:firstLine="0"/>
              <w:jc w:val="left"/>
            </w:pPr>
            <w:r>
              <w:rPr>
                <w:sz w:val="20"/>
                <w:szCs w:val="20"/>
              </w:rPr>
              <w:t xml:space="preserve">DAIRY</w:t>
            </w:r>
          </w:p>
        </w:tc>
        <w:tc>
          <w:tcPr>
            <w:tcW w:type="dxa" w:w="1179"/>
            <w:vAlign w:val="center"/>
          </w:tcPr>
          <w:p>
            <w:pPr>
              <w:spacing w:before="20" w:after="20" w:line="260" w:lineRule="auto"/>
              <w:ind w:firstLine="0"/>
              <w:jc w:val="center"/>
            </w:pPr>
            <w:r>
              <w:rPr>
                <w:sz w:val="20"/>
                <w:szCs w:val="20"/>
              </w:rPr>
              <w:t xml:space="preserve">10.692</w:t>
            </w:r>
          </w:p>
        </w:tc>
        <w:tc>
          <w:tcPr>
            <w:tcW w:type="dxa" w:w="1179"/>
            <w:vAlign w:val="center"/>
          </w:tcPr>
          <w:p>
            <w:pPr>
              <w:spacing w:before="20" w:after="20" w:line="260" w:lineRule="auto"/>
              <w:ind w:firstLine="0"/>
              <w:jc w:val="center"/>
            </w:pPr>
            <w:r>
              <w:rPr>
                <w:sz w:val="20"/>
                <w:szCs w:val="20"/>
              </w:rPr>
              <w:t xml:space="preserve">8.340</w:t>
            </w:r>
          </w:p>
        </w:tc>
        <w:tc>
          <w:tcPr>
            <w:tcW w:type="dxa" w:w="1179"/>
            <w:vAlign w:val="center"/>
          </w:tcPr>
          <w:p>
            <w:pPr>
              <w:spacing w:before="20" w:after="20" w:line="260" w:lineRule="auto"/>
              <w:ind w:firstLine="0"/>
              <w:jc w:val="center"/>
            </w:pPr>
            <w:r>
              <w:rPr>
                <w:sz w:val="20"/>
                <w:szCs w:val="20"/>
              </w:rPr>
              <w:t xml:space="preserve">23,36%</w:t>
            </w:r>
          </w:p>
        </w:tc>
        <w:tc>
          <w:tcPr>
            <w:tcW w:type="dxa" w:w="1179"/>
            <w:vAlign w:val="center"/>
          </w:tcPr>
          <w:p>
            <w:pPr>
              <w:spacing w:before="20" w:after="20" w:line="260" w:lineRule="auto"/>
              <w:ind w:firstLine="0"/>
              <w:jc w:val="center"/>
            </w:pPr>
            <w:r>
              <w:rPr>
                <w:sz w:val="20"/>
                <w:szCs w:val="20"/>
              </w:rPr>
              <w:t xml:space="preserve">68,75%</w:t>
            </w:r>
          </w:p>
        </w:tc>
        <w:tc>
          <w:tcPr>
            <w:tcW w:type="dxa" w:w="1503"/>
            <w:vAlign w:val="center"/>
          </w:tcPr>
          <w:p>
            <w:pPr>
              <w:spacing w:before="20" w:after="20" w:line="260" w:lineRule="auto"/>
              <w:ind w:firstLine="0"/>
              <w:jc w:val="center"/>
            </w:pPr>
            <w:r>
              <w:rPr>
                <w:sz w:val="20"/>
                <w:szCs w:val="20"/>
              </w:rPr>
              <w:t xml:space="preserve">4.020</w:t>
            </w:r>
          </w:p>
        </w:tc>
        <w:tc>
          <w:tcPr>
            <w:tcW w:type="dxa" w:w="1184"/>
            <w:vAlign w:val="center"/>
          </w:tcPr>
          <w:p>
            <w:pPr>
              <w:spacing w:before="20" w:after="20" w:line="260" w:lineRule="auto"/>
              <w:ind w:firstLine="0"/>
              <w:jc w:val="left"/>
            </w:pPr>
            <w:r>
              <w:rPr>
                <w:sz w:val="20"/>
                <w:szCs w:val="20"/>
              </w:rPr>
              <w:t xml:space="preserve">MEDIUM</w:t>
            </w:r>
          </w:p>
        </w:tc>
      </w:tr>
      <w:tr>
        <w:trPr>
          <w:cantSplit/>
        </w:trPr>
        <w:tc>
          <w:tcPr>
            <w:tcW w:type="dxa" w:w="1668"/>
            <w:vAlign w:val="center"/>
          </w:tcPr>
          <w:p>
            <w:pPr>
              <w:spacing w:before="20" w:after="20" w:line="260" w:lineRule="auto"/>
              <w:ind w:firstLine="0"/>
              <w:jc w:val="left"/>
            </w:pPr>
            <w:r>
              <w:rPr>
                <w:sz w:val="20"/>
                <w:szCs w:val="20"/>
              </w:rPr>
              <w:t xml:space="preserve">CLEANING</w:t>
            </w:r>
          </w:p>
        </w:tc>
        <w:tc>
          <w:tcPr>
            <w:tcW w:type="dxa" w:w="1179"/>
            <w:vAlign w:val="center"/>
          </w:tcPr>
          <w:p>
            <w:pPr>
              <w:spacing w:before="20" w:after="20" w:line="260" w:lineRule="auto"/>
              <w:ind w:firstLine="0"/>
              <w:jc w:val="center"/>
            </w:pPr>
            <w:r>
              <w:rPr>
                <w:sz w:val="20"/>
                <w:szCs w:val="20"/>
              </w:rPr>
              <w:t xml:space="preserve">7.771</w:t>
            </w:r>
          </w:p>
        </w:tc>
        <w:tc>
          <w:tcPr>
            <w:tcW w:type="dxa" w:w="1179"/>
            <w:vAlign w:val="center"/>
          </w:tcPr>
          <w:p>
            <w:pPr>
              <w:spacing w:before="20" w:after="20" w:line="260" w:lineRule="auto"/>
              <w:ind w:firstLine="0"/>
              <w:jc w:val="center"/>
            </w:pPr>
            <w:r>
              <w:rPr>
                <w:sz w:val="20"/>
                <w:szCs w:val="20"/>
              </w:rPr>
              <w:t xml:space="preserve">6.752</w:t>
            </w:r>
          </w:p>
        </w:tc>
        <w:tc>
          <w:tcPr>
            <w:tcW w:type="dxa" w:w="1179"/>
            <w:vAlign w:val="center"/>
          </w:tcPr>
          <w:p>
            <w:pPr>
              <w:spacing w:before="20" w:after="20" w:line="260" w:lineRule="auto"/>
              <w:ind w:firstLine="0"/>
              <w:jc w:val="center"/>
            </w:pPr>
            <w:r>
              <w:rPr>
                <w:sz w:val="20"/>
                <w:szCs w:val="20"/>
              </w:rPr>
              <w:t xml:space="preserve">21,52%</w:t>
            </w:r>
          </w:p>
        </w:tc>
        <w:tc>
          <w:tcPr>
            <w:tcW w:type="dxa" w:w="1179"/>
            <w:vAlign w:val="center"/>
          </w:tcPr>
          <w:p>
            <w:pPr>
              <w:spacing w:before="20" w:after="20" w:line="260" w:lineRule="auto"/>
              <w:ind w:firstLine="0"/>
              <w:jc w:val="center"/>
            </w:pPr>
            <w:r>
              <w:rPr>
                <w:sz w:val="20"/>
                <w:szCs w:val="20"/>
              </w:rPr>
              <w:t xml:space="preserve">68,75%</w:t>
            </w:r>
          </w:p>
        </w:tc>
        <w:tc>
          <w:tcPr>
            <w:tcW w:type="dxa" w:w="1503"/>
            <w:vAlign w:val="center"/>
          </w:tcPr>
          <w:p>
            <w:pPr>
              <w:spacing w:before="20" w:after="20" w:line="260" w:lineRule="auto"/>
              <w:ind w:firstLine="0"/>
              <w:jc w:val="center"/>
            </w:pPr>
            <w:r>
              <w:rPr>
                <w:sz w:val="20"/>
                <w:szCs w:val="20"/>
              </w:rPr>
              <w:t xml:space="preserve">3.059</w:t>
            </w:r>
          </w:p>
        </w:tc>
        <w:tc>
          <w:tcPr>
            <w:tcW w:type="dxa" w:w="1184"/>
            <w:vAlign w:val="center"/>
          </w:tcPr>
          <w:p>
            <w:pPr>
              <w:spacing w:before="20" w:after="20" w:line="260" w:lineRule="auto"/>
              <w:ind w:firstLine="0"/>
              <w:jc w:val="left"/>
            </w:pPr>
            <w:r>
              <w:rPr>
                <w:sz w:val="20"/>
                <w:szCs w:val="20"/>
              </w:rPr>
              <w:t xml:space="preserve">MEDIUM</w:t>
            </w:r>
          </w:p>
        </w:tc>
      </w:tr>
      <w:tr>
        <w:trPr>
          <w:cantSplit/>
        </w:trPr>
        <w:tc>
          <w:tcPr>
            <w:tcW w:type="dxa" w:w="1668"/>
            <w:vAlign w:val="center"/>
          </w:tcPr>
          <w:p>
            <w:pPr>
              <w:spacing w:before="20" w:after="20" w:line="260" w:lineRule="auto"/>
              <w:ind w:firstLine="0"/>
              <w:jc w:val="left"/>
            </w:pPr>
            <w:r>
              <w:rPr>
                <w:sz w:val="20"/>
                <w:szCs w:val="20"/>
              </w:rPr>
              <w:t xml:space="preserve">BREAD/BAKERY</w:t>
            </w:r>
          </w:p>
        </w:tc>
        <w:tc>
          <w:tcPr>
            <w:tcW w:type="dxa" w:w="1179"/>
            <w:vAlign w:val="center"/>
          </w:tcPr>
          <w:p>
            <w:pPr>
              <w:spacing w:before="20" w:after="20" w:line="260" w:lineRule="auto"/>
              <w:ind w:firstLine="0"/>
              <w:jc w:val="center"/>
            </w:pPr>
            <w:r>
              <w:rPr>
                <w:sz w:val="20"/>
                <w:szCs w:val="20"/>
              </w:rPr>
              <w:t xml:space="preserve">7.099</w:t>
            </w:r>
          </w:p>
        </w:tc>
        <w:tc>
          <w:tcPr>
            <w:tcW w:type="dxa" w:w="1179"/>
            <w:vAlign w:val="center"/>
          </w:tcPr>
          <w:p>
            <w:pPr>
              <w:spacing w:before="20" w:after="20" w:line="260" w:lineRule="auto"/>
              <w:ind w:firstLine="0"/>
              <w:jc w:val="center"/>
            </w:pPr>
            <w:r>
              <w:rPr>
                <w:sz w:val="20"/>
                <w:szCs w:val="20"/>
              </w:rPr>
              <w:t xml:space="preserve">5.146</w:t>
            </w:r>
          </w:p>
        </w:tc>
        <w:tc>
          <w:tcPr>
            <w:tcW w:type="dxa" w:w="1179"/>
            <w:vAlign w:val="center"/>
          </w:tcPr>
          <w:p>
            <w:pPr>
              <w:spacing w:before="20" w:after="20" w:line="260" w:lineRule="auto"/>
              <w:ind w:firstLine="0"/>
              <w:jc w:val="center"/>
            </w:pPr>
            <w:r>
              <w:rPr>
                <w:sz w:val="20"/>
                <w:szCs w:val="20"/>
              </w:rPr>
              <w:t xml:space="preserve">27,93%</w:t>
            </w:r>
          </w:p>
        </w:tc>
        <w:tc>
          <w:tcPr>
            <w:tcW w:type="dxa" w:w="1179"/>
            <w:vAlign w:val="center"/>
          </w:tcPr>
          <w:p>
            <w:pPr>
              <w:spacing w:before="20" w:after="20" w:line="260" w:lineRule="auto"/>
              <w:ind w:firstLine="0"/>
              <w:jc w:val="center"/>
            </w:pPr>
            <w:r>
              <w:rPr>
                <w:sz w:val="20"/>
                <w:szCs w:val="20"/>
              </w:rPr>
              <w:t xml:space="preserve">43,75%</w:t>
            </w:r>
          </w:p>
        </w:tc>
        <w:tc>
          <w:tcPr>
            <w:tcW w:type="dxa" w:w="1503"/>
            <w:vAlign w:val="center"/>
          </w:tcPr>
          <w:p>
            <w:pPr>
              <w:spacing w:before="20" w:after="20" w:line="260" w:lineRule="auto"/>
              <w:ind w:firstLine="0"/>
              <w:jc w:val="center"/>
            </w:pPr>
            <w:r>
              <w:rPr>
                <w:sz w:val="20"/>
                <w:szCs w:val="20"/>
              </w:rPr>
              <w:t xml:space="preserve">2.176</w:t>
            </w:r>
          </w:p>
        </w:tc>
        <w:tc>
          <w:tcPr>
            <w:tcW w:type="dxa" w:w="1184"/>
            <w:vAlign w:val="center"/>
          </w:tcPr>
          <w:p>
            <w:pPr>
              <w:spacing w:before="20" w:after="20" w:line="260" w:lineRule="auto"/>
              <w:ind w:firstLine="0"/>
              <w:jc w:val="left"/>
            </w:pPr>
            <w:r>
              <w:rPr>
                <w:sz w:val="20"/>
                <w:szCs w:val="20"/>
              </w:rPr>
              <w:t xml:space="preserve">MEDIUM</w:t>
            </w:r>
          </w:p>
        </w:tc>
      </w:tr>
      <w:tr>
        <w:trPr>
          <w:cantSplit/>
        </w:trPr>
        <w:tc>
          <w:tcPr>
            <w:tcW w:type="dxa" w:w="1668"/>
            <w:vAlign w:val="center"/>
          </w:tcPr>
          <w:p>
            <w:pPr>
              <w:spacing w:before="20" w:after="20" w:line="260" w:lineRule="auto"/>
              <w:ind w:firstLine="0"/>
              <w:jc w:val="left"/>
            </w:pPr>
            <w:r>
              <w:rPr>
                <w:sz w:val="20"/>
                <w:szCs w:val="20"/>
              </w:rPr>
              <w:t xml:space="preserve">LIQUOR,WINE,BEER</w:t>
            </w:r>
          </w:p>
        </w:tc>
        <w:tc>
          <w:tcPr>
            <w:tcW w:type="dxa" w:w="1179"/>
            <w:vAlign w:val="center"/>
          </w:tcPr>
          <w:p>
            <w:pPr>
              <w:spacing w:before="20" w:after="20" w:line="260" w:lineRule="auto"/>
              <w:ind w:firstLine="0"/>
              <w:jc w:val="center"/>
            </w:pPr>
            <w:r>
              <w:rPr>
                <w:sz w:val="20"/>
                <w:szCs w:val="20"/>
              </w:rPr>
              <w:t xml:space="preserve">4.868</w:t>
            </w:r>
          </w:p>
        </w:tc>
        <w:tc>
          <w:tcPr>
            <w:tcW w:type="dxa" w:w="1179"/>
            <w:vAlign w:val="center"/>
          </w:tcPr>
          <w:p>
            <w:pPr>
              <w:spacing w:before="20" w:after="20" w:line="260" w:lineRule="auto"/>
              <w:ind w:firstLine="0"/>
              <w:jc w:val="center"/>
            </w:pPr>
            <w:r>
              <w:rPr>
                <w:sz w:val="20"/>
                <w:szCs w:val="20"/>
              </w:rPr>
              <w:t xml:space="preserve">2.563</w:t>
            </w:r>
          </w:p>
        </w:tc>
        <w:tc>
          <w:tcPr>
            <w:tcW w:type="dxa" w:w="1179"/>
            <w:vAlign w:val="center"/>
          </w:tcPr>
          <w:p>
            <w:pPr>
              <w:spacing w:before="20" w:after="20" w:line="260" w:lineRule="auto"/>
              <w:ind w:firstLine="0"/>
              <w:jc w:val="center"/>
            </w:pPr>
            <w:r>
              <w:rPr>
                <w:sz w:val="20"/>
                <w:szCs w:val="20"/>
              </w:rPr>
              <w:t xml:space="preserve">50,25%</w:t>
            </w:r>
          </w:p>
        </w:tc>
        <w:tc>
          <w:tcPr>
            <w:tcW w:type="dxa" w:w="1179"/>
            <w:vAlign w:val="center"/>
          </w:tcPr>
          <w:p>
            <w:pPr>
              <w:spacing w:before="20" w:after="20" w:line="260" w:lineRule="auto"/>
              <w:ind w:firstLine="0"/>
              <w:jc w:val="center"/>
            </w:pPr>
            <w:r>
              <w:rPr>
                <w:sz w:val="20"/>
                <w:szCs w:val="20"/>
              </w:rPr>
              <w:t xml:space="preserve">37,50%</w:t>
            </w:r>
          </w:p>
        </w:tc>
        <w:tc>
          <w:tcPr>
            <w:tcW w:type="dxa" w:w="1503"/>
            <w:vAlign w:val="center"/>
          </w:tcPr>
          <w:p>
            <w:pPr>
              <w:spacing w:before="20" w:after="20" w:line="260" w:lineRule="auto"/>
              <w:ind w:firstLine="0"/>
              <w:jc w:val="center"/>
            </w:pPr>
            <w:r>
              <w:rPr>
                <w:sz w:val="20"/>
                <w:szCs w:val="20"/>
              </w:rPr>
              <w:t xml:space="preserve">1.296</w:t>
            </w:r>
          </w:p>
        </w:tc>
        <w:tc>
          <w:tcPr>
            <w:tcW w:type="dxa" w:w="1184"/>
            <w:vAlign w:val="center"/>
          </w:tcPr>
          <w:p>
            <w:pPr>
              <w:spacing w:before="20" w:after="20" w:line="260" w:lineRule="auto"/>
              <w:ind w:firstLine="0"/>
              <w:jc w:val="left"/>
            </w:pPr>
            <w:r>
              <w:rPr>
                <w:sz w:val="20"/>
                <w:szCs w:val="20"/>
              </w:rPr>
              <w:t xml:space="preserve">MEDIUM</w:t>
            </w:r>
          </w:p>
        </w:tc>
      </w:tr>
      <w:tr>
        <w:trPr>
          <w:cantSplit/>
        </w:trPr>
        <w:tc>
          <w:tcPr>
            <w:tcW w:type="dxa" w:w="1668"/>
            <w:vAlign w:val="center"/>
          </w:tcPr>
          <w:p>
            <w:pPr>
              <w:spacing w:before="20" w:after="20" w:line="260" w:lineRule="auto"/>
              <w:ind w:firstLine="0"/>
              <w:jc w:val="left"/>
            </w:pPr>
            <w:r>
              <w:rPr>
                <w:sz w:val="20"/>
                <w:szCs w:val="20"/>
              </w:rPr>
              <w:t xml:space="preserve">MEATS</w:t>
            </w:r>
          </w:p>
        </w:tc>
        <w:tc>
          <w:tcPr>
            <w:tcW w:type="dxa" w:w="1179"/>
            <w:vAlign w:val="center"/>
          </w:tcPr>
          <w:p>
            <w:pPr>
              <w:spacing w:before="20" w:after="20" w:line="260" w:lineRule="auto"/>
              <w:ind w:firstLine="0"/>
              <w:jc w:val="center"/>
            </w:pPr>
            <w:r>
              <w:rPr>
                <w:sz w:val="20"/>
                <w:szCs w:val="20"/>
              </w:rPr>
              <w:t xml:space="preserve">3.877</w:t>
            </w:r>
          </w:p>
        </w:tc>
        <w:tc>
          <w:tcPr>
            <w:tcW w:type="dxa" w:w="1179"/>
            <w:vAlign w:val="center"/>
          </w:tcPr>
          <w:p>
            <w:pPr>
              <w:spacing w:before="20" w:after="20" w:line="260" w:lineRule="auto"/>
              <w:ind w:firstLine="0"/>
              <w:jc w:val="center"/>
            </w:pPr>
            <w:r>
              <w:rPr>
                <w:sz w:val="20"/>
                <w:szCs w:val="20"/>
              </w:rPr>
              <w:t xml:space="preserve">3.221</w:t>
            </w:r>
          </w:p>
        </w:tc>
        <w:tc>
          <w:tcPr>
            <w:tcW w:type="dxa" w:w="1179"/>
            <w:vAlign w:val="center"/>
          </w:tcPr>
          <w:p>
            <w:pPr>
              <w:spacing w:before="20" w:after="20" w:line="260" w:lineRule="auto"/>
              <w:ind w:firstLine="0"/>
              <w:jc w:val="center"/>
            </w:pPr>
            <w:r>
              <w:rPr>
                <w:sz w:val="20"/>
                <w:szCs w:val="20"/>
              </w:rPr>
              <w:t xml:space="preserve">24,40%</w:t>
            </w:r>
          </w:p>
        </w:tc>
        <w:tc>
          <w:tcPr>
            <w:tcW w:type="dxa" w:w="1179"/>
            <w:vAlign w:val="center"/>
          </w:tcPr>
          <w:p>
            <w:pPr>
              <w:spacing w:before="20" w:after="20" w:line="260" w:lineRule="auto"/>
              <w:ind w:firstLine="0"/>
              <w:jc w:val="center"/>
            </w:pPr>
            <w:r>
              <w:rPr>
                <w:sz w:val="20"/>
                <w:szCs w:val="20"/>
              </w:rPr>
              <w:t xml:space="preserve">68,75%</w:t>
            </w:r>
          </w:p>
        </w:tc>
        <w:tc>
          <w:tcPr>
            <w:tcW w:type="dxa" w:w="1503"/>
            <w:vAlign w:val="center"/>
          </w:tcPr>
          <w:p>
            <w:pPr>
              <w:spacing w:before="20" w:after="20" w:line="260" w:lineRule="auto"/>
              <w:ind w:firstLine="0"/>
              <w:jc w:val="center"/>
            </w:pPr>
            <w:r>
              <w:rPr>
                <w:sz w:val="20"/>
                <w:szCs w:val="20"/>
              </w:rPr>
              <w:t xml:space="preserve">1.483</w:t>
            </w:r>
          </w:p>
        </w:tc>
        <w:tc>
          <w:tcPr>
            <w:tcW w:type="dxa" w:w="1184"/>
            <w:vAlign w:val="center"/>
          </w:tcPr>
          <w:p>
            <w:pPr>
              <w:spacing w:before="20" w:after="20" w:line="260" w:lineRule="auto"/>
              <w:ind w:firstLine="0"/>
              <w:jc w:val="left"/>
            </w:pPr>
            <w:r>
              <w:rPr>
                <w:sz w:val="20"/>
                <w:szCs w:val="20"/>
              </w:rPr>
              <w:t xml:space="preserve">MEDIUM</w:t>
            </w:r>
          </w:p>
        </w:tc>
      </w:tr>
      <w:tr>
        <w:trPr>
          <w:cantSplit/>
        </w:trPr>
        <w:tc>
          <w:tcPr>
            <w:tcW w:type="dxa" w:w="1668"/>
            <w:vAlign w:val="center"/>
          </w:tcPr>
          <w:p>
            <w:pPr>
              <w:spacing w:before="20" w:after="20" w:line="260" w:lineRule="auto"/>
              <w:ind w:firstLine="0"/>
              <w:jc w:val="left"/>
            </w:pPr>
            <w:r>
              <w:rPr>
                <w:sz w:val="20"/>
                <w:szCs w:val="20"/>
              </w:rPr>
              <w:t xml:space="preserve">POULTRY</w:t>
            </w:r>
          </w:p>
        </w:tc>
        <w:tc>
          <w:tcPr>
            <w:tcW w:type="dxa" w:w="1179"/>
            <w:vAlign w:val="center"/>
          </w:tcPr>
          <w:p>
            <w:pPr>
              <w:spacing w:before="20" w:after="20" w:line="260" w:lineRule="auto"/>
              <w:ind w:firstLine="0"/>
              <w:jc w:val="center"/>
            </w:pPr>
            <w:r>
              <w:rPr>
                <w:sz w:val="20"/>
                <w:szCs w:val="20"/>
              </w:rPr>
              <w:t xml:space="preserve">3.318</w:t>
            </w:r>
          </w:p>
        </w:tc>
        <w:tc>
          <w:tcPr>
            <w:tcW w:type="dxa" w:w="1179"/>
            <w:vAlign w:val="center"/>
          </w:tcPr>
          <w:p>
            <w:pPr>
              <w:spacing w:before="20" w:after="20" w:line="260" w:lineRule="auto"/>
              <w:ind w:firstLine="0"/>
              <w:jc w:val="center"/>
            </w:pPr>
            <w:r>
              <w:rPr>
                <w:sz w:val="20"/>
                <w:szCs w:val="20"/>
              </w:rPr>
              <w:t xml:space="preserve">2.617</w:t>
            </w:r>
          </w:p>
        </w:tc>
        <w:tc>
          <w:tcPr>
            <w:tcW w:type="dxa" w:w="1179"/>
            <w:vAlign w:val="center"/>
          </w:tcPr>
          <w:p>
            <w:pPr>
              <w:spacing w:before="20" w:after="20" w:line="260" w:lineRule="auto"/>
              <w:ind w:firstLine="0"/>
              <w:jc w:val="center"/>
            </w:pPr>
            <w:r>
              <w:rPr>
                <w:sz w:val="20"/>
                <w:szCs w:val="20"/>
              </w:rPr>
              <w:t xml:space="preserve">21,69%</w:t>
            </w:r>
          </w:p>
        </w:tc>
        <w:tc>
          <w:tcPr>
            <w:tcW w:type="dxa" w:w="1179"/>
            <w:vAlign w:val="center"/>
          </w:tcPr>
          <w:p>
            <w:pPr>
              <w:spacing w:before="20" w:after="20" w:line="260" w:lineRule="auto"/>
              <w:ind w:firstLine="0"/>
              <w:jc w:val="center"/>
            </w:pPr>
            <w:r>
              <w:rPr>
                <w:sz w:val="20"/>
                <w:szCs w:val="20"/>
              </w:rPr>
              <w:t xml:space="preserve">62,50%</w:t>
            </w:r>
          </w:p>
        </w:tc>
        <w:tc>
          <w:tcPr>
            <w:tcW w:type="dxa" w:w="1503"/>
            <w:vAlign w:val="center"/>
          </w:tcPr>
          <w:p>
            <w:pPr>
              <w:spacing w:before="20" w:after="20" w:line="260" w:lineRule="auto"/>
              <w:ind w:firstLine="0"/>
              <w:jc w:val="center"/>
            </w:pPr>
            <w:r>
              <w:rPr>
                <w:sz w:val="20"/>
                <w:szCs w:val="20"/>
              </w:rPr>
              <w:t xml:space="preserve">1.278</w:t>
            </w:r>
          </w:p>
        </w:tc>
        <w:tc>
          <w:tcPr>
            <w:tcW w:type="dxa" w:w="1184"/>
            <w:vAlign w:val="center"/>
          </w:tcPr>
          <w:p>
            <w:pPr>
              <w:spacing w:before="20" w:after="20" w:line="260" w:lineRule="auto"/>
              <w:ind w:firstLine="0"/>
              <w:jc w:val="left"/>
            </w:pPr>
            <w:r>
              <w:rPr>
                <w:sz w:val="20"/>
                <w:szCs w:val="20"/>
              </w:rPr>
              <w:t xml:space="preserve">MEDIUM</w:t>
            </w:r>
          </w:p>
        </w:tc>
      </w:tr>
      <w:tr>
        <w:trPr>
          <w:cantSplit/>
        </w:trPr>
        <w:tc>
          <w:tcPr>
            <w:tcW w:type="dxa" w:w="1668"/>
            <w:vAlign w:val="center"/>
          </w:tcPr>
          <w:p>
            <w:pPr>
              <w:spacing w:before="20" w:after="20" w:line="260" w:lineRule="auto"/>
              <w:ind w:firstLine="0"/>
              <w:jc w:val="left"/>
            </w:pPr>
            <w:r>
              <w:rPr>
                <w:sz w:val="20"/>
                <w:szCs w:val="20"/>
              </w:rPr>
              <w:t xml:space="preserve">DELI</w:t>
            </w:r>
          </w:p>
        </w:tc>
        <w:tc>
          <w:tcPr>
            <w:tcW w:type="dxa" w:w="1179"/>
            <w:vAlign w:val="center"/>
          </w:tcPr>
          <w:p>
            <w:pPr>
              <w:spacing w:before="20" w:after="20" w:line="260" w:lineRule="auto"/>
              <w:ind w:firstLine="0"/>
              <w:jc w:val="center"/>
            </w:pPr>
            <w:r>
              <w:rPr>
                <w:sz w:val="20"/>
                <w:szCs w:val="20"/>
              </w:rPr>
              <w:t xml:space="preserve">2.702</w:t>
            </w:r>
          </w:p>
        </w:tc>
        <w:tc>
          <w:tcPr>
            <w:tcW w:type="dxa" w:w="1179"/>
            <w:vAlign w:val="center"/>
          </w:tcPr>
          <w:p>
            <w:pPr>
              <w:spacing w:before="20" w:after="20" w:line="260" w:lineRule="auto"/>
              <w:ind w:firstLine="0"/>
              <w:jc w:val="center"/>
            </w:pPr>
            <w:r>
              <w:rPr>
                <w:sz w:val="20"/>
                <w:szCs w:val="20"/>
              </w:rPr>
              <w:t xml:space="preserve">2.245</w:t>
            </w:r>
          </w:p>
        </w:tc>
        <w:tc>
          <w:tcPr>
            <w:tcW w:type="dxa" w:w="1179"/>
            <w:vAlign w:val="center"/>
          </w:tcPr>
          <w:p>
            <w:pPr>
              <w:spacing w:before="20" w:after="20" w:line="260" w:lineRule="auto"/>
              <w:ind w:firstLine="0"/>
              <w:jc w:val="center"/>
            </w:pPr>
            <w:r>
              <w:rPr>
                <w:sz w:val="20"/>
                <w:szCs w:val="20"/>
              </w:rPr>
              <w:t xml:space="preserve">18,49%</w:t>
            </w:r>
          </w:p>
        </w:tc>
        <w:tc>
          <w:tcPr>
            <w:tcW w:type="dxa" w:w="1179"/>
            <w:vAlign w:val="center"/>
          </w:tcPr>
          <w:p>
            <w:pPr>
              <w:spacing w:before="20" w:after="20" w:line="260" w:lineRule="auto"/>
              <w:ind w:firstLine="0"/>
              <w:jc w:val="center"/>
            </w:pPr>
            <w:r>
              <w:rPr>
                <w:sz w:val="20"/>
                <w:szCs w:val="20"/>
              </w:rPr>
              <w:t xml:space="preserve">81,25%</w:t>
            </w:r>
          </w:p>
        </w:tc>
        <w:tc>
          <w:tcPr>
            <w:tcW w:type="dxa" w:w="1503"/>
            <w:vAlign w:val="center"/>
          </w:tcPr>
          <w:p>
            <w:pPr>
              <w:spacing w:before="20" w:after="20" w:line="260" w:lineRule="auto"/>
              <w:ind w:firstLine="0"/>
              <w:jc w:val="center"/>
            </w:pPr>
            <w:r>
              <w:rPr>
                <w:sz w:val="20"/>
                <w:szCs w:val="20"/>
              </w:rPr>
              <w:t xml:space="preserve">1.148</w:t>
            </w:r>
          </w:p>
        </w:tc>
        <w:tc>
          <w:tcPr>
            <w:tcW w:type="dxa" w:w="1184"/>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A.26. Cửa hàng 26 (Guayaquil, Guayas; loại D, cụm 10)</w:t>
      </w:r>
    </w:p>
    <w:p>
      <w:pPr>
        <w:keepLines w:val="0"/>
        <w:spacing w:after="120"/>
        <w:ind w:firstLine="567"/>
      </w:pPr>
      <w:r>
        <w:t xml:space="preserve">Trong 16 ngày của tập kiểm tra cuối, cửa hàng 26 có tổng doanh số thực tế 74.603 (hạng 54/54 về quy mô) và tổng dự báo 84.712, tức dự báo cao hơn thực tế 13,55%. WAPE của cửa hàng là 28,61% (hạng 52/54 từ thấp đến cao), MAE 40,429, RMSE 116,185 và bias −19,147. Độ bao phủ thực nghiệm của khoảng P10–P90 đạt 71,40% (hạng 48/54), so với mức danh nghĩa 80%. Nhóm có doanh số thực tế lớn nhất là GROCERY I (23.878; WAPE 28,84%; bao phủ 62,50%). Trong các nhóm có quy mô từ trung vị của cửa hàng trở lên, nhóm có WAPE thấp nhất là BREAD/BAKERY (11,14%).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65.028, 84.233 và 113.240; tổng lượng bổ sung gợi ý theo giả định là 45.854. Cửa hàng có 22 nhóm mang nhãn HIGH, 11 nhóm MEDIUM và 0 nhóm LOW. Bảng A.28 liệt kê mười nhóm có doanh số thực tế lớn nhất của cửa hàng.</w:t>
      </w:r>
    </w:p>
    <w:p>
      <w:pPr>
        <w:keepNext/>
        <w:spacing w:before="120" w:after="60"/>
        <w:ind w:firstLine="0"/>
        <w:jc w:val="center"/>
      </w:pPr>
      <w:r>
        <w:t xml:space="preserve">Bảng A.28. Mười nhóm sản phẩm có doanh số thực tế lớn nhất của cửa hàng 26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23.878</w:t>
            </w:r>
          </w:p>
        </w:tc>
        <w:tc>
          <w:tcPr>
            <w:tcW w:type="dxa" w:w="1201"/>
            <w:vAlign w:val="center"/>
          </w:tcPr>
          <w:p>
            <w:pPr>
              <w:spacing w:before="20" w:after="20" w:line="260" w:lineRule="auto"/>
              <w:ind w:firstLine="0"/>
              <w:jc w:val="center"/>
            </w:pPr>
            <w:r>
              <w:rPr>
                <w:sz w:val="20"/>
                <w:szCs w:val="20"/>
              </w:rPr>
              <w:t xml:space="preserve">27.394</w:t>
            </w:r>
          </w:p>
        </w:tc>
        <w:tc>
          <w:tcPr>
            <w:tcW w:type="dxa" w:w="1201"/>
            <w:vAlign w:val="center"/>
          </w:tcPr>
          <w:p>
            <w:pPr>
              <w:spacing w:before="20" w:after="20" w:line="260" w:lineRule="auto"/>
              <w:ind w:firstLine="0"/>
              <w:jc w:val="center"/>
            </w:pPr>
            <w:r>
              <w:rPr>
                <w:sz w:val="20"/>
                <w:szCs w:val="20"/>
              </w:rPr>
              <w:t xml:space="preserve">28,84%</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17.035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14.223</w:t>
            </w:r>
          </w:p>
        </w:tc>
        <w:tc>
          <w:tcPr>
            <w:tcW w:type="dxa" w:w="1201"/>
            <w:vAlign w:val="center"/>
          </w:tcPr>
          <w:p>
            <w:pPr>
              <w:spacing w:before="20" w:after="20" w:line="260" w:lineRule="auto"/>
              <w:ind w:firstLine="0"/>
              <w:jc w:val="center"/>
            </w:pPr>
            <w:r>
              <w:rPr>
                <w:sz w:val="20"/>
                <w:szCs w:val="20"/>
              </w:rPr>
              <w:t xml:space="preserve">17.079</w:t>
            </w:r>
          </w:p>
        </w:tc>
        <w:tc>
          <w:tcPr>
            <w:tcW w:type="dxa" w:w="1201"/>
            <w:vAlign w:val="center"/>
          </w:tcPr>
          <w:p>
            <w:pPr>
              <w:spacing w:before="20" w:after="20" w:line="260" w:lineRule="auto"/>
              <w:ind w:firstLine="0"/>
              <w:jc w:val="center"/>
            </w:pPr>
            <w:r>
              <w:rPr>
                <w:sz w:val="20"/>
                <w:szCs w:val="20"/>
              </w:rPr>
              <w:t xml:space="preserve">36,10%</w:t>
            </w:r>
          </w:p>
        </w:tc>
        <w:tc>
          <w:tcPr>
            <w:tcW w:type="dxa" w:w="1201"/>
            <w:vAlign w:val="center"/>
          </w:tcPr>
          <w:p>
            <w:pPr>
              <w:spacing w:before="20" w:after="20" w:line="260" w:lineRule="auto"/>
              <w:ind w:firstLine="0"/>
              <w:jc w:val="center"/>
            </w:pPr>
            <w:r>
              <w:rPr>
                <w:sz w:val="20"/>
                <w:szCs w:val="20"/>
              </w:rPr>
              <w:t xml:space="preserve">18,75%</w:t>
            </w:r>
          </w:p>
        </w:tc>
        <w:tc>
          <w:tcPr>
            <w:tcW w:type="dxa" w:w="1531"/>
            <w:vAlign w:val="center"/>
          </w:tcPr>
          <w:p>
            <w:pPr>
              <w:spacing w:before="20" w:after="20" w:line="260" w:lineRule="auto"/>
              <w:ind w:firstLine="0"/>
              <w:jc w:val="center"/>
            </w:pPr>
            <w:r>
              <w:rPr>
                <w:sz w:val="20"/>
                <w:szCs w:val="20"/>
              </w:rPr>
              <w:t xml:space="preserve">7.064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8.534</w:t>
            </w:r>
          </w:p>
        </w:tc>
        <w:tc>
          <w:tcPr>
            <w:tcW w:type="dxa" w:w="1201"/>
            <w:vAlign w:val="center"/>
          </w:tcPr>
          <w:p>
            <w:pPr>
              <w:spacing w:before="20" w:after="20" w:line="260" w:lineRule="auto"/>
              <w:ind w:firstLine="0"/>
              <w:jc w:val="center"/>
            </w:pPr>
            <w:r>
              <w:rPr>
                <w:sz w:val="20"/>
                <w:szCs w:val="20"/>
              </w:rPr>
              <w:t xml:space="preserve">9.139</w:t>
            </w:r>
          </w:p>
        </w:tc>
        <w:tc>
          <w:tcPr>
            <w:tcW w:type="dxa" w:w="1201"/>
            <w:vAlign w:val="center"/>
          </w:tcPr>
          <w:p>
            <w:pPr>
              <w:spacing w:before="20" w:after="20" w:line="260" w:lineRule="auto"/>
              <w:ind w:firstLine="0"/>
              <w:jc w:val="center"/>
            </w:pPr>
            <w:r>
              <w:rPr>
                <w:sz w:val="20"/>
                <w:szCs w:val="20"/>
              </w:rPr>
              <w:t xml:space="preserve">14,60%</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4.019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5.634</w:t>
            </w:r>
          </w:p>
        </w:tc>
        <w:tc>
          <w:tcPr>
            <w:tcW w:type="dxa" w:w="1201"/>
            <w:vAlign w:val="center"/>
          </w:tcPr>
          <w:p>
            <w:pPr>
              <w:spacing w:before="20" w:after="20" w:line="260" w:lineRule="auto"/>
              <w:ind w:firstLine="0"/>
              <w:jc w:val="center"/>
            </w:pPr>
            <w:r>
              <w:rPr>
                <w:sz w:val="20"/>
                <w:szCs w:val="20"/>
              </w:rPr>
              <w:t xml:space="preserve">7.424</w:t>
            </w:r>
          </w:p>
        </w:tc>
        <w:tc>
          <w:tcPr>
            <w:tcW w:type="dxa" w:w="1201"/>
            <w:vAlign w:val="center"/>
          </w:tcPr>
          <w:p>
            <w:pPr>
              <w:spacing w:before="20" w:after="20" w:line="260" w:lineRule="auto"/>
              <w:ind w:firstLine="0"/>
              <w:jc w:val="center"/>
            </w:pPr>
            <w:r>
              <w:rPr>
                <w:sz w:val="20"/>
                <w:szCs w:val="20"/>
              </w:rPr>
              <w:t xml:space="preserve">42,79%</w:t>
            </w:r>
          </w:p>
        </w:tc>
        <w:tc>
          <w:tcPr>
            <w:tcW w:type="dxa" w:w="1201"/>
            <w:vAlign w:val="center"/>
          </w:tcPr>
          <w:p>
            <w:pPr>
              <w:spacing w:before="20" w:after="20" w:line="260" w:lineRule="auto"/>
              <w:ind w:firstLine="0"/>
              <w:jc w:val="center"/>
            </w:pPr>
            <w:r>
              <w:rPr>
                <w:sz w:val="20"/>
                <w:szCs w:val="20"/>
              </w:rPr>
              <w:t xml:space="preserve">25,00%</w:t>
            </w:r>
          </w:p>
        </w:tc>
        <w:tc>
          <w:tcPr>
            <w:tcW w:type="dxa" w:w="1531"/>
            <w:vAlign w:val="center"/>
          </w:tcPr>
          <w:p>
            <w:pPr>
              <w:spacing w:before="20" w:after="20" w:line="260" w:lineRule="auto"/>
              <w:ind w:firstLine="0"/>
              <w:jc w:val="center"/>
            </w:pPr>
            <w:r>
              <w:rPr>
                <w:sz w:val="20"/>
                <w:szCs w:val="20"/>
              </w:rPr>
              <w:t xml:space="preserve">3.515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4.375</w:t>
            </w:r>
          </w:p>
        </w:tc>
        <w:tc>
          <w:tcPr>
            <w:tcW w:type="dxa" w:w="1201"/>
            <w:vAlign w:val="center"/>
          </w:tcPr>
          <w:p>
            <w:pPr>
              <w:spacing w:before="20" w:after="20" w:line="260" w:lineRule="auto"/>
              <w:ind w:firstLine="0"/>
              <w:jc w:val="center"/>
            </w:pPr>
            <w:r>
              <w:rPr>
                <w:sz w:val="20"/>
                <w:szCs w:val="20"/>
              </w:rPr>
              <w:t xml:space="preserve">4.433</w:t>
            </w:r>
          </w:p>
        </w:tc>
        <w:tc>
          <w:tcPr>
            <w:tcW w:type="dxa" w:w="1201"/>
            <w:vAlign w:val="center"/>
          </w:tcPr>
          <w:p>
            <w:pPr>
              <w:spacing w:before="20" w:after="20" w:line="260" w:lineRule="auto"/>
              <w:ind w:firstLine="0"/>
              <w:jc w:val="center"/>
            </w:pPr>
            <w:r>
              <w:rPr>
                <w:sz w:val="20"/>
                <w:szCs w:val="20"/>
              </w:rPr>
              <w:t xml:space="preserve">14,35%</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2.138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4.004</w:t>
            </w:r>
          </w:p>
        </w:tc>
        <w:tc>
          <w:tcPr>
            <w:tcW w:type="dxa" w:w="1201"/>
            <w:vAlign w:val="center"/>
          </w:tcPr>
          <w:p>
            <w:pPr>
              <w:spacing w:before="20" w:after="20" w:line="260" w:lineRule="auto"/>
              <w:ind w:firstLine="0"/>
              <w:jc w:val="center"/>
            </w:pPr>
            <w:r>
              <w:rPr>
                <w:sz w:val="20"/>
                <w:szCs w:val="20"/>
              </w:rPr>
              <w:t xml:space="preserve">4.431</w:t>
            </w:r>
          </w:p>
        </w:tc>
        <w:tc>
          <w:tcPr>
            <w:tcW w:type="dxa" w:w="1201"/>
            <w:vAlign w:val="center"/>
          </w:tcPr>
          <w:p>
            <w:pPr>
              <w:spacing w:before="20" w:after="20" w:line="260" w:lineRule="auto"/>
              <w:ind w:firstLine="0"/>
              <w:jc w:val="center"/>
            </w:pPr>
            <w:r>
              <w:rPr>
                <w:sz w:val="20"/>
                <w:szCs w:val="20"/>
              </w:rPr>
              <w:t xml:space="preserve">19,77%</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2.113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3.673</w:t>
            </w:r>
          </w:p>
        </w:tc>
        <w:tc>
          <w:tcPr>
            <w:tcW w:type="dxa" w:w="1201"/>
            <w:vAlign w:val="center"/>
          </w:tcPr>
          <w:p>
            <w:pPr>
              <w:spacing w:before="20" w:after="20" w:line="260" w:lineRule="auto"/>
              <w:ind w:firstLine="0"/>
              <w:jc w:val="center"/>
            </w:pPr>
            <w:r>
              <w:rPr>
                <w:sz w:val="20"/>
                <w:szCs w:val="20"/>
              </w:rPr>
              <w:t xml:space="preserve">3.578</w:t>
            </w:r>
          </w:p>
        </w:tc>
        <w:tc>
          <w:tcPr>
            <w:tcW w:type="dxa" w:w="1201"/>
            <w:vAlign w:val="center"/>
          </w:tcPr>
          <w:p>
            <w:pPr>
              <w:spacing w:before="20" w:after="20" w:line="260" w:lineRule="auto"/>
              <w:ind w:firstLine="0"/>
              <w:jc w:val="center"/>
            </w:pPr>
            <w:r>
              <w:rPr>
                <w:sz w:val="20"/>
                <w:szCs w:val="20"/>
              </w:rPr>
              <w:t xml:space="preserve">11,14%</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1.750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2.492</w:t>
            </w:r>
          </w:p>
        </w:tc>
        <w:tc>
          <w:tcPr>
            <w:tcW w:type="dxa" w:w="1201"/>
            <w:vAlign w:val="center"/>
          </w:tcPr>
          <w:p>
            <w:pPr>
              <w:spacing w:before="20" w:after="20" w:line="260" w:lineRule="auto"/>
              <w:ind w:firstLine="0"/>
              <w:jc w:val="center"/>
            </w:pPr>
            <w:r>
              <w:rPr>
                <w:sz w:val="20"/>
                <w:szCs w:val="20"/>
              </w:rPr>
              <w:t xml:space="preserve">2.523</w:t>
            </w:r>
          </w:p>
        </w:tc>
        <w:tc>
          <w:tcPr>
            <w:tcW w:type="dxa" w:w="1201"/>
            <w:vAlign w:val="center"/>
          </w:tcPr>
          <w:p>
            <w:pPr>
              <w:spacing w:before="20" w:after="20" w:line="260" w:lineRule="auto"/>
              <w:ind w:firstLine="0"/>
              <w:jc w:val="center"/>
            </w:pPr>
            <w:r>
              <w:rPr>
                <w:sz w:val="20"/>
                <w:szCs w:val="20"/>
              </w:rPr>
              <w:t xml:space="preserve">20,30%</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1.344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2.084</w:t>
            </w:r>
          </w:p>
        </w:tc>
        <w:tc>
          <w:tcPr>
            <w:tcW w:type="dxa" w:w="1201"/>
            <w:vAlign w:val="center"/>
          </w:tcPr>
          <w:p>
            <w:pPr>
              <w:spacing w:before="20" w:after="20" w:line="260" w:lineRule="auto"/>
              <w:ind w:firstLine="0"/>
              <w:jc w:val="center"/>
            </w:pPr>
            <w:r>
              <w:rPr>
                <w:sz w:val="20"/>
                <w:szCs w:val="20"/>
              </w:rPr>
              <w:t xml:space="preserve">2.255</w:t>
            </w:r>
          </w:p>
        </w:tc>
        <w:tc>
          <w:tcPr>
            <w:tcW w:type="dxa" w:w="1201"/>
            <w:vAlign w:val="center"/>
          </w:tcPr>
          <w:p>
            <w:pPr>
              <w:spacing w:before="20" w:after="20" w:line="260" w:lineRule="auto"/>
              <w:ind w:firstLine="0"/>
              <w:jc w:val="center"/>
            </w:pPr>
            <w:r>
              <w:rPr>
                <w:sz w:val="20"/>
                <w:szCs w:val="20"/>
              </w:rPr>
              <w:t xml:space="preserve">36,54%</w:t>
            </w:r>
          </w:p>
        </w:tc>
        <w:tc>
          <w:tcPr>
            <w:tcW w:type="dxa" w:w="1201"/>
            <w:vAlign w:val="center"/>
          </w:tcPr>
          <w:p>
            <w:pPr>
              <w:spacing w:before="20" w:after="20" w:line="260" w:lineRule="auto"/>
              <w:ind w:firstLine="0"/>
              <w:jc w:val="center"/>
            </w:pPr>
            <w:r>
              <w:rPr>
                <w:sz w:val="20"/>
                <w:szCs w:val="20"/>
              </w:rPr>
              <w:t xml:space="preserve">50,00%</w:t>
            </w:r>
          </w:p>
        </w:tc>
        <w:tc>
          <w:tcPr>
            <w:tcW w:type="dxa" w:w="1531"/>
            <w:vAlign w:val="center"/>
          </w:tcPr>
          <w:p>
            <w:pPr>
              <w:spacing w:before="20" w:after="20" w:line="260" w:lineRule="auto"/>
              <w:ind w:firstLine="0"/>
              <w:jc w:val="center"/>
            </w:pPr>
            <w:r>
              <w:rPr>
                <w:sz w:val="20"/>
                <w:szCs w:val="20"/>
              </w:rPr>
              <w:t xml:space="preserve">1.150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1.476</w:t>
            </w:r>
          </w:p>
        </w:tc>
        <w:tc>
          <w:tcPr>
            <w:tcW w:type="dxa" w:w="1201"/>
            <w:vAlign w:val="center"/>
          </w:tcPr>
          <w:p>
            <w:pPr>
              <w:spacing w:before="20" w:after="20" w:line="260" w:lineRule="auto"/>
              <w:ind w:firstLine="0"/>
              <w:jc w:val="center"/>
            </w:pPr>
            <w:r>
              <w:rPr>
                <w:sz w:val="20"/>
                <w:szCs w:val="20"/>
              </w:rPr>
              <w:t xml:space="preserve">1.466</w:t>
            </w:r>
          </w:p>
        </w:tc>
        <w:tc>
          <w:tcPr>
            <w:tcW w:type="dxa" w:w="1201"/>
            <w:vAlign w:val="center"/>
          </w:tcPr>
          <w:p>
            <w:pPr>
              <w:spacing w:before="20" w:after="20" w:line="260" w:lineRule="auto"/>
              <w:ind w:firstLine="0"/>
              <w:jc w:val="center"/>
            </w:pPr>
            <w:r>
              <w:rPr>
                <w:sz w:val="20"/>
                <w:szCs w:val="20"/>
              </w:rPr>
              <w:t xml:space="preserve">40,72%</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848</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A.27. Cửa hàng 27 (Daule, Guayas; loại D, cụm 1)</w:t>
      </w:r>
    </w:p>
    <w:p>
      <w:pPr>
        <w:keepLines w:val="0"/>
        <w:spacing w:after="120"/>
        <w:ind w:firstLine="567"/>
      </w:pPr>
      <w:r>
        <w:t xml:space="preserve">Trong 16 ngày của tập kiểm tra cuối, cửa hàng 27 có tổng doanh số thực tế 236.020 (hạng 23/54 về quy mô) và tổng dự báo 246.024, tức dự báo cao hơn thực tế 4,24%. WAPE của cửa hàng là 10,60% (hạng 8/54 từ thấp đến cao), MAE 47,376, RMSE 112,097 và bias −18,948. Độ bao phủ thực nghiệm của khoảng P10–P90 đạt 79,17% (hạng 7/54), so với mức danh nghĩa 80%. Nhóm có doanh số thực tế lớn nhất là GROCERY I (62.434; WAPE 8,86%; bao phủ 75,00%). Trong các nhóm có quy mô từ trung vị của cửa hàng trở lên, nhóm có WAPE thấp nhất là PRODUCE (6,06%).</w:t>
      </w:r>
    </w:p>
    <w:p>
      <w:pPr>
        <w:keepLines w:val="0"/>
        <w:spacing w:after="120"/>
        <w:ind w:firstLine="567"/>
      </w:pPr>
      <w:r>
        <w:t xml:space="preserve">Ở lớp hỗ trợ quyết định tồn kho, tổng P10, P50 và P90 cộng theo 33 nhóm lần lượt là 208.902, 245.741 và 304.582; tổng lượng bổ sung gợi ý theo giả định là 107.990. Cửa hàng có 19 nhóm mang nhãn HIGH, 11 nhóm MEDIUM và 3 nhóm LOW. Bảng A.29 liệt kê mười nhóm có doanh số thực tế lớn nhất của cửa hàng.</w:t>
      </w:r>
    </w:p>
    <w:p>
      <w:pPr>
        <w:keepNext/>
        <w:spacing w:before="120" w:after="60"/>
        <w:ind w:firstLine="0"/>
        <w:jc w:val="center"/>
      </w:pPr>
      <w:r>
        <w:t xml:space="preserve">Bảng A.29. Mười nhóm sản phẩm có doanh số thực tế lớn nhất của cửa hàng 27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62.434</w:t>
            </w:r>
          </w:p>
        </w:tc>
        <w:tc>
          <w:tcPr>
            <w:tcW w:type="dxa" w:w="1201"/>
            <w:vAlign w:val="center"/>
          </w:tcPr>
          <w:p>
            <w:pPr>
              <w:spacing w:before="20" w:after="20" w:line="260" w:lineRule="auto"/>
              <w:ind w:firstLine="0"/>
              <w:jc w:val="center"/>
            </w:pPr>
            <w:r>
              <w:rPr>
                <w:sz w:val="20"/>
                <w:szCs w:val="20"/>
              </w:rPr>
              <w:t xml:space="preserve">64.779</w:t>
            </w:r>
          </w:p>
        </w:tc>
        <w:tc>
          <w:tcPr>
            <w:tcW w:type="dxa" w:w="1201"/>
            <w:vAlign w:val="center"/>
          </w:tcPr>
          <w:p>
            <w:pPr>
              <w:spacing w:before="20" w:after="20" w:line="260" w:lineRule="auto"/>
              <w:ind w:firstLine="0"/>
              <w:jc w:val="center"/>
            </w:pPr>
            <w:r>
              <w:rPr>
                <w:sz w:val="20"/>
                <w:szCs w:val="20"/>
              </w:rPr>
              <w:t xml:space="preserve">8,86%</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25.120</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50.170</w:t>
            </w:r>
          </w:p>
        </w:tc>
        <w:tc>
          <w:tcPr>
            <w:tcW w:type="dxa" w:w="1201"/>
            <w:vAlign w:val="center"/>
          </w:tcPr>
          <w:p>
            <w:pPr>
              <w:spacing w:before="20" w:after="20" w:line="260" w:lineRule="auto"/>
              <w:ind w:firstLine="0"/>
              <w:jc w:val="center"/>
            </w:pPr>
            <w:r>
              <w:rPr>
                <w:sz w:val="20"/>
                <w:szCs w:val="20"/>
              </w:rPr>
              <w:t xml:space="preserve">53.877</w:t>
            </w:r>
          </w:p>
        </w:tc>
        <w:tc>
          <w:tcPr>
            <w:tcW w:type="dxa" w:w="1201"/>
            <w:vAlign w:val="center"/>
          </w:tcPr>
          <w:p>
            <w:pPr>
              <w:spacing w:before="20" w:after="20" w:line="260" w:lineRule="auto"/>
              <w:ind w:firstLine="0"/>
              <w:jc w:val="center"/>
            </w:pPr>
            <w:r>
              <w:rPr>
                <w:sz w:val="20"/>
                <w:szCs w:val="20"/>
              </w:rPr>
              <w:t xml:space="preserve">10,21%</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22.940</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45.128</w:t>
            </w:r>
          </w:p>
        </w:tc>
        <w:tc>
          <w:tcPr>
            <w:tcW w:type="dxa" w:w="1201"/>
            <w:vAlign w:val="center"/>
          </w:tcPr>
          <w:p>
            <w:pPr>
              <w:spacing w:before="20" w:after="20" w:line="260" w:lineRule="auto"/>
              <w:ind w:firstLine="0"/>
              <w:jc w:val="center"/>
            </w:pPr>
            <w:r>
              <w:rPr>
                <w:sz w:val="20"/>
                <w:szCs w:val="20"/>
              </w:rPr>
              <w:t xml:space="preserve">45.501</w:t>
            </w:r>
          </w:p>
        </w:tc>
        <w:tc>
          <w:tcPr>
            <w:tcW w:type="dxa" w:w="1201"/>
            <w:vAlign w:val="center"/>
          </w:tcPr>
          <w:p>
            <w:pPr>
              <w:spacing w:before="20" w:after="20" w:line="260" w:lineRule="auto"/>
              <w:ind w:firstLine="0"/>
              <w:jc w:val="center"/>
            </w:pPr>
            <w:r>
              <w:rPr>
                <w:sz w:val="20"/>
                <w:szCs w:val="20"/>
              </w:rPr>
              <w:t xml:space="preserve">6,06%</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21.265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16.563</w:t>
            </w:r>
          </w:p>
        </w:tc>
        <w:tc>
          <w:tcPr>
            <w:tcW w:type="dxa" w:w="1201"/>
            <w:vAlign w:val="center"/>
          </w:tcPr>
          <w:p>
            <w:pPr>
              <w:spacing w:before="20" w:after="20" w:line="260" w:lineRule="auto"/>
              <w:ind w:firstLine="0"/>
              <w:jc w:val="center"/>
            </w:pPr>
            <w:r>
              <w:rPr>
                <w:sz w:val="20"/>
                <w:szCs w:val="20"/>
              </w:rPr>
              <w:t xml:space="preserve">17.079</w:t>
            </w:r>
          </w:p>
        </w:tc>
        <w:tc>
          <w:tcPr>
            <w:tcW w:type="dxa" w:w="1201"/>
            <w:vAlign w:val="center"/>
          </w:tcPr>
          <w:p>
            <w:pPr>
              <w:spacing w:before="20" w:after="20" w:line="260" w:lineRule="auto"/>
              <w:ind w:firstLine="0"/>
              <w:jc w:val="center"/>
            </w:pPr>
            <w:r>
              <w:rPr>
                <w:sz w:val="20"/>
                <w:szCs w:val="20"/>
              </w:rPr>
              <w:t xml:space="preserve">7,80%</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7.064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13.725</w:t>
            </w:r>
          </w:p>
        </w:tc>
        <w:tc>
          <w:tcPr>
            <w:tcW w:type="dxa" w:w="1201"/>
            <w:vAlign w:val="center"/>
          </w:tcPr>
          <w:p>
            <w:pPr>
              <w:spacing w:before="20" w:after="20" w:line="260" w:lineRule="auto"/>
              <w:ind w:firstLine="0"/>
              <w:jc w:val="center"/>
            </w:pPr>
            <w:r>
              <w:rPr>
                <w:sz w:val="20"/>
                <w:szCs w:val="20"/>
              </w:rPr>
              <w:t xml:space="preserve">15.446</w:t>
            </w:r>
          </w:p>
        </w:tc>
        <w:tc>
          <w:tcPr>
            <w:tcW w:type="dxa" w:w="1201"/>
            <w:vAlign w:val="center"/>
          </w:tcPr>
          <w:p>
            <w:pPr>
              <w:spacing w:before="20" w:after="20" w:line="260" w:lineRule="auto"/>
              <w:ind w:firstLine="0"/>
              <w:jc w:val="center"/>
            </w:pPr>
            <w:r>
              <w:rPr>
                <w:sz w:val="20"/>
                <w:szCs w:val="20"/>
              </w:rPr>
              <w:t xml:space="preserve">20,31%</w:t>
            </w:r>
          </w:p>
        </w:tc>
        <w:tc>
          <w:tcPr>
            <w:tcW w:type="dxa" w:w="1201"/>
            <w:vAlign w:val="center"/>
          </w:tcPr>
          <w:p>
            <w:pPr>
              <w:spacing w:before="20" w:after="20" w:line="260" w:lineRule="auto"/>
              <w:ind w:firstLine="0"/>
              <w:jc w:val="center"/>
            </w:pPr>
            <w:r>
              <w:rPr>
                <w:sz w:val="20"/>
                <w:szCs w:val="20"/>
              </w:rPr>
              <w:t xml:space="preserve">43,75%</w:t>
            </w:r>
          </w:p>
        </w:tc>
        <w:tc>
          <w:tcPr>
            <w:tcW w:type="dxa" w:w="1531"/>
            <w:vAlign w:val="center"/>
          </w:tcPr>
          <w:p>
            <w:pPr>
              <w:spacing w:before="20" w:after="20" w:line="260" w:lineRule="auto"/>
              <w:ind w:firstLine="0"/>
              <w:jc w:val="center"/>
            </w:pPr>
            <w:r>
              <w:rPr>
                <w:sz w:val="20"/>
                <w:szCs w:val="20"/>
              </w:rPr>
              <w:t xml:space="preserve">6.129</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10.371</w:t>
            </w:r>
          </w:p>
        </w:tc>
        <w:tc>
          <w:tcPr>
            <w:tcW w:type="dxa" w:w="1201"/>
            <w:vAlign w:val="center"/>
          </w:tcPr>
          <w:p>
            <w:pPr>
              <w:spacing w:before="20" w:after="20" w:line="260" w:lineRule="auto"/>
              <w:ind w:firstLine="0"/>
              <w:jc w:val="center"/>
            </w:pPr>
            <w:r>
              <w:rPr>
                <w:sz w:val="20"/>
                <w:szCs w:val="20"/>
              </w:rPr>
              <w:t xml:space="preserve">10.633</w:t>
            </w:r>
          </w:p>
        </w:tc>
        <w:tc>
          <w:tcPr>
            <w:tcW w:type="dxa" w:w="1201"/>
            <w:vAlign w:val="center"/>
          </w:tcPr>
          <w:p>
            <w:pPr>
              <w:spacing w:before="20" w:after="20" w:line="260" w:lineRule="auto"/>
              <w:ind w:firstLine="0"/>
              <w:jc w:val="center"/>
            </w:pPr>
            <w:r>
              <w:rPr>
                <w:sz w:val="20"/>
                <w:szCs w:val="20"/>
              </w:rPr>
              <w:t xml:space="preserve">9,08%</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4.558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6.479</w:t>
            </w:r>
          </w:p>
        </w:tc>
        <w:tc>
          <w:tcPr>
            <w:tcW w:type="dxa" w:w="1201"/>
            <w:vAlign w:val="center"/>
          </w:tcPr>
          <w:p>
            <w:pPr>
              <w:spacing w:before="20" w:after="20" w:line="260" w:lineRule="auto"/>
              <w:ind w:firstLine="0"/>
              <w:jc w:val="center"/>
            </w:pPr>
            <w:r>
              <w:rPr>
                <w:sz w:val="20"/>
                <w:szCs w:val="20"/>
              </w:rPr>
              <w:t xml:space="preserve">6.665</w:t>
            </w:r>
          </w:p>
        </w:tc>
        <w:tc>
          <w:tcPr>
            <w:tcW w:type="dxa" w:w="1201"/>
            <w:vAlign w:val="center"/>
          </w:tcPr>
          <w:p>
            <w:pPr>
              <w:spacing w:before="20" w:after="20" w:line="260" w:lineRule="auto"/>
              <w:ind w:firstLine="0"/>
              <w:jc w:val="center"/>
            </w:pPr>
            <w:r>
              <w:rPr>
                <w:sz w:val="20"/>
                <w:szCs w:val="20"/>
              </w:rPr>
              <w:t xml:space="preserve">9,62%</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3.122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4.908</w:t>
            </w:r>
          </w:p>
        </w:tc>
        <w:tc>
          <w:tcPr>
            <w:tcW w:type="dxa" w:w="1201"/>
            <w:vAlign w:val="center"/>
          </w:tcPr>
          <w:p>
            <w:pPr>
              <w:spacing w:before="20" w:after="20" w:line="260" w:lineRule="auto"/>
              <w:ind w:firstLine="0"/>
              <w:jc w:val="center"/>
            </w:pPr>
            <w:r>
              <w:rPr>
                <w:sz w:val="20"/>
                <w:szCs w:val="20"/>
              </w:rPr>
              <w:t xml:space="preserve">4.966</w:t>
            </w:r>
          </w:p>
        </w:tc>
        <w:tc>
          <w:tcPr>
            <w:tcW w:type="dxa" w:w="1201"/>
            <w:vAlign w:val="center"/>
          </w:tcPr>
          <w:p>
            <w:pPr>
              <w:spacing w:before="20" w:after="20" w:line="260" w:lineRule="auto"/>
              <w:ind w:firstLine="0"/>
              <w:jc w:val="center"/>
            </w:pPr>
            <w:r>
              <w:rPr>
                <w:sz w:val="20"/>
                <w:szCs w:val="20"/>
              </w:rPr>
              <w:t xml:space="preserve">9,40%</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2.300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4.769</w:t>
            </w:r>
          </w:p>
        </w:tc>
        <w:tc>
          <w:tcPr>
            <w:tcW w:type="dxa" w:w="1201"/>
            <w:vAlign w:val="center"/>
          </w:tcPr>
          <w:p>
            <w:pPr>
              <w:spacing w:before="20" w:after="20" w:line="260" w:lineRule="auto"/>
              <w:ind w:firstLine="0"/>
              <w:jc w:val="center"/>
            </w:pPr>
            <w:r>
              <w:rPr>
                <w:sz w:val="20"/>
                <w:szCs w:val="20"/>
              </w:rPr>
              <w:t xml:space="preserve">4.932</w:t>
            </w:r>
          </w:p>
        </w:tc>
        <w:tc>
          <w:tcPr>
            <w:tcW w:type="dxa" w:w="1201"/>
            <w:vAlign w:val="center"/>
          </w:tcPr>
          <w:p>
            <w:pPr>
              <w:spacing w:before="20" w:after="20" w:line="260" w:lineRule="auto"/>
              <w:ind w:firstLine="0"/>
              <w:jc w:val="center"/>
            </w:pPr>
            <w:r>
              <w:rPr>
                <w:sz w:val="20"/>
                <w:szCs w:val="20"/>
              </w:rPr>
              <w:t xml:space="preserve">9,49%</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2.213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4.206</w:t>
            </w:r>
          </w:p>
        </w:tc>
        <w:tc>
          <w:tcPr>
            <w:tcW w:type="dxa" w:w="1201"/>
            <w:vAlign w:val="center"/>
          </w:tcPr>
          <w:p>
            <w:pPr>
              <w:spacing w:before="20" w:after="20" w:line="260" w:lineRule="auto"/>
              <w:ind w:firstLine="0"/>
              <w:jc w:val="center"/>
            </w:pPr>
            <w:r>
              <w:rPr>
                <w:sz w:val="20"/>
                <w:szCs w:val="20"/>
              </w:rPr>
              <w:t xml:space="preserve">4.061</w:t>
            </w:r>
          </w:p>
        </w:tc>
        <w:tc>
          <w:tcPr>
            <w:tcW w:type="dxa" w:w="1201"/>
            <w:vAlign w:val="center"/>
          </w:tcPr>
          <w:p>
            <w:pPr>
              <w:spacing w:before="20" w:after="20" w:line="260" w:lineRule="auto"/>
              <w:ind w:firstLine="0"/>
              <w:jc w:val="center"/>
            </w:pPr>
            <w:r>
              <w:rPr>
                <w:sz w:val="20"/>
                <w:szCs w:val="20"/>
              </w:rPr>
              <w:t xml:space="preserve">15,16%</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1.931</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A.28. Cửa hàng 28 (Guayaquil, Guayas; loại E, cụm 10)</w:t>
      </w:r>
    </w:p>
    <w:p>
      <w:pPr>
        <w:keepLines w:val="0"/>
        <w:spacing w:after="120"/>
        <w:ind w:firstLine="567"/>
      </w:pPr>
      <w:r>
        <w:t xml:space="preserve">Trong 16 ngày của tập kiểm tra cuối, cửa hàng 28 có tổng doanh số thực tế 260.468 (hạng 20/54 về quy mô) và tổng dự báo 252.840, tức dự báo thấp hơn thực tế 2,93%. WAPE của cửa hàng là 16,79% (hạng 36/54 từ thấp đến cao), MAE 82,830, RMSE 357,251 và bias 14,446. Độ bao phủ thực nghiệm của khoảng P10–P90 đạt 73,67% (hạng 38/54), so với mức danh nghĩa 80%. Nhóm có doanh số thực tế lớn nhất là GROCERY I (92.940; WAPE 21,01%; bao phủ 37,50%). Trong các nhóm có quy mô từ trung vị của cửa hàng trở lên, nhóm có WAPE thấp nhất là BREAD/BAKERY (9,89%). Có 3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214.700, 252.714 và 315.051; tổng lượng bổ sung gợi ý theo giả định là 112.880. Cửa hàng có 20 nhóm mang nhãn HIGH, 11 nhóm MEDIUM và 2 nhóm LOW. Bảng A.30 liệt kê mười nhóm có doanh số thực tế lớn nhất của cửa hàng.</w:t>
      </w:r>
    </w:p>
    <w:p>
      <w:pPr>
        <w:keepNext/>
        <w:spacing w:before="120" w:after="60"/>
        <w:ind w:firstLine="0"/>
        <w:jc w:val="center"/>
      </w:pPr>
      <w:r>
        <w:t xml:space="preserve">Bảng A.30. Mười nhóm sản phẩm có doanh số thực tế lớn nhất của cửa hàng 28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92.940</w:t>
            </w:r>
          </w:p>
        </w:tc>
        <w:tc>
          <w:tcPr>
            <w:tcW w:type="dxa" w:w="1201"/>
            <w:vAlign w:val="center"/>
          </w:tcPr>
          <w:p>
            <w:pPr>
              <w:spacing w:before="20" w:after="20" w:line="260" w:lineRule="auto"/>
              <w:ind w:firstLine="0"/>
              <w:jc w:val="center"/>
            </w:pPr>
            <w:r>
              <w:rPr>
                <w:sz w:val="20"/>
                <w:szCs w:val="20"/>
              </w:rPr>
              <w:t xml:space="preserve">79.021</w:t>
            </w:r>
          </w:p>
        </w:tc>
        <w:tc>
          <w:tcPr>
            <w:tcW w:type="dxa" w:w="1201"/>
            <w:vAlign w:val="center"/>
          </w:tcPr>
          <w:p>
            <w:pPr>
              <w:spacing w:before="20" w:after="20" w:line="260" w:lineRule="auto"/>
              <w:ind w:firstLine="0"/>
              <w:jc w:val="center"/>
            </w:pPr>
            <w:r>
              <w:rPr>
                <w:sz w:val="20"/>
                <w:szCs w:val="20"/>
              </w:rPr>
              <w:t xml:space="preserve">21,01%</w:t>
            </w:r>
          </w:p>
        </w:tc>
        <w:tc>
          <w:tcPr>
            <w:tcW w:type="dxa" w:w="1201"/>
            <w:vAlign w:val="center"/>
          </w:tcPr>
          <w:p>
            <w:pPr>
              <w:spacing w:before="20" w:after="20" w:line="260" w:lineRule="auto"/>
              <w:ind w:firstLine="0"/>
              <w:jc w:val="center"/>
            </w:pPr>
            <w:r>
              <w:rPr>
                <w:sz w:val="20"/>
                <w:szCs w:val="20"/>
              </w:rPr>
              <w:t xml:space="preserve">37,50%</w:t>
            </w:r>
          </w:p>
        </w:tc>
        <w:tc>
          <w:tcPr>
            <w:tcW w:type="dxa" w:w="1531"/>
            <w:vAlign w:val="center"/>
          </w:tcPr>
          <w:p>
            <w:pPr>
              <w:spacing w:before="20" w:after="20" w:line="260" w:lineRule="auto"/>
              <w:ind w:firstLine="0"/>
              <w:jc w:val="center"/>
            </w:pPr>
            <w:r>
              <w:rPr>
                <w:sz w:val="20"/>
                <w:szCs w:val="20"/>
              </w:rPr>
              <w:t xml:space="preserve">27.968</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60.482</w:t>
            </w:r>
          </w:p>
        </w:tc>
        <w:tc>
          <w:tcPr>
            <w:tcW w:type="dxa" w:w="1201"/>
            <w:vAlign w:val="center"/>
          </w:tcPr>
          <w:p>
            <w:pPr>
              <w:spacing w:before="20" w:after="20" w:line="260" w:lineRule="auto"/>
              <w:ind w:firstLine="0"/>
              <w:jc w:val="center"/>
            </w:pPr>
            <w:r>
              <w:rPr>
                <w:sz w:val="20"/>
                <w:szCs w:val="20"/>
              </w:rPr>
              <w:t xml:space="preserve">58.212</w:t>
            </w:r>
          </w:p>
        </w:tc>
        <w:tc>
          <w:tcPr>
            <w:tcW w:type="dxa" w:w="1201"/>
            <w:vAlign w:val="center"/>
          </w:tcPr>
          <w:p>
            <w:pPr>
              <w:spacing w:before="20" w:after="20" w:line="260" w:lineRule="auto"/>
              <w:ind w:firstLine="0"/>
              <w:jc w:val="center"/>
            </w:pPr>
            <w:r>
              <w:rPr>
                <w:sz w:val="20"/>
                <w:szCs w:val="20"/>
              </w:rPr>
              <w:t xml:space="preserve">11,08%</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23.807</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28.253</w:t>
            </w:r>
          </w:p>
        </w:tc>
        <w:tc>
          <w:tcPr>
            <w:tcW w:type="dxa" w:w="1201"/>
            <w:vAlign w:val="center"/>
          </w:tcPr>
          <w:p>
            <w:pPr>
              <w:spacing w:before="20" w:after="20" w:line="260" w:lineRule="auto"/>
              <w:ind w:firstLine="0"/>
              <w:jc w:val="center"/>
            </w:pPr>
            <w:r>
              <w:rPr>
                <w:sz w:val="20"/>
                <w:szCs w:val="20"/>
              </w:rPr>
              <w:t xml:space="preserve">29.194</w:t>
            </w:r>
          </w:p>
        </w:tc>
        <w:tc>
          <w:tcPr>
            <w:tcW w:type="dxa" w:w="1201"/>
            <w:vAlign w:val="center"/>
          </w:tcPr>
          <w:p>
            <w:pPr>
              <w:spacing w:before="20" w:after="20" w:line="260" w:lineRule="auto"/>
              <w:ind w:firstLine="0"/>
              <w:jc w:val="center"/>
            </w:pPr>
            <w:r>
              <w:rPr>
                <w:sz w:val="20"/>
                <w:szCs w:val="20"/>
              </w:rPr>
              <w:t xml:space="preserve">10,60%</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15.570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20.392</w:t>
            </w:r>
          </w:p>
        </w:tc>
        <w:tc>
          <w:tcPr>
            <w:tcW w:type="dxa" w:w="1201"/>
            <w:vAlign w:val="center"/>
          </w:tcPr>
          <w:p>
            <w:pPr>
              <w:spacing w:before="20" w:after="20" w:line="260" w:lineRule="auto"/>
              <w:ind w:firstLine="0"/>
              <w:jc w:val="center"/>
            </w:pPr>
            <w:r>
              <w:rPr>
                <w:sz w:val="20"/>
                <w:szCs w:val="20"/>
              </w:rPr>
              <w:t xml:space="preserve">22.915</w:t>
            </w:r>
          </w:p>
        </w:tc>
        <w:tc>
          <w:tcPr>
            <w:tcW w:type="dxa" w:w="1201"/>
            <w:vAlign w:val="center"/>
          </w:tcPr>
          <w:p>
            <w:pPr>
              <w:spacing w:before="20" w:after="20" w:line="260" w:lineRule="auto"/>
              <w:ind w:firstLine="0"/>
              <w:jc w:val="center"/>
            </w:pPr>
            <w:r>
              <w:rPr>
                <w:sz w:val="20"/>
                <w:szCs w:val="20"/>
              </w:rPr>
              <w:t xml:space="preserve">20,15%</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14.314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14.530</w:t>
            </w:r>
          </w:p>
        </w:tc>
        <w:tc>
          <w:tcPr>
            <w:tcW w:type="dxa" w:w="1201"/>
            <w:vAlign w:val="center"/>
          </w:tcPr>
          <w:p>
            <w:pPr>
              <w:spacing w:before="20" w:after="20" w:line="260" w:lineRule="auto"/>
              <w:ind w:firstLine="0"/>
              <w:jc w:val="center"/>
            </w:pPr>
            <w:r>
              <w:rPr>
                <w:sz w:val="20"/>
                <w:szCs w:val="20"/>
              </w:rPr>
              <w:t xml:space="preserve">16.372</w:t>
            </w:r>
          </w:p>
        </w:tc>
        <w:tc>
          <w:tcPr>
            <w:tcW w:type="dxa" w:w="1201"/>
            <w:vAlign w:val="center"/>
          </w:tcPr>
          <w:p>
            <w:pPr>
              <w:spacing w:before="20" w:after="20" w:line="260" w:lineRule="auto"/>
              <w:ind w:firstLine="0"/>
              <w:jc w:val="center"/>
            </w:pPr>
            <w:r>
              <w:rPr>
                <w:sz w:val="20"/>
                <w:szCs w:val="20"/>
              </w:rPr>
              <w:t xml:space="preserve">14,85%</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6.923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10.748</w:t>
            </w:r>
          </w:p>
        </w:tc>
        <w:tc>
          <w:tcPr>
            <w:tcW w:type="dxa" w:w="1201"/>
            <w:vAlign w:val="center"/>
          </w:tcPr>
          <w:p>
            <w:pPr>
              <w:spacing w:before="20" w:after="20" w:line="260" w:lineRule="auto"/>
              <w:ind w:firstLine="0"/>
              <w:jc w:val="center"/>
            </w:pPr>
            <w:r>
              <w:rPr>
                <w:sz w:val="20"/>
                <w:szCs w:val="20"/>
              </w:rPr>
              <w:t xml:space="preserve">11.435</w:t>
            </w:r>
          </w:p>
        </w:tc>
        <w:tc>
          <w:tcPr>
            <w:tcW w:type="dxa" w:w="1201"/>
            <w:vAlign w:val="center"/>
          </w:tcPr>
          <w:p>
            <w:pPr>
              <w:spacing w:before="20" w:after="20" w:line="260" w:lineRule="auto"/>
              <w:ind w:firstLine="0"/>
              <w:jc w:val="center"/>
            </w:pPr>
            <w:r>
              <w:rPr>
                <w:sz w:val="20"/>
                <w:szCs w:val="20"/>
              </w:rPr>
              <w:t xml:space="preserve">9,89%</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5.327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6.144</w:t>
            </w:r>
          </w:p>
        </w:tc>
        <w:tc>
          <w:tcPr>
            <w:tcW w:type="dxa" w:w="1201"/>
            <w:vAlign w:val="center"/>
          </w:tcPr>
          <w:p>
            <w:pPr>
              <w:spacing w:before="20" w:after="20" w:line="260" w:lineRule="auto"/>
              <w:ind w:firstLine="0"/>
              <w:jc w:val="center"/>
            </w:pPr>
            <w:r>
              <w:rPr>
                <w:sz w:val="20"/>
                <w:szCs w:val="20"/>
              </w:rPr>
              <w:t xml:space="preserve">6.873</w:t>
            </w:r>
          </w:p>
        </w:tc>
        <w:tc>
          <w:tcPr>
            <w:tcW w:type="dxa" w:w="1201"/>
            <w:vAlign w:val="center"/>
          </w:tcPr>
          <w:p>
            <w:pPr>
              <w:spacing w:before="20" w:after="20" w:line="260" w:lineRule="auto"/>
              <w:ind w:firstLine="0"/>
              <w:jc w:val="center"/>
            </w:pPr>
            <w:r>
              <w:rPr>
                <w:sz w:val="20"/>
                <w:szCs w:val="20"/>
              </w:rPr>
              <w:t xml:space="preserve">15,89%</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3.084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5.474</w:t>
            </w:r>
          </w:p>
        </w:tc>
        <w:tc>
          <w:tcPr>
            <w:tcW w:type="dxa" w:w="1201"/>
            <w:vAlign w:val="center"/>
          </w:tcPr>
          <w:p>
            <w:pPr>
              <w:spacing w:before="20" w:after="20" w:line="260" w:lineRule="auto"/>
              <w:ind w:firstLine="0"/>
              <w:jc w:val="center"/>
            </w:pPr>
            <w:r>
              <w:rPr>
                <w:sz w:val="20"/>
                <w:szCs w:val="20"/>
              </w:rPr>
              <w:t xml:space="preserve">5.487</w:t>
            </w:r>
          </w:p>
        </w:tc>
        <w:tc>
          <w:tcPr>
            <w:tcW w:type="dxa" w:w="1201"/>
            <w:vAlign w:val="center"/>
          </w:tcPr>
          <w:p>
            <w:pPr>
              <w:spacing w:before="20" w:after="20" w:line="260" w:lineRule="auto"/>
              <w:ind w:firstLine="0"/>
              <w:jc w:val="center"/>
            </w:pPr>
            <w:r>
              <w:rPr>
                <w:sz w:val="20"/>
                <w:szCs w:val="20"/>
              </w:rPr>
              <w:t xml:space="preserve">22,37%</w:t>
            </w:r>
          </w:p>
        </w:tc>
        <w:tc>
          <w:tcPr>
            <w:tcW w:type="dxa" w:w="1201"/>
            <w:vAlign w:val="center"/>
          </w:tcPr>
          <w:p>
            <w:pPr>
              <w:spacing w:before="20" w:after="20" w:line="260" w:lineRule="auto"/>
              <w:ind w:firstLine="0"/>
              <w:jc w:val="center"/>
            </w:pPr>
            <w:r>
              <w:rPr>
                <w:sz w:val="20"/>
                <w:szCs w:val="20"/>
              </w:rPr>
              <w:t xml:space="preserve">43,75%</w:t>
            </w:r>
          </w:p>
        </w:tc>
        <w:tc>
          <w:tcPr>
            <w:tcW w:type="dxa" w:w="1531"/>
            <w:vAlign w:val="center"/>
          </w:tcPr>
          <w:p>
            <w:pPr>
              <w:spacing w:before="20" w:after="20" w:line="260" w:lineRule="auto"/>
              <w:ind w:firstLine="0"/>
              <w:jc w:val="center"/>
            </w:pPr>
            <w:r>
              <w:rPr>
                <w:sz w:val="20"/>
                <w:szCs w:val="20"/>
              </w:rPr>
              <w:t xml:space="preserve">2.405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4.538</w:t>
            </w:r>
          </w:p>
        </w:tc>
        <w:tc>
          <w:tcPr>
            <w:tcW w:type="dxa" w:w="1201"/>
            <w:vAlign w:val="center"/>
          </w:tcPr>
          <w:p>
            <w:pPr>
              <w:spacing w:before="20" w:after="20" w:line="260" w:lineRule="auto"/>
              <w:ind w:firstLine="0"/>
              <w:jc w:val="center"/>
            </w:pPr>
            <w:r>
              <w:rPr>
                <w:sz w:val="20"/>
                <w:szCs w:val="20"/>
              </w:rPr>
              <w:t xml:space="preserve">5.103</w:t>
            </w:r>
          </w:p>
        </w:tc>
        <w:tc>
          <w:tcPr>
            <w:tcW w:type="dxa" w:w="1201"/>
            <w:vAlign w:val="center"/>
          </w:tcPr>
          <w:p>
            <w:pPr>
              <w:spacing w:before="20" w:after="20" w:line="260" w:lineRule="auto"/>
              <w:ind w:firstLine="0"/>
              <w:jc w:val="center"/>
            </w:pPr>
            <w:r>
              <w:rPr>
                <w:sz w:val="20"/>
                <w:szCs w:val="20"/>
              </w:rPr>
              <w:t xml:space="preserve">17,86%</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2.328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EGGS</w:t>
            </w:r>
          </w:p>
        </w:tc>
        <w:tc>
          <w:tcPr>
            <w:tcW w:type="dxa" w:w="1201"/>
            <w:vAlign w:val="center"/>
          </w:tcPr>
          <w:p>
            <w:pPr>
              <w:spacing w:before="20" w:after="20" w:line="260" w:lineRule="auto"/>
              <w:ind w:firstLine="0"/>
              <w:jc w:val="center"/>
            </w:pPr>
            <w:r>
              <w:rPr>
                <w:sz w:val="20"/>
                <w:szCs w:val="20"/>
              </w:rPr>
              <w:t xml:space="preserve">4.202</w:t>
            </w:r>
          </w:p>
        </w:tc>
        <w:tc>
          <w:tcPr>
            <w:tcW w:type="dxa" w:w="1201"/>
            <w:vAlign w:val="center"/>
          </w:tcPr>
          <w:p>
            <w:pPr>
              <w:spacing w:before="20" w:after="20" w:line="260" w:lineRule="auto"/>
              <w:ind w:firstLine="0"/>
              <w:jc w:val="center"/>
            </w:pPr>
            <w:r>
              <w:rPr>
                <w:sz w:val="20"/>
                <w:szCs w:val="20"/>
              </w:rPr>
              <w:t xml:space="preserve">4.781</w:t>
            </w:r>
          </w:p>
        </w:tc>
        <w:tc>
          <w:tcPr>
            <w:tcW w:type="dxa" w:w="1201"/>
            <w:vAlign w:val="center"/>
          </w:tcPr>
          <w:p>
            <w:pPr>
              <w:spacing w:before="20" w:after="20" w:line="260" w:lineRule="auto"/>
              <w:ind w:firstLine="0"/>
              <w:jc w:val="center"/>
            </w:pPr>
            <w:r>
              <w:rPr>
                <w:sz w:val="20"/>
                <w:szCs w:val="20"/>
              </w:rPr>
              <w:t xml:space="preserve">19,32%</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2.183</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A.29. Cửa hàng 29 (Guayaquil, Guayas; loại E, cụm 10)</w:t>
      </w:r>
    </w:p>
    <w:p>
      <w:pPr>
        <w:keepLines w:val="0"/>
        <w:spacing w:after="120"/>
        <w:ind w:firstLine="567"/>
      </w:pPr>
      <w:r>
        <w:t xml:space="preserve">Trong 16 ngày của tập kiểm tra cuối, cửa hàng 29 có tổng doanh số thực tế 213.341 (hạng 28/54 về quy mô) và tổng dự báo 208.211, tức dự báo thấp hơn thực tế 2,40%. WAPE của cửa hàng là 10,86% (hạng 9/54 từ thấp đến cao), MAE 43,865, RMSE 122,034 và bias 9,716. Độ bao phủ thực nghiệm của khoảng P10–P90 đạt 79,17% (hạng 7/54), so với mức danh nghĩa 80%. Nhóm có doanh số thực tế lớn nhất là GROCERY I (68.056; WAPE 6,09%; bao phủ 100,00%). Trong các nhóm có quy mô từ trung vị của cửa hàng trở lên, nhóm có WAPE thấp nhất là GROCERY I (6,09%). Có 3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175.356, 207.918 và 259.858; tổng lượng bổ sung gợi ý theo giả định là 93.523. Cửa hàng có 19 nhóm mang nhãn HIGH, 13 nhóm MEDIUM và 1 nhóm LOW. Bảng A.31 liệt kê mười nhóm có doanh số thực tế lớn nhất của cửa hàng.</w:t>
      </w:r>
    </w:p>
    <w:p>
      <w:pPr>
        <w:keepNext/>
        <w:spacing w:before="120" w:after="60"/>
        <w:ind w:firstLine="0"/>
        <w:jc w:val="center"/>
      </w:pPr>
      <w:r>
        <w:t xml:space="preserve">Bảng A.31. Mười nhóm sản phẩm có doanh số thực tế lớn nhất của cửa hàng 29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68.056</w:t>
            </w:r>
          </w:p>
        </w:tc>
        <w:tc>
          <w:tcPr>
            <w:tcW w:type="dxa" w:w="1201"/>
            <w:vAlign w:val="center"/>
          </w:tcPr>
          <w:p>
            <w:pPr>
              <w:spacing w:before="20" w:after="20" w:line="260" w:lineRule="auto"/>
              <w:ind w:firstLine="0"/>
              <w:jc w:val="center"/>
            </w:pPr>
            <w:r>
              <w:rPr>
                <w:sz w:val="20"/>
                <w:szCs w:val="20"/>
              </w:rPr>
              <w:t xml:space="preserve">64.864</w:t>
            </w:r>
          </w:p>
        </w:tc>
        <w:tc>
          <w:tcPr>
            <w:tcW w:type="dxa" w:w="1201"/>
            <w:vAlign w:val="center"/>
          </w:tcPr>
          <w:p>
            <w:pPr>
              <w:spacing w:before="20" w:after="20" w:line="260" w:lineRule="auto"/>
              <w:ind w:firstLine="0"/>
              <w:jc w:val="center"/>
            </w:pPr>
            <w:r>
              <w:rPr>
                <w:sz w:val="20"/>
                <w:szCs w:val="20"/>
              </w:rPr>
              <w:t xml:space="preserve">6,09%</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25.137</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55.632</w:t>
            </w:r>
          </w:p>
        </w:tc>
        <w:tc>
          <w:tcPr>
            <w:tcW w:type="dxa" w:w="1201"/>
            <w:vAlign w:val="center"/>
          </w:tcPr>
          <w:p>
            <w:pPr>
              <w:spacing w:before="20" w:after="20" w:line="260" w:lineRule="auto"/>
              <w:ind w:firstLine="0"/>
              <w:jc w:val="center"/>
            </w:pPr>
            <w:r>
              <w:rPr>
                <w:sz w:val="20"/>
                <w:szCs w:val="20"/>
              </w:rPr>
              <w:t xml:space="preserve">51.236</w:t>
            </w:r>
          </w:p>
        </w:tc>
        <w:tc>
          <w:tcPr>
            <w:tcW w:type="dxa" w:w="1201"/>
            <w:vAlign w:val="center"/>
          </w:tcPr>
          <w:p>
            <w:pPr>
              <w:spacing w:before="20" w:after="20" w:line="260" w:lineRule="auto"/>
              <w:ind w:firstLine="0"/>
              <w:jc w:val="center"/>
            </w:pPr>
            <w:r>
              <w:rPr>
                <w:sz w:val="20"/>
                <w:szCs w:val="20"/>
              </w:rPr>
              <w:t xml:space="preserve">11,75%</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22.412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21.278</w:t>
            </w:r>
          </w:p>
        </w:tc>
        <w:tc>
          <w:tcPr>
            <w:tcW w:type="dxa" w:w="1201"/>
            <w:vAlign w:val="center"/>
          </w:tcPr>
          <w:p>
            <w:pPr>
              <w:spacing w:before="20" w:after="20" w:line="260" w:lineRule="auto"/>
              <w:ind w:firstLine="0"/>
              <w:jc w:val="center"/>
            </w:pPr>
            <w:r>
              <w:rPr>
                <w:sz w:val="20"/>
                <w:szCs w:val="20"/>
              </w:rPr>
              <w:t xml:space="preserve">23.096</w:t>
            </w:r>
          </w:p>
        </w:tc>
        <w:tc>
          <w:tcPr>
            <w:tcW w:type="dxa" w:w="1201"/>
            <w:vAlign w:val="center"/>
          </w:tcPr>
          <w:p>
            <w:pPr>
              <w:spacing w:before="20" w:after="20" w:line="260" w:lineRule="auto"/>
              <w:ind w:firstLine="0"/>
              <w:jc w:val="center"/>
            </w:pPr>
            <w:r>
              <w:rPr>
                <w:sz w:val="20"/>
                <w:szCs w:val="20"/>
              </w:rPr>
              <w:t xml:space="preserve">9,88%</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11.309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16.331</w:t>
            </w:r>
          </w:p>
        </w:tc>
        <w:tc>
          <w:tcPr>
            <w:tcW w:type="dxa" w:w="1201"/>
            <w:vAlign w:val="center"/>
          </w:tcPr>
          <w:p>
            <w:pPr>
              <w:spacing w:before="20" w:after="20" w:line="260" w:lineRule="auto"/>
              <w:ind w:firstLine="0"/>
              <w:jc w:val="center"/>
            </w:pPr>
            <w:r>
              <w:rPr>
                <w:sz w:val="20"/>
                <w:szCs w:val="20"/>
              </w:rPr>
              <w:t xml:space="preserve">16.760</w:t>
            </w:r>
          </w:p>
        </w:tc>
        <w:tc>
          <w:tcPr>
            <w:tcW w:type="dxa" w:w="1201"/>
            <w:vAlign w:val="center"/>
          </w:tcPr>
          <w:p>
            <w:pPr>
              <w:spacing w:before="20" w:after="20" w:line="260" w:lineRule="auto"/>
              <w:ind w:firstLine="0"/>
              <w:jc w:val="center"/>
            </w:pPr>
            <w:r>
              <w:rPr>
                <w:sz w:val="20"/>
                <w:szCs w:val="20"/>
              </w:rPr>
              <w:t xml:space="preserve">10,86%</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8.217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12.048</w:t>
            </w:r>
          </w:p>
        </w:tc>
        <w:tc>
          <w:tcPr>
            <w:tcW w:type="dxa" w:w="1201"/>
            <w:vAlign w:val="center"/>
          </w:tcPr>
          <w:p>
            <w:pPr>
              <w:spacing w:before="20" w:after="20" w:line="260" w:lineRule="auto"/>
              <w:ind w:firstLine="0"/>
              <w:jc w:val="center"/>
            </w:pPr>
            <w:r>
              <w:rPr>
                <w:sz w:val="20"/>
                <w:szCs w:val="20"/>
              </w:rPr>
              <w:t xml:space="preserve">13.290</w:t>
            </w:r>
          </w:p>
        </w:tc>
        <w:tc>
          <w:tcPr>
            <w:tcW w:type="dxa" w:w="1201"/>
            <w:vAlign w:val="center"/>
          </w:tcPr>
          <w:p>
            <w:pPr>
              <w:spacing w:before="20" w:after="20" w:line="260" w:lineRule="auto"/>
              <w:ind w:firstLine="0"/>
              <w:jc w:val="center"/>
            </w:pPr>
            <w:r>
              <w:rPr>
                <w:sz w:val="20"/>
                <w:szCs w:val="20"/>
              </w:rPr>
              <w:t xml:space="preserve">10,96%</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5.698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11.734</w:t>
            </w:r>
          </w:p>
        </w:tc>
        <w:tc>
          <w:tcPr>
            <w:tcW w:type="dxa" w:w="1201"/>
            <w:vAlign w:val="center"/>
          </w:tcPr>
          <w:p>
            <w:pPr>
              <w:spacing w:before="20" w:after="20" w:line="260" w:lineRule="auto"/>
              <w:ind w:firstLine="0"/>
              <w:jc w:val="center"/>
            </w:pPr>
            <w:r>
              <w:rPr>
                <w:sz w:val="20"/>
                <w:szCs w:val="20"/>
              </w:rPr>
              <w:t xml:space="preserve">9.936</w:t>
            </w:r>
          </w:p>
        </w:tc>
        <w:tc>
          <w:tcPr>
            <w:tcW w:type="dxa" w:w="1201"/>
            <w:vAlign w:val="center"/>
          </w:tcPr>
          <w:p>
            <w:pPr>
              <w:spacing w:before="20" w:after="20" w:line="260" w:lineRule="auto"/>
              <w:ind w:firstLine="0"/>
              <w:jc w:val="center"/>
            </w:pPr>
            <w:r>
              <w:rPr>
                <w:sz w:val="20"/>
                <w:szCs w:val="20"/>
              </w:rPr>
              <w:t xml:space="preserve">15,59%</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4.419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4.702</w:t>
            </w:r>
          </w:p>
        </w:tc>
        <w:tc>
          <w:tcPr>
            <w:tcW w:type="dxa" w:w="1201"/>
            <w:vAlign w:val="center"/>
          </w:tcPr>
          <w:p>
            <w:pPr>
              <w:spacing w:before="20" w:after="20" w:line="260" w:lineRule="auto"/>
              <w:ind w:firstLine="0"/>
              <w:jc w:val="center"/>
            </w:pPr>
            <w:r>
              <w:rPr>
                <w:sz w:val="20"/>
                <w:szCs w:val="20"/>
              </w:rPr>
              <w:t xml:space="preserve">4.806</w:t>
            </w:r>
          </w:p>
        </w:tc>
        <w:tc>
          <w:tcPr>
            <w:tcW w:type="dxa" w:w="1201"/>
            <w:vAlign w:val="center"/>
          </w:tcPr>
          <w:p>
            <w:pPr>
              <w:spacing w:before="20" w:after="20" w:line="260" w:lineRule="auto"/>
              <w:ind w:firstLine="0"/>
              <w:jc w:val="center"/>
            </w:pPr>
            <w:r>
              <w:rPr>
                <w:sz w:val="20"/>
                <w:szCs w:val="20"/>
              </w:rPr>
              <w:t xml:space="preserve">12,43%</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2.268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4.213</w:t>
            </w:r>
          </w:p>
        </w:tc>
        <w:tc>
          <w:tcPr>
            <w:tcW w:type="dxa" w:w="1201"/>
            <w:vAlign w:val="center"/>
          </w:tcPr>
          <w:p>
            <w:pPr>
              <w:spacing w:before="20" w:after="20" w:line="260" w:lineRule="auto"/>
              <w:ind w:firstLine="0"/>
              <w:jc w:val="center"/>
            </w:pPr>
            <w:r>
              <w:rPr>
                <w:sz w:val="20"/>
                <w:szCs w:val="20"/>
              </w:rPr>
              <w:t xml:space="preserve">4.234</w:t>
            </w:r>
          </w:p>
        </w:tc>
        <w:tc>
          <w:tcPr>
            <w:tcW w:type="dxa" w:w="1201"/>
            <w:vAlign w:val="center"/>
          </w:tcPr>
          <w:p>
            <w:pPr>
              <w:spacing w:before="20" w:after="20" w:line="260" w:lineRule="auto"/>
              <w:ind w:firstLine="0"/>
              <w:jc w:val="center"/>
            </w:pPr>
            <w:r>
              <w:rPr>
                <w:sz w:val="20"/>
                <w:szCs w:val="20"/>
              </w:rPr>
              <w:t xml:space="preserve">21,36%</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1.990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EGGS</w:t>
            </w:r>
          </w:p>
        </w:tc>
        <w:tc>
          <w:tcPr>
            <w:tcW w:type="dxa" w:w="1201"/>
            <w:vAlign w:val="center"/>
          </w:tcPr>
          <w:p>
            <w:pPr>
              <w:spacing w:before="20" w:after="20" w:line="260" w:lineRule="auto"/>
              <w:ind w:firstLine="0"/>
              <w:jc w:val="center"/>
            </w:pPr>
            <w:r>
              <w:rPr>
                <w:sz w:val="20"/>
                <w:szCs w:val="20"/>
              </w:rPr>
              <w:t xml:space="preserve">4.052</w:t>
            </w:r>
          </w:p>
        </w:tc>
        <w:tc>
          <w:tcPr>
            <w:tcW w:type="dxa" w:w="1201"/>
            <w:vAlign w:val="center"/>
          </w:tcPr>
          <w:p>
            <w:pPr>
              <w:spacing w:before="20" w:after="20" w:line="260" w:lineRule="auto"/>
              <w:ind w:firstLine="0"/>
              <w:jc w:val="center"/>
            </w:pPr>
            <w:r>
              <w:rPr>
                <w:sz w:val="20"/>
                <w:szCs w:val="20"/>
              </w:rPr>
              <w:t xml:space="preserve">4.113</w:t>
            </w:r>
          </w:p>
        </w:tc>
        <w:tc>
          <w:tcPr>
            <w:tcW w:type="dxa" w:w="1201"/>
            <w:vAlign w:val="center"/>
          </w:tcPr>
          <w:p>
            <w:pPr>
              <w:spacing w:before="20" w:after="20" w:line="260" w:lineRule="auto"/>
              <w:ind w:firstLine="0"/>
              <w:jc w:val="center"/>
            </w:pPr>
            <w:r>
              <w:rPr>
                <w:sz w:val="20"/>
                <w:szCs w:val="20"/>
              </w:rPr>
              <w:t xml:space="preserve">14,22%</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1.962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4.003</w:t>
            </w:r>
          </w:p>
        </w:tc>
        <w:tc>
          <w:tcPr>
            <w:tcW w:type="dxa" w:w="1201"/>
            <w:vAlign w:val="center"/>
          </w:tcPr>
          <w:p>
            <w:pPr>
              <w:spacing w:before="20" w:after="20" w:line="260" w:lineRule="auto"/>
              <w:ind w:firstLine="0"/>
              <w:jc w:val="center"/>
            </w:pPr>
            <w:r>
              <w:rPr>
                <w:sz w:val="20"/>
                <w:szCs w:val="20"/>
              </w:rPr>
              <w:t xml:space="preserve">4.350</w:t>
            </w:r>
          </w:p>
        </w:tc>
        <w:tc>
          <w:tcPr>
            <w:tcW w:type="dxa" w:w="1201"/>
            <w:vAlign w:val="center"/>
          </w:tcPr>
          <w:p>
            <w:pPr>
              <w:spacing w:before="20" w:after="20" w:line="260" w:lineRule="auto"/>
              <w:ind w:firstLine="0"/>
              <w:jc w:val="center"/>
            </w:pPr>
            <w:r>
              <w:rPr>
                <w:sz w:val="20"/>
                <w:szCs w:val="20"/>
              </w:rPr>
              <w:t xml:space="preserve">11,35%</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2.069</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A.30. Cửa hàng 30 (Guayaquil, Guayas; loại C, cụm 3)</w:t>
      </w:r>
    </w:p>
    <w:p>
      <w:pPr>
        <w:keepLines w:val="0"/>
        <w:spacing w:after="120"/>
        <w:ind w:firstLine="567"/>
      </w:pPr>
      <w:r>
        <w:t xml:space="preserve">Trong 16 ngày của tập kiểm tra cuối, cửa hàng 30 có tổng doanh số thực tế 105.535 (hạng 50/54 về quy mô) và tổng dự báo 112.266, tức dự báo cao hơn thực tế 6,38%. WAPE của cửa hàng là 29,18% (hạng 54/54 từ thấp đến cao), MAE 58,315, RMSE 225,790 và bias −12,746. Độ bao phủ thực nghiệm của khoảng P10–P90 đạt 77,65% (hạng 17/54), so với mức danh nghĩa 80%. Nhóm có doanh số thực tế lớn nhất là GROCERY I (35.874; WAPE 18,13%; bao phủ 68,75%). Trong các nhóm có quy mô từ trung vị của cửa hàng trở lên, nhóm có WAPE thấp nhất là BREAD/BAKERY (7,33%).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86.047, 112.284 và 155.622; tổng lượng bổ sung gợi ý theo giả định là 65.795. Cửa hàng có 22 nhóm mang nhãn HIGH, 11 nhóm MEDIUM và 0 nhóm LOW. Bảng A.32 liệt kê mười nhóm có doanh số thực tế lớn nhất của cửa hàng.</w:t>
      </w:r>
    </w:p>
    <w:p>
      <w:pPr>
        <w:keepNext/>
        <w:spacing w:before="120" w:after="60"/>
        <w:ind w:firstLine="0"/>
        <w:jc w:val="center"/>
      </w:pPr>
      <w:r>
        <w:t xml:space="preserve">Bảng A.32. Mười nhóm sản phẩm có doanh số thực tế lớn nhất của cửa hàng 30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35.874</w:t>
            </w:r>
          </w:p>
        </w:tc>
        <w:tc>
          <w:tcPr>
            <w:tcW w:type="dxa" w:w="1201"/>
            <w:vAlign w:val="center"/>
          </w:tcPr>
          <w:p>
            <w:pPr>
              <w:spacing w:before="20" w:after="20" w:line="260" w:lineRule="auto"/>
              <w:ind w:firstLine="0"/>
              <w:jc w:val="center"/>
            </w:pPr>
            <w:r>
              <w:rPr>
                <w:sz w:val="20"/>
                <w:szCs w:val="20"/>
              </w:rPr>
              <w:t xml:space="preserve">32.542</w:t>
            </w:r>
          </w:p>
        </w:tc>
        <w:tc>
          <w:tcPr>
            <w:tcW w:type="dxa" w:w="1201"/>
            <w:vAlign w:val="center"/>
          </w:tcPr>
          <w:p>
            <w:pPr>
              <w:spacing w:before="20" w:after="20" w:line="260" w:lineRule="auto"/>
              <w:ind w:firstLine="0"/>
              <w:jc w:val="center"/>
            </w:pPr>
            <w:r>
              <w:rPr>
                <w:sz w:val="20"/>
                <w:szCs w:val="20"/>
              </w:rPr>
              <w:t xml:space="preserve">18,13%</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18.673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27.129</w:t>
            </w:r>
          </w:p>
        </w:tc>
        <w:tc>
          <w:tcPr>
            <w:tcW w:type="dxa" w:w="1201"/>
            <w:vAlign w:val="center"/>
          </w:tcPr>
          <w:p>
            <w:pPr>
              <w:spacing w:before="20" w:after="20" w:line="260" w:lineRule="auto"/>
              <w:ind w:firstLine="0"/>
              <w:jc w:val="center"/>
            </w:pPr>
            <w:r>
              <w:rPr>
                <w:sz w:val="20"/>
                <w:szCs w:val="20"/>
              </w:rPr>
              <w:t xml:space="preserve">25.832</w:t>
            </w:r>
          </w:p>
        </w:tc>
        <w:tc>
          <w:tcPr>
            <w:tcW w:type="dxa" w:w="1201"/>
            <w:vAlign w:val="center"/>
          </w:tcPr>
          <w:p>
            <w:pPr>
              <w:spacing w:before="20" w:after="20" w:line="260" w:lineRule="auto"/>
              <w:ind w:firstLine="0"/>
              <w:jc w:val="center"/>
            </w:pPr>
            <w:r>
              <w:rPr>
                <w:sz w:val="20"/>
                <w:szCs w:val="20"/>
              </w:rPr>
              <w:t xml:space="preserve">23,00%</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17.331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11.129</w:t>
            </w:r>
          </w:p>
        </w:tc>
        <w:tc>
          <w:tcPr>
            <w:tcW w:type="dxa" w:w="1201"/>
            <w:vAlign w:val="center"/>
          </w:tcPr>
          <w:p>
            <w:pPr>
              <w:spacing w:before="20" w:after="20" w:line="260" w:lineRule="auto"/>
              <w:ind w:firstLine="0"/>
              <w:jc w:val="center"/>
            </w:pPr>
            <w:r>
              <w:rPr>
                <w:sz w:val="20"/>
                <w:szCs w:val="20"/>
              </w:rPr>
              <w:t xml:space="preserve">20.602</w:t>
            </w:r>
          </w:p>
        </w:tc>
        <w:tc>
          <w:tcPr>
            <w:tcW w:type="dxa" w:w="1201"/>
            <w:vAlign w:val="center"/>
          </w:tcPr>
          <w:p>
            <w:pPr>
              <w:spacing w:before="20" w:after="20" w:line="260" w:lineRule="auto"/>
              <w:ind w:firstLine="0"/>
              <w:jc w:val="center"/>
            </w:pPr>
            <w:r>
              <w:rPr>
                <w:sz w:val="20"/>
                <w:szCs w:val="20"/>
              </w:rPr>
              <w:t xml:space="preserve">106,17%</w:t>
            </w:r>
          </w:p>
        </w:tc>
        <w:tc>
          <w:tcPr>
            <w:tcW w:type="dxa" w:w="1201"/>
            <w:vAlign w:val="center"/>
          </w:tcPr>
          <w:p>
            <w:pPr>
              <w:spacing w:before="20" w:after="20" w:line="260" w:lineRule="auto"/>
              <w:ind w:firstLine="0"/>
              <w:jc w:val="center"/>
            </w:pPr>
            <w:r>
              <w:rPr>
                <w:sz w:val="20"/>
                <w:szCs w:val="20"/>
              </w:rPr>
              <w:t xml:space="preserve">12,50%</w:t>
            </w:r>
          </w:p>
        </w:tc>
        <w:tc>
          <w:tcPr>
            <w:tcW w:type="dxa" w:w="1531"/>
            <w:vAlign w:val="center"/>
          </w:tcPr>
          <w:p>
            <w:pPr>
              <w:spacing w:before="20" w:after="20" w:line="260" w:lineRule="auto"/>
              <w:ind w:firstLine="0"/>
              <w:jc w:val="center"/>
            </w:pPr>
            <w:r>
              <w:rPr>
                <w:sz w:val="20"/>
                <w:szCs w:val="20"/>
              </w:rPr>
              <w:t xml:space="preserve">11.418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10.295</w:t>
            </w:r>
          </w:p>
        </w:tc>
        <w:tc>
          <w:tcPr>
            <w:tcW w:type="dxa" w:w="1201"/>
            <w:vAlign w:val="center"/>
          </w:tcPr>
          <w:p>
            <w:pPr>
              <w:spacing w:before="20" w:after="20" w:line="260" w:lineRule="auto"/>
              <w:ind w:firstLine="0"/>
              <w:jc w:val="center"/>
            </w:pPr>
            <w:r>
              <w:rPr>
                <w:sz w:val="20"/>
                <w:szCs w:val="20"/>
              </w:rPr>
              <w:t xml:space="preserve">10.692</w:t>
            </w:r>
          </w:p>
        </w:tc>
        <w:tc>
          <w:tcPr>
            <w:tcW w:type="dxa" w:w="1201"/>
            <w:vAlign w:val="center"/>
          </w:tcPr>
          <w:p>
            <w:pPr>
              <w:spacing w:before="20" w:after="20" w:line="260" w:lineRule="auto"/>
              <w:ind w:firstLine="0"/>
              <w:jc w:val="center"/>
            </w:pPr>
            <w:r>
              <w:rPr>
                <w:sz w:val="20"/>
                <w:szCs w:val="20"/>
              </w:rPr>
              <w:t xml:space="preserve">12,76%</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5.098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4.402</w:t>
            </w:r>
          </w:p>
        </w:tc>
        <w:tc>
          <w:tcPr>
            <w:tcW w:type="dxa" w:w="1201"/>
            <w:vAlign w:val="center"/>
          </w:tcPr>
          <w:p>
            <w:pPr>
              <w:spacing w:before="20" w:after="20" w:line="260" w:lineRule="auto"/>
              <w:ind w:firstLine="0"/>
              <w:jc w:val="center"/>
            </w:pPr>
            <w:r>
              <w:rPr>
                <w:sz w:val="20"/>
                <w:szCs w:val="20"/>
              </w:rPr>
              <w:t xml:space="preserve">5.006</w:t>
            </w:r>
          </w:p>
        </w:tc>
        <w:tc>
          <w:tcPr>
            <w:tcW w:type="dxa" w:w="1201"/>
            <w:vAlign w:val="center"/>
          </w:tcPr>
          <w:p>
            <w:pPr>
              <w:spacing w:before="20" w:after="20" w:line="260" w:lineRule="auto"/>
              <w:ind w:firstLine="0"/>
              <w:jc w:val="center"/>
            </w:pPr>
            <w:r>
              <w:rPr>
                <w:sz w:val="20"/>
                <w:szCs w:val="20"/>
              </w:rPr>
              <w:t xml:space="preserve">15,20%</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2.148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2.798</w:t>
            </w:r>
          </w:p>
        </w:tc>
        <w:tc>
          <w:tcPr>
            <w:tcW w:type="dxa" w:w="1201"/>
            <w:vAlign w:val="center"/>
          </w:tcPr>
          <w:p>
            <w:pPr>
              <w:spacing w:before="20" w:after="20" w:line="260" w:lineRule="auto"/>
              <w:ind w:firstLine="0"/>
              <w:jc w:val="center"/>
            </w:pPr>
            <w:r>
              <w:rPr>
                <w:sz w:val="20"/>
                <w:szCs w:val="20"/>
              </w:rPr>
              <w:t xml:space="preserve">2.756</w:t>
            </w:r>
          </w:p>
        </w:tc>
        <w:tc>
          <w:tcPr>
            <w:tcW w:type="dxa" w:w="1201"/>
            <w:vAlign w:val="center"/>
          </w:tcPr>
          <w:p>
            <w:pPr>
              <w:spacing w:before="20" w:after="20" w:line="260" w:lineRule="auto"/>
              <w:ind w:firstLine="0"/>
              <w:jc w:val="center"/>
            </w:pPr>
            <w:r>
              <w:rPr>
                <w:sz w:val="20"/>
                <w:szCs w:val="20"/>
              </w:rPr>
              <w:t xml:space="preserve">7,33%</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1.334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2.595</w:t>
            </w:r>
          </w:p>
        </w:tc>
        <w:tc>
          <w:tcPr>
            <w:tcW w:type="dxa" w:w="1201"/>
            <w:vAlign w:val="center"/>
          </w:tcPr>
          <w:p>
            <w:pPr>
              <w:spacing w:before="20" w:after="20" w:line="260" w:lineRule="auto"/>
              <w:ind w:firstLine="0"/>
              <w:jc w:val="center"/>
            </w:pPr>
            <w:r>
              <w:rPr>
                <w:sz w:val="20"/>
                <w:szCs w:val="20"/>
              </w:rPr>
              <w:t xml:space="preserve">2.667</w:t>
            </w:r>
          </w:p>
        </w:tc>
        <w:tc>
          <w:tcPr>
            <w:tcW w:type="dxa" w:w="1201"/>
            <w:vAlign w:val="center"/>
          </w:tcPr>
          <w:p>
            <w:pPr>
              <w:spacing w:before="20" w:after="20" w:line="260" w:lineRule="auto"/>
              <w:ind w:firstLine="0"/>
              <w:jc w:val="center"/>
            </w:pPr>
            <w:r>
              <w:rPr>
                <w:sz w:val="20"/>
                <w:szCs w:val="20"/>
              </w:rPr>
              <w:t xml:space="preserve">32,86%</w:t>
            </w:r>
          </w:p>
        </w:tc>
        <w:tc>
          <w:tcPr>
            <w:tcW w:type="dxa" w:w="1201"/>
            <w:vAlign w:val="center"/>
          </w:tcPr>
          <w:p>
            <w:pPr>
              <w:spacing w:before="20" w:after="20" w:line="260" w:lineRule="auto"/>
              <w:ind w:firstLine="0"/>
              <w:jc w:val="center"/>
            </w:pPr>
            <w:r>
              <w:rPr>
                <w:sz w:val="20"/>
                <w:szCs w:val="20"/>
              </w:rPr>
              <w:t xml:space="preserve">50,00%</w:t>
            </w:r>
          </w:p>
        </w:tc>
        <w:tc>
          <w:tcPr>
            <w:tcW w:type="dxa" w:w="1531"/>
            <w:vAlign w:val="center"/>
          </w:tcPr>
          <w:p>
            <w:pPr>
              <w:spacing w:before="20" w:after="20" w:line="260" w:lineRule="auto"/>
              <w:ind w:firstLine="0"/>
              <w:jc w:val="center"/>
            </w:pPr>
            <w:r>
              <w:rPr>
                <w:sz w:val="20"/>
                <w:szCs w:val="20"/>
              </w:rPr>
              <w:t xml:space="preserve">1.261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EGGS</w:t>
            </w:r>
          </w:p>
        </w:tc>
        <w:tc>
          <w:tcPr>
            <w:tcW w:type="dxa" w:w="1201"/>
            <w:vAlign w:val="center"/>
          </w:tcPr>
          <w:p>
            <w:pPr>
              <w:spacing w:before="20" w:after="20" w:line="260" w:lineRule="auto"/>
              <w:ind w:firstLine="0"/>
              <w:jc w:val="center"/>
            </w:pPr>
            <w:r>
              <w:rPr>
                <w:sz w:val="20"/>
                <w:szCs w:val="20"/>
              </w:rPr>
              <w:t xml:space="preserve">2.272</w:t>
            </w:r>
          </w:p>
        </w:tc>
        <w:tc>
          <w:tcPr>
            <w:tcW w:type="dxa" w:w="1201"/>
            <w:vAlign w:val="center"/>
          </w:tcPr>
          <w:p>
            <w:pPr>
              <w:spacing w:before="20" w:after="20" w:line="260" w:lineRule="auto"/>
              <w:ind w:firstLine="0"/>
              <w:jc w:val="center"/>
            </w:pPr>
            <w:r>
              <w:rPr>
                <w:sz w:val="20"/>
                <w:szCs w:val="20"/>
              </w:rPr>
              <w:t xml:space="preserve">2.452</w:t>
            </w:r>
          </w:p>
        </w:tc>
        <w:tc>
          <w:tcPr>
            <w:tcW w:type="dxa" w:w="1201"/>
            <w:vAlign w:val="center"/>
          </w:tcPr>
          <w:p>
            <w:pPr>
              <w:spacing w:before="20" w:after="20" w:line="260" w:lineRule="auto"/>
              <w:ind w:firstLine="0"/>
              <w:jc w:val="center"/>
            </w:pPr>
            <w:r>
              <w:rPr>
                <w:sz w:val="20"/>
                <w:szCs w:val="20"/>
              </w:rPr>
              <w:t xml:space="preserve">26,15%</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1.274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1.932</w:t>
            </w:r>
          </w:p>
        </w:tc>
        <w:tc>
          <w:tcPr>
            <w:tcW w:type="dxa" w:w="1201"/>
            <w:vAlign w:val="center"/>
          </w:tcPr>
          <w:p>
            <w:pPr>
              <w:spacing w:before="20" w:after="20" w:line="260" w:lineRule="auto"/>
              <w:ind w:firstLine="0"/>
              <w:jc w:val="center"/>
            </w:pPr>
            <w:r>
              <w:rPr>
                <w:sz w:val="20"/>
                <w:szCs w:val="20"/>
              </w:rPr>
              <w:t xml:space="preserve">2.146</w:t>
            </w:r>
          </w:p>
        </w:tc>
        <w:tc>
          <w:tcPr>
            <w:tcW w:type="dxa" w:w="1201"/>
            <w:vAlign w:val="center"/>
          </w:tcPr>
          <w:p>
            <w:pPr>
              <w:spacing w:before="20" w:after="20" w:line="260" w:lineRule="auto"/>
              <w:ind w:firstLine="0"/>
              <w:jc w:val="center"/>
            </w:pPr>
            <w:r>
              <w:rPr>
                <w:sz w:val="20"/>
                <w:szCs w:val="20"/>
              </w:rPr>
              <w:t xml:space="preserve">17,48%</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1.128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1.771</w:t>
            </w:r>
          </w:p>
        </w:tc>
        <w:tc>
          <w:tcPr>
            <w:tcW w:type="dxa" w:w="1201"/>
            <w:vAlign w:val="center"/>
          </w:tcPr>
          <w:p>
            <w:pPr>
              <w:spacing w:before="20" w:after="20" w:line="260" w:lineRule="auto"/>
              <w:ind w:firstLine="0"/>
              <w:jc w:val="center"/>
            </w:pPr>
            <w:r>
              <w:rPr>
                <w:sz w:val="20"/>
                <w:szCs w:val="20"/>
              </w:rPr>
              <w:t xml:space="preserve">1.847</w:t>
            </w:r>
          </w:p>
        </w:tc>
        <w:tc>
          <w:tcPr>
            <w:tcW w:type="dxa" w:w="1201"/>
            <w:vAlign w:val="center"/>
          </w:tcPr>
          <w:p>
            <w:pPr>
              <w:spacing w:before="20" w:after="20" w:line="260" w:lineRule="auto"/>
              <w:ind w:firstLine="0"/>
              <w:jc w:val="center"/>
            </w:pPr>
            <w:r>
              <w:rPr>
                <w:sz w:val="20"/>
                <w:szCs w:val="20"/>
              </w:rPr>
              <w:t xml:space="preserve">15,28%</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1.069</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A.31. Cửa hàng 31 (Babahoyo, Los Rios; loại B, cụm 10)</w:t>
      </w:r>
    </w:p>
    <w:p>
      <w:pPr>
        <w:keepLines w:val="0"/>
        <w:spacing w:after="120"/>
        <w:ind w:firstLine="567"/>
      </w:pPr>
      <w:r>
        <w:t xml:space="preserve">Trong 16 ngày của tập kiểm tra cuối, cửa hàng 31 có tổng doanh số thực tế 236.023 (hạng 22/54 về quy mô) và tổng dự báo 229.161, tức dự báo thấp hơn thực tế 2,91%. WAPE của cửa hàng là 13,50% (hạng 22/54 từ thấp đến cao), MAE 60,342, RMSE 190,787 và bias 12,997. Độ bao phủ thực nghiệm của khoảng P10–P90 đạt 78,98% (hạng 9/54), so với mức danh nghĩa 80%. Nhóm có doanh số thực tế lớn nhất là GROCERY I (79.289; WAPE 9,72%; bao phủ 68,75%). Trong các nhóm có quy mô từ trung vị của cửa hàng trở lên, nhóm có WAPE thấp nhất là MEATS (7,46%).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193.267, 229.074 và 287.444; tổng lượng bổ sung gợi ý theo giả định là 104.185. Cửa hàng có 20 nhóm mang nhãn HIGH, 12 nhóm MEDIUM và 1 nhóm LOW. Bảng A.33 liệt kê mười nhóm có doanh số thực tế lớn nhất của cửa hàng.</w:t>
      </w:r>
    </w:p>
    <w:p>
      <w:pPr>
        <w:keepNext/>
        <w:spacing w:before="120" w:after="60"/>
        <w:ind w:firstLine="0"/>
        <w:jc w:val="center"/>
      </w:pPr>
      <w:r>
        <w:t xml:space="preserve">Bảng A.33. Mười nhóm sản phẩm có doanh số thực tế lớn nhất của cửa hàng 31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79.289</w:t>
            </w:r>
          </w:p>
        </w:tc>
        <w:tc>
          <w:tcPr>
            <w:tcW w:type="dxa" w:w="1201"/>
            <w:vAlign w:val="center"/>
          </w:tcPr>
          <w:p>
            <w:pPr>
              <w:spacing w:before="20" w:after="20" w:line="260" w:lineRule="auto"/>
              <w:ind w:firstLine="0"/>
              <w:jc w:val="center"/>
            </w:pPr>
            <w:r>
              <w:rPr>
                <w:sz w:val="20"/>
                <w:szCs w:val="20"/>
              </w:rPr>
              <w:t xml:space="preserve">74.369</w:t>
            </w:r>
          </w:p>
        </w:tc>
        <w:tc>
          <w:tcPr>
            <w:tcW w:type="dxa" w:w="1201"/>
            <w:vAlign w:val="center"/>
          </w:tcPr>
          <w:p>
            <w:pPr>
              <w:spacing w:before="20" w:after="20" w:line="260" w:lineRule="auto"/>
              <w:ind w:firstLine="0"/>
              <w:jc w:val="center"/>
            </w:pPr>
            <w:r>
              <w:rPr>
                <w:sz w:val="20"/>
                <w:szCs w:val="20"/>
              </w:rPr>
              <w:t xml:space="preserve">9,72%</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27.038</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58.904</w:t>
            </w:r>
          </w:p>
        </w:tc>
        <w:tc>
          <w:tcPr>
            <w:tcW w:type="dxa" w:w="1201"/>
            <w:vAlign w:val="center"/>
          </w:tcPr>
          <w:p>
            <w:pPr>
              <w:spacing w:before="20" w:after="20" w:line="260" w:lineRule="auto"/>
              <w:ind w:firstLine="0"/>
              <w:jc w:val="center"/>
            </w:pPr>
            <w:r>
              <w:rPr>
                <w:sz w:val="20"/>
                <w:szCs w:val="20"/>
              </w:rPr>
              <w:t xml:space="preserve">52.253</w:t>
            </w:r>
          </w:p>
        </w:tc>
        <w:tc>
          <w:tcPr>
            <w:tcW w:type="dxa" w:w="1201"/>
            <w:vAlign w:val="center"/>
          </w:tcPr>
          <w:p>
            <w:pPr>
              <w:spacing w:before="20" w:after="20" w:line="260" w:lineRule="auto"/>
              <w:ind w:firstLine="0"/>
              <w:jc w:val="center"/>
            </w:pPr>
            <w:r>
              <w:rPr>
                <w:sz w:val="20"/>
                <w:szCs w:val="20"/>
              </w:rPr>
              <w:t xml:space="preserve">13,90%</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22.615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23.501</w:t>
            </w:r>
          </w:p>
        </w:tc>
        <w:tc>
          <w:tcPr>
            <w:tcW w:type="dxa" w:w="1201"/>
            <w:vAlign w:val="center"/>
          </w:tcPr>
          <w:p>
            <w:pPr>
              <w:spacing w:before="20" w:after="20" w:line="260" w:lineRule="auto"/>
              <w:ind w:firstLine="0"/>
              <w:jc w:val="center"/>
            </w:pPr>
            <w:r>
              <w:rPr>
                <w:sz w:val="20"/>
                <w:szCs w:val="20"/>
              </w:rPr>
              <w:t xml:space="preserve">25.849</w:t>
            </w:r>
          </w:p>
        </w:tc>
        <w:tc>
          <w:tcPr>
            <w:tcW w:type="dxa" w:w="1201"/>
            <w:vAlign w:val="center"/>
          </w:tcPr>
          <w:p>
            <w:pPr>
              <w:spacing w:before="20" w:after="20" w:line="260" w:lineRule="auto"/>
              <w:ind w:firstLine="0"/>
              <w:jc w:val="center"/>
            </w:pPr>
            <w:r>
              <w:rPr>
                <w:sz w:val="20"/>
                <w:szCs w:val="20"/>
              </w:rPr>
              <w:t xml:space="preserve">10,99%</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13.684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21.777</w:t>
            </w:r>
          </w:p>
        </w:tc>
        <w:tc>
          <w:tcPr>
            <w:tcW w:type="dxa" w:w="1201"/>
            <w:vAlign w:val="center"/>
          </w:tcPr>
          <w:p>
            <w:pPr>
              <w:spacing w:before="20" w:after="20" w:line="260" w:lineRule="auto"/>
              <w:ind w:firstLine="0"/>
              <w:jc w:val="center"/>
            </w:pPr>
            <w:r>
              <w:rPr>
                <w:sz w:val="20"/>
                <w:szCs w:val="20"/>
              </w:rPr>
              <w:t xml:space="preserve">22.350</w:t>
            </w:r>
          </w:p>
        </w:tc>
        <w:tc>
          <w:tcPr>
            <w:tcW w:type="dxa" w:w="1201"/>
            <w:vAlign w:val="center"/>
          </w:tcPr>
          <w:p>
            <w:pPr>
              <w:spacing w:before="20" w:after="20" w:line="260" w:lineRule="auto"/>
              <w:ind w:firstLine="0"/>
              <w:jc w:val="center"/>
            </w:pPr>
            <w:r>
              <w:rPr>
                <w:sz w:val="20"/>
                <w:szCs w:val="20"/>
              </w:rPr>
              <w:t xml:space="preserve">23,99%</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13.593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11.077</w:t>
            </w:r>
          </w:p>
        </w:tc>
        <w:tc>
          <w:tcPr>
            <w:tcW w:type="dxa" w:w="1201"/>
            <w:vAlign w:val="center"/>
          </w:tcPr>
          <w:p>
            <w:pPr>
              <w:spacing w:before="20" w:after="20" w:line="260" w:lineRule="auto"/>
              <w:ind w:firstLine="0"/>
              <w:jc w:val="center"/>
            </w:pPr>
            <w:r>
              <w:rPr>
                <w:sz w:val="20"/>
                <w:szCs w:val="20"/>
              </w:rPr>
              <w:t xml:space="preserve">12.471</w:t>
            </w:r>
          </w:p>
        </w:tc>
        <w:tc>
          <w:tcPr>
            <w:tcW w:type="dxa" w:w="1201"/>
            <w:vAlign w:val="center"/>
          </w:tcPr>
          <w:p>
            <w:pPr>
              <w:spacing w:before="20" w:after="20" w:line="260" w:lineRule="auto"/>
              <w:ind w:firstLine="0"/>
              <w:jc w:val="center"/>
            </w:pPr>
            <w:r>
              <w:rPr>
                <w:sz w:val="20"/>
                <w:szCs w:val="20"/>
              </w:rPr>
              <w:t xml:space="preserve">12,58%</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5.534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9.622</w:t>
            </w:r>
          </w:p>
        </w:tc>
        <w:tc>
          <w:tcPr>
            <w:tcW w:type="dxa" w:w="1201"/>
            <w:vAlign w:val="center"/>
          </w:tcPr>
          <w:p>
            <w:pPr>
              <w:spacing w:before="20" w:after="20" w:line="260" w:lineRule="auto"/>
              <w:ind w:firstLine="0"/>
              <w:jc w:val="center"/>
            </w:pPr>
            <w:r>
              <w:rPr>
                <w:sz w:val="20"/>
                <w:szCs w:val="20"/>
              </w:rPr>
              <w:t xml:space="preserve">9.061</w:t>
            </w:r>
          </w:p>
        </w:tc>
        <w:tc>
          <w:tcPr>
            <w:tcW w:type="dxa" w:w="1201"/>
            <w:vAlign w:val="center"/>
          </w:tcPr>
          <w:p>
            <w:pPr>
              <w:spacing w:before="20" w:after="20" w:line="260" w:lineRule="auto"/>
              <w:ind w:firstLine="0"/>
              <w:jc w:val="center"/>
            </w:pPr>
            <w:r>
              <w:rPr>
                <w:sz w:val="20"/>
                <w:szCs w:val="20"/>
              </w:rPr>
              <w:t xml:space="preserve">9,46%</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4.244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6.342</w:t>
            </w:r>
          </w:p>
        </w:tc>
        <w:tc>
          <w:tcPr>
            <w:tcW w:type="dxa" w:w="1201"/>
            <w:vAlign w:val="center"/>
          </w:tcPr>
          <w:p>
            <w:pPr>
              <w:spacing w:before="20" w:after="20" w:line="260" w:lineRule="auto"/>
              <w:ind w:firstLine="0"/>
              <w:jc w:val="center"/>
            </w:pPr>
            <w:r>
              <w:rPr>
                <w:sz w:val="20"/>
                <w:szCs w:val="20"/>
              </w:rPr>
              <w:t xml:space="preserve">6.191</w:t>
            </w:r>
          </w:p>
        </w:tc>
        <w:tc>
          <w:tcPr>
            <w:tcW w:type="dxa" w:w="1201"/>
            <w:vAlign w:val="center"/>
          </w:tcPr>
          <w:p>
            <w:pPr>
              <w:spacing w:before="20" w:after="20" w:line="260" w:lineRule="auto"/>
              <w:ind w:firstLine="0"/>
              <w:jc w:val="center"/>
            </w:pPr>
            <w:r>
              <w:rPr>
                <w:sz w:val="20"/>
                <w:szCs w:val="20"/>
              </w:rPr>
              <w:t xml:space="preserve">7,46%</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2.706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EGGS</w:t>
            </w:r>
          </w:p>
        </w:tc>
        <w:tc>
          <w:tcPr>
            <w:tcW w:type="dxa" w:w="1201"/>
            <w:vAlign w:val="center"/>
          </w:tcPr>
          <w:p>
            <w:pPr>
              <w:spacing w:before="20" w:after="20" w:line="260" w:lineRule="auto"/>
              <w:ind w:firstLine="0"/>
              <w:jc w:val="center"/>
            </w:pPr>
            <w:r>
              <w:rPr>
                <w:sz w:val="20"/>
                <w:szCs w:val="20"/>
              </w:rPr>
              <w:t xml:space="preserve">5.505</w:t>
            </w:r>
          </w:p>
        </w:tc>
        <w:tc>
          <w:tcPr>
            <w:tcW w:type="dxa" w:w="1201"/>
            <w:vAlign w:val="center"/>
          </w:tcPr>
          <w:p>
            <w:pPr>
              <w:spacing w:before="20" w:after="20" w:line="260" w:lineRule="auto"/>
              <w:ind w:firstLine="0"/>
              <w:jc w:val="center"/>
            </w:pPr>
            <w:r>
              <w:rPr>
                <w:sz w:val="20"/>
                <w:szCs w:val="20"/>
              </w:rPr>
              <w:t xml:space="preserve">5.038</w:t>
            </w:r>
          </w:p>
        </w:tc>
        <w:tc>
          <w:tcPr>
            <w:tcW w:type="dxa" w:w="1201"/>
            <w:vAlign w:val="center"/>
          </w:tcPr>
          <w:p>
            <w:pPr>
              <w:spacing w:before="20" w:after="20" w:line="260" w:lineRule="auto"/>
              <w:ind w:firstLine="0"/>
              <w:jc w:val="center"/>
            </w:pPr>
            <w:r>
              <w:rPr>
                <w:sz w:val="20"/>
                <w:szCs w:val="20"/>
              </w:rPr>
              <w:t xml:space="preserve">16,91%</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2.315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4.642</w:t>
            </w:r>
          </w:p>
        </w:tc>
        <w:tc>
          <w:tcPr>
            <w:tcW w:type="dxa" w:w="1201"/>
            <w:vAlign w:val="center"/>
          </w:tcPr>
          <w:p>
            <w:pPr>
              <w:spacing w:before="20" w:after="20" w:line="260" w:lineRule="auto"/>
              <w:ind w:firstLine="0"/>
              <w:jc w:val="center"/>
            </w:pPr>
            <w:r>
              <w:rPr>
                <w:sz w:val="20"/>
                <w:szCs w:val="20"/>
              </w:rPr>
              <w:t xml:space="preserve">5.102</w:t>
            </w:r>
          </w:p>
        </w:tc>
        <w:tc>
          <w:tcPr>
            <w:tcW w:type="dxa" w:w="1201"/>
            <w:vAlign w:val="center"/>
          </w:tcPr>
          <w:p>
            <w:pPr>
              <w:spacing w:before="20" w:after="20" w:line="260" w:lineRule="auto"/>
              <w:ind w:firstLine="0"/>
              <w:jc w:val="center"/>
            </w:pPr>
            <w:r>
              <w:rPr>
                <w:sz w:val="20"/>
                <w:szCs w:val="20"/>
              </w:rPr>
              <w:t xml:space="preserve">14,68%</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2.247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4.379</w:t>
            </w:r>
          </w:p>
        </w:tc>
        <w:tc>
          <w:tcPr>
            <w:tcW w:type="dxa" w:w="1201"/>
            <w:vAlign w:val="center"/>
          </w:tcPr>
          <w:p>
            <w:pPr>
              <w:spacing w:before="20" w:after="20" w:line="260" w:lineRule="auto"/>
              <w:ind w:firstLine="0"/>
              <w:jc w:val="center"/>
            </w:pPr>
            <w:r>
              <w:rPr>
                <w:sz w:val="20"/>
                <w:szCs w:val="20"/>
              </w:rPr>
              <w:t xml:space="preserve">4.772</w:t>
            </w:r>
          </w:p>
        </w:tc>
        <w:tc>
          <w:tcPr>
            <w:tcW w:type="dxa" w:w="1201"/>
            <w:vAlign w:val="center"/>
          </w:tcPr>
          <w:p>
            <w:pPr>
              <w:spacing w:before="20" w:after="20" w:line="260" w:lineRule="auto"/>
              <w:ind w:firstLine="0"/>
              <w:jc w:val="center"/>
            </w:pPr>
            <w:r>
              <w:rPr>
                <w:sz w:val="20"/>
                <w:szCs w:val="20"/>
              </w:rPr>
              <w:t xml:space="preserve">20,02%</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2.181</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A.32. Cửa hàng 32 (Guayaquil, Guayas; loại C, cụm 3)</w:t>
      </w:r>
    </w:p>
    <w:p>
      <w:pPr>
        <w:keepLines w:val="0"/>
        <w:spacing w:after="120"/>
        <w:ind w:firstLine="567"/>
      </w:pPr>
      <w:r>
        <w:t xml:space="preserve">Trong 16 ngày của tập kiểm tra cuối, cửa hàng 32 có tổng doanh số thực tế 83.639 (hạng 53/54 về quy mô) và tổng dự báo 77.792, tức dự báo thấp hơn thực tế 6,99%. WAPE của cửa hàng là 28,73% (hạng 53/54 từ thấp đến cao), MAE 45,503, RMSE 172,753 và bias 11,075. Độ bao phủ thực nghiệm của khoảng P10–P90 đạt 77,08% (hạng 19/54), so với mức danh nghĩa 80%. Nhóm có doanh số thực tế lớn nhất là GROCERY I (31.161; WAPE 22,08%; bao phủ 68,75%). Trong các nhóm có quy mô từ trung vị của cửa hàng trở lên, nhóm có WAPE thấp nhất là PRODUCE (16,82%). Có 5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59.540, 77.504 và 105.702; tổng lượng bổ sung gợi ý theo giả định là 43.699. Cửa hàng có 24 nhóm mang nhãn HIGH, 9 nhóm MEDIUM và 0 nhóm LOW. Bảng A.34 liệt kê mười nhóm có doanh số thực tế lớn nhất của cửa hàng.</w:t>
      </w:r>
    </w:p>
    <w:p>
      <w:pPr>
        <w:keepNext/>
        <w:spacing w:before="120" w:after="60"/>
        <w:ind w:firstLine="0"/>
        <w:jc w:val="center"/>
      </w:pPr>
      <w:r>
        <w:t xml:space="preserve">Bảng A.34. Mười nhóm sản phẩm có doanh số thực tế lớn nhất của cửa hàng 32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31.161</w:t>
            </w:r>
          </w:p>
        </w:tc>
        <w:tc>
          <w:tcPr>
            <w:tcW w:type="dxa" w:w="1201"/>
            <w:vAlign w:val="center"/>
          </w:tcPr>
          <w:p>
            <w:pPr>
              <w:spacing w:before="20" w:after="20" w:line="260" w:lineRule="auto"/>
              <w:ind w:firstLine="0"/>
              <w:jc w:val="center"/>
            </w:pPr>
            <w:r>
              <w:rPr>
                <w:sz w:val="20"/>
                <w:szCs w:val="20"/>
              </w:rPr>
              <w:t xml:space="preserve">24.460</w:t>
            </w:r>
          </w:p>
        </w:tc>
        <w:tc>
          <w:tcPr>
            <w:tcW w:type="dxa" w:w="1201"/>
            <w:vAlign w:val="center"/>
          </w:tcPr>
          <w:p>
            <w:pPr>
              <w:spacing w:before="20" w:after="20" w:line="260" w:lineRule="auto"/>
              <w:ind w:firstLine="0"/>
              <w:jc w:val="center"/>
            </w:pPr>
            <w:r>
              <w:rPr>
                <w:sz w:val="20"/>
                <w:szCs w:val="20"/>
              </w:rPr>
              <w:t xml:space="preserve">22,08%</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15.840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19.519</w:t>
            </w:r>
          </w:p>
        </w:tc>
        <w:tc>
          <w:tcPr>
            <w:tcW w:type="dxa" w:w="1201"/>
            <w:vAlign w:val="center"/>
          </w:tcPr>
          <w:p>
            <w:pPr>
              <w:spacing w:before="20" w:after="20" w:line="260" w:lineRule="auto"/>
              <w:ind w:firstLine="0"/>
              <w:jc w:val="center"/>
            </w:pPr>
            <w:r>
              <w:rPr>
                <w:sz w:val="20"/>
                <w:szCs w:val="20"/>
              </w:rPr>
              <w:t xml:space="preserve">16.793</w:t>
            </w:r>
          </w:p>
        </w:tc>
        <w:tc>
          <w:tcPr>
            <w:tcW w:type="dxa" w:w="1201"/>
            <w:vAlign w:val="center"/>
          </w:tcPr>
          <w:p>
            <w:pPr>
              <w:spacing w:before="20" w:after="20" w:line="260" w:lineRule="auto"/>
              <w:ind w:firstLine="0"/>
              <w:jc w:val="center"/>
            </w:pPr>
            <w:r>
              <w:rPr>
                <w:sz w:val="20"/>
                <w:szCs w:val="20"/>
              </w:rPr>
              <w:t xml:space="preserve">22,41%</w:t>
            </w:r>
          </w:p>
        </w:tc>
        <w:tc>
          <w:tcPr>
            <w:tcW w:type="dxa" w:w="1201"/>
            <w:vAlign w:val="center"/>
          </w:tcPr>
          <w:p>
            <w:pPr>
              <w:spacing w:before="20" w:after="20" w:line="260" w:lineRule="auto"/>
              <w:ind w:firstLine="0"/>
              <w:jc w:val="center"/>
            </w:pPr>
            <w:r>
              <w:rPr>
                <w:sz w:val="20"/>
                <w:szCs w:val="20"/>
              </w:rPr>
              <w:t xml:space="preserve">50,00%</w:t>
            </w:r>
          </w:p>
        </w:tc>
        <w:tc>
          <w:tcPr>
            <w:tcW w:type="dxa" w:w="1531"/>
            <w:vAlign w:val="center"/>
          </w:tcPr>
          <w:p>
            <w:pPr>
              <w:spacing w:before="20" w:after="20" w:line="260" w:lineRule="auto"/>
              <w:ind w:firstLine="0"/>
              <w:jc w:val="center"/>
            </w:pPr>
            <w:r>
              <w:rPr>
                <w:sz w:val="20"/>
                <w:szCs w:val="20"/>
              </w:rPr>
              <w:t xml:space="preserve">7.007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12.319</w:t>
            </w:r>
          </w:p>
        </w:tc>
        <w:tc>
          <w:tcPr>
            <w:tcW w:type="dxa" w:w="1201"/>
            <w:vAlign w:val="center"/>
          </w:tcPr>
          <w:p>
            <w:pPr>
              <w:spacing w:before="20" w:after="20" w:line="260" w:lineRule="auto"/>
              <w:ind w:firstLine="0"/>
              <w:jc w:val="center"/>
            </w:pPr>
            <w:r>
              <w:rPr>
                <w:sz w:val="20"/>
                <w:szCs w:val="20"/>
              </w:rPr>
              <w:t xml:space="preserve">15.480</w:t>
            </w:r>
          </w:p>
        </w:tc>
        <w:tc>
          <w:tcPr>
            <w:tcW w:type="dxa" w:w="1201"/>
            <w:vAlign w:val="center"/>
          </w:tcPr>
          <w:p>
            <w:pPr>
              <w:spacing w:before="20" w:after="20" w:line="260" w:lineRule="auto"/>
              <w:ind w:firstLine="0"/>
              <w:jc w:val="center"/>
            </w:pPr>
            <w:r>
              <w:rPr>
                <w:sz w:val="20"/>
                <w:szCs w:val="20"/>
              </w:rPr>
              <w:t xml:space="preserve">60,76%</w:t>
            </w:r>
          </w:p>
        </w:tc>
        <w:tc>
          <w:tcPr>
            <w:tcW w:type="dxa" w:w="1201"/>
            <w:vAlign w:val="center"/>
          </w:tcPr>
          <w:p>
            <w:pPr>
              <w:spacing w:before="20" w:after="20" w:line="260" w:lineRule="auto"/>
              <w:ind w:firstLine="0"/>
              <w:jc w:val="center"/>
            </w:pPr>
            <w:r>
              <w:rPr>
                <w:sz w:val="20"/>
                <w:szCs w:val="20"/>
              </w:rPr>
              <w:t xml:space="preserve">31,25%</w:t>
            </w:r>
          </w:p>
        </w:tc>
        <w:tc>
          <w:tcPr>
            <w:tcW w:type="dxa" w:w="1531"/>
            <w:vAlign w:val="center"/>
          </w:tcPr>
          <w:p>
            <w:pPr>
              <w:spacing w:before="20" w:after="20" w:line="260" w:lineRule="auto"/>
              <w:ind w:firstLine="0"/>
              <w:jc w:val="center"/>
            </w:pPr>
            <w:r>
              <w:rPr>
                <w:sz w:val="20"/>
                <w:szCs w:val="20"/>
              </w:rPr>
              <w:t xml:space="preserve">7.881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EGGS</w:t>
            </w:r>
          </w:p>
        </w:tc>
        <w:tc>
          <w:tcPr>
            <w:tcW w:type="dxa" w:w="1201"/>
            <w:vAlign w:val="center"/>
          </w:tcPr>
          <w:p>
            <w:pPr>
              <w:spacing w:before="20" w:after="20" w:line="260" w:lineRule="auto"/>
              <w:ind w:firstLine="0"/>
              <w:jc w:val="center"/>
            </w:pPr>
            <w:r>
              <w:rPr>
                <w:sz w:val="20"/>
                <w:szCs w:val="20"/>
              </w:rPr>
              <w:t xml:space="preserve">3.961</w:t>
            </w:r>
          </w:p>
        </w:tc>
        <w:tc>
          <w:tcPr>
            <w:tcW w:type="dxa" w:w="1201"/>
            <w:vAlign w:val="center"/>
          </w:tcPr>
          <w:p>
            <w:pPr>
              <w:spacing w:before="20" w:after="20" w:line="260" w:lineRule="auto"/>
              <w:ind w:firstLine="0"/>
              <w:jc w:val="center"/>
            </w:pPr>
            <w:r>
              <w:rPr>
                <w:sz w:val="20"/>
                <w:szCs w:val="20"/>
              </w:rPr>
              <w:t xml:space="preserve">3.322</w:t>
            </w:r>
          </w:p>
        </w:tc>
        <w:tc>
          <w:tcPr>
            <w:tcW w:type="dxa" w:w="1201"/>
            <w:vAlign w:val="center"/>
          </w:tcPr>
          <w:p>
            <w:pPr>
              <w:spacing w:before="20" w:after="20" w:line="260" w:lineRule="auto"/>
              <w:ind w:firstLine="0"/>
              <w:jc w:val="center"/>
            </w:pPr>
            <w:r>
              <w:rPr>
                <w:sz w:val="20"/>
                <w:szCs w:val="20"/>
              </w:rPr>
              <w:t xml:space="preserve">30,47%</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1.608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3.783</w:t>
            </w:r>
          </w:p>
        </w:tc>
        <w:tc>
          <w:tcPr>
            <w:tcW w:type="dxa" w:w="1201"/>
            <w:vAlign w:val="center"/>
          </w:tcPr>
          <w:p>
            <w:pPr>
              <w:spacing w:before="20" w:after="20" w:line="260" w:lineRule="auto"/>
              <w:ind w:firstLine="0"/>
              <w:jc w:val="center"/>
            </w:pPr>
            <w:r>
              <w:rPr>
                <w:sz w:val="20"/>
                <w:szCs w:val="20"/>
              </w:rPr>
              <w:t xml:space="preserve">4.144</w:t>
            </w:r>
          </w:p>
        </w:tc>
        <w:tc>
          <w:tcPr>
            <w:tcW w:type="dxa" w:w="1201"/>
            <w:vAlign w:val="center"/>
          </w:tcPr>
          <w:p>
            <w:pPr>
              <w:spacing w:before="20" w:after="20" w:line="260" w:lineRule="auto"/>
              <w:ind w:firstLine="0"/>
              <w:jc w:val="center"/>
            </w:pPr>
            <w:r>
              <w:rPr>
                <w:sz w:val="20"/>
                <w:szCs w:val="20"/>
              </w:rPr>
              <w:t xml:space="preserve">16,82%</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2.000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2.686</w:t>
            </w:r>
          </w:p>
        </w:tc>
        <w:tc>
          <w:tcPr>
            <w:tcW w:type="dxa" w:w="1201"/>
            <w:vAlign w:val="center"/>
          </w:tcPr>
          <w:p>
            <w:pPr>
              <w:spacing w:before="20" w:after="20" w:line="260" w:lineRule="auto"/>
              <w:ind w:firstLine="0"/>
              <w:jc w:val="center"/>
            </w:pPr>
            <w:r>
              <w:rPr>
                <w:sz w:val="20"/>
                <w:szCs w:val="20"/>
              </w:rPr>
              <w:t xml:space="preserve">3.082</w:t>
            </w:r>
          </w:p>
        </w:tc>
        <w:tc>
          <w:tcPr>
            <w:tcW w:type="dxa" w:w="1201"/>
            <w:vAlign w:val="center"/>
          </w:tcPr>
          <w:p>
            <w:pPr>
              <w:spacing w:before="20" w:after="20" w:line="260" w:lineRule="auto"/>
              <w:ind w:firstLine="0"/>
              <w:jc w:val="center"/>
            </w:pPr>
            <w:r>
              <w:rPr>
                <w:sz w:val="20"/>
                <w:szCs w:val="20"/>
              </w:rPr>
              <w:t xml:space="preserve">17,11%</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1.455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2.104</w:t>
            </w:r>
          </w:p>
        </w:tc>
        <w:tc>
          <w:tcPr>
            <w:tcW w:type="dxa" w:w="1201"/>
            <w:vAlign w:val="center"/>
          </w:tcPr>
          <w:p>
            <w:pPr>
              <w:spacing w:before="20" w:after="20" w:line="260" w:lineRule="auto"/>
              <w:ind w:firstLine="0"/>
              <w:jc w:val="center"/>
            </w:pPr>
            <w:r>
              <w:rPr>
                <w:sz w:val="20"/>
                <w:szCs w:val="20"/>
              </w:rPr>
              <w:t xml:space="preserve">2.045</w:t>
            </w:r>
          </w:p>
        </w:tc>
        <w:tc>
          <w:tcPr>
            <w:tcW w:type="dxa" w:w="1201"/>
            <w:vAlign w:val="center"/>
          </w:tcPr>
          <w:p>
            <w:pPr>
              <w:spacing w:before="20" w:after="20" w:line="260" w:lineRule="auto"/>
              <w:ind w:firstLine="0"/>
              <w:jc w:val="center"/>
            </w:pPr>
            <w:r>
              <w:rPr>
                <w:sz w:val="20"/>
                <w:szCs w:val="20"/>
              </w:rPr>
              <w:t xml:space="preserve">21,19%</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1.136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1.562</w:t>
            </w:r>
          </w:p>
        </w:tc>
        <w:tc>
          <w:tcPr>
            <w:tcW w:type="dxa" w:w="1201"/>
            <w:vAlign w:val="center"/>
          </w:tcPr>
          <w:p>
            <w:pPr>
              <w:spacing w:before="20" w:after="20" w:line="260" w:lineRule="auto"/>
              <w:ind w:firstLine="0"/>
              <w:jc w:val="center"/>
            </w:pPr>
            <w:r>
              <w:rPr>
                <w:sz w:val="20"/>
                <w:szCs w:val="20"/>
              </w:rPr>
              <w:t xml:space="preserve">1.830</w:t>
            </w:r>
          </w:p>
        </w:tc>
        <w:tc>
          <w:tcPr>
            <w:tcW w:type="dxa" w:w="1201"/>
            <w:vAlign w:val="center"/>
          </w:tcPr>
          <w:p>
            <w:pPr>
              <w:spacing w:before="20" w:after="20" w:line="260" w:lineRule="auto"/>
              <w:ind w:firstLine="0"/>
              <w:jc w:val="center"/>
            </w:pPr>
            <w:r>
              <w:rPr>
                <w:sz w:val="20"/>
                <w:szCs w:val="20"/>
              </w:rPr>
              <w:t xml:space="preserve">21,45%</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1.047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1.429</w:t>
            </w:r>
          </w:p>
        </w:tc>
        <w:tc>
          <w:tcPr>
            <w:tcW w:type="dxa" w:w="1201"/>
            <w:vAlign w:val="center"/>
          </w:tcPr>
          <w:p>
            <w:pPr>
              <w:spacing w:before="20" w:after="20" w:line="260" w:lineRule="auto"/>
              <w:ind w:firstLine="0"/>
              <w:jc w:val="center"/>
            </w:pPr>
            <w:r>
              <w:rPr>
                <w:sz w:val="20"/>
                <w:szCs w:val="20"/>
              </w:rPr>
              <w:t xml:space="preserve">1.640</w:t>
            </w:r>
          </w:p>
        </w:tc>
        <w:tc>
          <w:tcPr>
            <w:tcW w:type="dxa" w:w="1201"/>
            <w:vAlign w:val="center"/>
          </w:tcPr>
          <w:p>
            <w:pPr>
              <w:spacing w:before="20" w:after="20" w:line="260" w:lineRule="auto"/>
              <w:ind w:firstLine="0"/>
              <w:jc w:val="center"/>
            </w:pPr>
            <w:r>
              <w:rPr>
                <w:sz w:val="20"/>
                <w:szCs w:val="20"/>
              </w:rPr>
              <w:t xml:space="preserve">18,47%</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991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1.349</w:t>
            </w:r>
          </w:p>
        </w:tc>
        <w:tc>
          <w:tcPr>
            <w:tcW w:type="dxa" w:w="1201"/>
            <w:vAlign w:val="center"/>
          </w:tcPr>
          <w:p>
            <w:pPr>
              <w:spacing w:before="20" w:after="20" w:line="260" w:lineRule="auto"/>
              <w:ind w:firstLine="0"/>
              <w:jc w:val="center"/>
            </w:pPr>
            <w:r>
              <w:rPr>
                <w:sz w:val="20"/>
                <w:szCs w:val="20"/>
              </w:rPr>
              <w:t xml:space="preserve">1.362</w:t>
            </w:r>
          </w:p>
        </w:tc>
        <w:tc>
          <w:tcPr>
            <w:tcW w:type="dxa" w:w="1201"/>
            <w:vAlign w:val="center"/>
          </w:tcPr>
          <w:p>
            <w:pPr>
              <w:spacing w:before="20" w:after="20" w:line="260" w:lineRule="auto"/>
              <w:ind w:firstLine="0"/>
              <w:jc w:val="center"/>
            </w:pPr>
            <w:r>
              <w:rPr>
                <w:sz w:val="20"/>
                <w:szCs w:val="20"/>
              </w:rPr>
              <w:t xml:space="preserve">20,86%</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827</w:t>
            </w:r>
          </w:p>
        </w:tc>
        <w:tc>
          <w:tcPr>
            <w:tcW w:type="dxa" w:w="1205"/>
            <w:vAlign w:val="center"/>
          </w:tcPr>
          <w:p>
            <w:pPr>
              <w:spacing w:before="20" w:after="20" w:line="260" w:lineRule="auto"/>
              <w:ind w:firstLine="0"/>
              <w:jc w:val="left"/>
            </w:pPr>
            <w:r>
              <w:rPr>
                <w:sz w:val="20"/>
                <w:szCs w:val="20"/>
              </w:rPr>
              <w:t xml:space="preserve">HIGH</w:t>
            </w:r>
          </w:p>
        </w:tc>
      </w:tr>
    </w:tbl>
    <w:p>
      <w:pPr>
        <w:spacing w:before="40" w:after="160"/>
        <w:ind w:firstLine="0"/>
      </w:pPr>
      <w:r>
        <w:rPr>
          <w:i/>
          <w:sz w:val="22"/>
          <w:szCs w:val="22"/>
        </w:rPr>
        <w:t xml:space="preserve">Nguồn: error_by_series.csv và inventory_recommendations.csv.</w:t>
      </w:r>
    </w:p>
    <w:p>
      <w:pPr>
        <w:pStyle w:val="Heading3"/>
        <w:keepNext/>
      </w:pPr>
      <w:r>
        <w:t xml:space="preserve">A.33. Cửa hàng 33 (Quevedo, Los Rios; loại C, cụm 3)</w:t>
      </w:r>
    </w:p>
    <w:p>
      <w:pPr>
        <w:keepLines w:val="0"/>
        <w:spacing w:after="120"/>
        <w:ind w:firstLine="567"/>
      </w:pPr>
      <w:r>
        <w:t xml:space="preserve">Trong 16 ngày của tập kiểm tra cuối, cửa hàng 33 có tổng doanh số thực tế 164.524 (hạng 37/54 về quy mô) và tổng dự báo 164.620, tức dự báo cao hơn thực tế 0,06%. WAPE của cửa hàng là 15,46% (hạng 28/54 từ thấp đến cao), MAE 48,185, RMSE 169,006 và bias −0,183. Độ bao phủ thực nghiệm của khoảng P10–P90 đạt 78,22% (hạng 15/54), so với mức danh nghĩa 80%. Nhóm có doanh số thực tế lớn nhất là GROCERY I (50.594; WAPE 7,85%; bao phủ 93,75%). Trong các nhóm có quy mô từ trung vị của cửa hàng trở lên, nhóm có WAPE thấp nhất là PRODUCE (7,23%). Có 5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134.399, 164.525 và 213.793; tổng lượng bổ sung gợi ý theo giả định là 82.173. Cửa hàng có 21 nhóm mang nhãn HIGH, 12 nhóm MEDIUM và 0 nhóm LOW. Bảng A.35 liệt kê mười nhóm có doanh số thực tế lớn nhất của cửa hàng.</w:t>
      </w:r>
    </w:p>
    <w:p>
      <w:pPr>
        <w:keepNext/>
        <w:spacing w:before="120" w:after="60"/>
        <w:ind w:firstLine="0"/>
        <w:jc w:val="center"/>
      </w:pPr>
      <w:r>
        <w:t xml:space="preserve">Bảng A.35. Mười nhóm sản phẩm có doanh số thực tế lớn nhất của cửa hàng 33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50.594</w:t>
            </w:r>
          </w:p>
        </w:tc>
        <w:tc>
          <w:tcPr>
            <w:tcW w:type="dxa" w:w="1201"/>
            <w:vAlign w:val="center"/>
          </w:tcPr>
          <w:p>
            <w:pPr>
              <w:spacing w:before="20" w:after="20" w:line="260" w:lineRule="auto"/>
              <w:ind w:firstLine="0"/>
              <w:jc w:val="center"/>
            </w:pPr>
            <w:r>
              <w:rPr>
                <w:sz w:val="20"/>
                <w:szCs w:val="20"/>
              </w:rPr>
              <w:t xml:space="preserve">51.092</w:t>
            </w:r>
          </w:p>
        </w:tc>
        <w:tc>
          <w:tcPr>
            <w:tcW w:type="dxa" w:w="1201"/>
            <w:vAlign w:val="center"/>
          </w:tcPr>
          <w:p>
            <w:pPr>
              <w:spacing w:before="20" w:after="20" w:line="260" w:lineRule="auto"/>
              <w:ind w:firstLine="0"/>
              <w:jc w:val="center"/>
            </w:pPr>
            <w:r>
              <w:rPr>
                <w:sz w:val="20"/>
                <w:szCs w:val="20"/>
              </w:rPr>
              <w:t xml:space="preserve">7,85%</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22.383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37.679</w:t>
            </w:r>
          </w:p>
        </w:tc>
        <w:tc>
          <w:tcPr>
            <w:tcW w:type="dxa" w:w="1201"/>
            <w:vAlign w:val="center"/>
          </w:tcPr>
          <w:p>
            <w:pPr>
              <w:spacing w:before="20" w:after="20" w:line="260" w:lineRule="auto"/>
              <w:ind w:firstLine="0"/>
              <w:jc w:val="center"/>
            </w:pPr>
            <w:r>
              <w:rPr>
                <w:sz w:val="20"/>
                <w:szCs w:val="20"/>
              </w:rPr>
              <w:t xml:space="preserve">35.798</w:t>
            </w:r>
          </w:p>
        </w:tc>
        <w:tc>
          <w:tcPr>
            <w:tcW w:type="dxa" w:w="1201"/>
            <w:vAlign w:val="center"/>
          </w:tcPr>
          <w:p>
            <w:pPr>
              <w:spacing w:before="20" w:after="20" w:line="260" w:lineRule="auto"/>
              <w:ind w:firstLine="0"/>
              <w:jc w:val="center"/>
            </w:pPr>
            <w:r>
              <w:rPr>
                <w:sz w:val="20"/>
                <w:szCs w:val="20"/>
              </w:rPr>
              <w:t xml:space="preserve">24,53%</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19.324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22.670</w:t>
            </w:r>
          </w:p>
        </w:tc>
        <w:tc>
          <w:tcPr>
            <w:tcW w:type="dxa" w:w="1201"/>
            <w:vAlign w:val="center"/>
          </w:tcPr>
          <w:p>
            <w:pPr>
              <w:spacing w:before="20" w:after="20" w:line="260" w:lineRule="auto"/>
              <w:ind w:firstLine="0"/>
              <w:jc w:val="center"/>
            </w:pPr>
            <w:r>
              <w:rPr>
                <w:sz w:val="20"/>
                <w:szCs w:val="20"/>
              </w:rPr>
              <w:t xml:space="preserve">23.635</w:t>
            </w:r>
          </w:p>
        </w:tc>
        <w:tc>
          <w:tcPr>
            <w:tcW w:type="dxa" w:w="1201"/>
            <w:vAlign w:val="center"/>
          </w:tcPr>
          <w:p>
            <w:pPr>
              <w:spacing w:before="20" w:after="20" w:line="260" w:lineRule="auto"/>
              <w:ind w:firstLine="0"/>
              <w:jc w:val="center"/>
            </w:pPr>
            <w:r>
              <w:rPr>
                <w:sz w:val="20"/>
                <w:szCs w:val="20"/>
              </w:rPr>
              <w:t xml:space="preserve">7,23%</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13.242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16.967</w:t>
            </w:r>
          </w:p>
        </w:tc>
        <w:tc>
          <w:tcPr>
            <w:tcW w:type="dxa" w:w="1201"/>
            <w:vAlign w:val="center"/>
          </w:tcPr>
          <w:p>
            <w:pPr>
              <w:spacing w:before="20" w:after="20" w:line="260" w:lineRule="auto"/>
              <w:ind w:firstLine="0"/>
              <w:jc w:val="center"/>
            </w:pPr>
            <w:r>
              <w:rPr>
                <w:sz w:val="20"/>
                <w:szCs w:val="20"/>
              </w:rPr>
              <w:t xml:space="preserve">17.059</w:t>
            </w:r>
          </w:p>
        </w:tc>
        <w:tc>
          <w:tcPr>
            <w:tcW w:type="dxa" w:w="1201"/>
            <w:vAlign w:val="center"/>
          </w:tcPr>
          <w:p>
            <w:pPr>
              <w:spacing w:before="20" w:after="20" w:line="260" w:lineRule="auto"/>
              <w:ind w:firstLine="0"/>
              <w:jc w:val="center"/>
            </w:pPr>
            <w:r>
              <w:rPr>
                <w:sz w:val="20"/>
                <w:szCs w:val="20"/>
              </w:rPr>
              <w:t xml:space="preserve">15,75%</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7.668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6.894</w:t>
            </w:r>
          </w:p>
        </w:tc>
        <w:tc>
          <w:tcPr>
            <w:tcW w:type="dxa" w:w="1201"/>
            <w:vAlign w:val="center"/>
          </w:tcPr>
          <w:p>
            <w:pPr>
              <w:spacing w:before="20" w:after="20" w:line="260" w:lineRule="auto"/>
              <w:ind w:firstLine="0"/>
              <w:jc w:val="center"/>
            </w:pPr>
            <w:r>
              <w:rPr>
                <w:sz w:val="20"/>
                <w:szCs w:val="20"/>
              </w:rPr>
              <w:t xml:space="preserve">7.653</w:t>
            </w:r>
          </w:p>
        </w:tc>
        <w:tc>
          <w:tcPr>
            <w:tcW w:type="dxa" w:w="1201"/>
            <w:vAlign w:val="center"/>
          </w:tcPr>
          <w:p>
            <w:pPr>
              <w:spacing w:before="20" w:after="20" w:line="260" w:lineRule="auto"/>
              <w:ind w:firstLine="0"/>
              <w:jc w:val="center"/>
            </w:pPr>
            <w:r>
              <w:rPr>
                <w:sz w:val="20"/>
                <w:szCs w:val="20"/>
              </w:rPr>
              <w:t xml:space="preserve">16,51%</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3.481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4.167</w:t>
            </w:r>
          </w:p>
        </w:tc>
        <w:tc>
          <w:tcPr>
            <w:tcW w:type="dxa" w:w="1201"/>
            <w:vAlign w:val="center"/>
          </w:tcPr>
          <w:p>
            <w:pPr>
              <w:spacing w:before="20" w:after="20" w:line="260" w:lineRule="auto"/>
              <w:ind w:firstLine="0"/>
              <w:jc w:val="center"/>
            </w:pPr>
            <w:r>
              <w:rPr>
                <w:sz w:val="20"/>
                <w:szCs w:val="20"/>
              </w:rPr>
              <w:t xml:space="preserve">4.653</w:t>
            </w:r>
          </w:p>
        </w:tc>
        <w:tc>
          <w:tcPr>
            <w:tcW w:type="dxa" w:w="1201"/>
            <w:vAlign w:val="center"/>
          </w:tcPr>
          <w:p>
            <w:pPr>
              <w:spacing w:before="20" w:after="20" w:line="260" w:lineRule="auto"/>
              <w:ind w:firstLine="0"/>
              <w:jc w:val="center"/>
            </w:pPr>
            <w:r>
              <w:rPr>
                <w:sz w:val="20"/>
                <w:szCs w:val="20"/>
              </w:rPr>
              <w:t xml:space="preserve">20,79%</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2.157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3.950</w:t>
            </w:r>
          </w:p>
        </w:tc>
        <w:tc>
          <w:tcPr>
            <w:tcW w:type="dxa" w:w="1201"/>
            <w:vAlign w:val="center"/>
          </w:tcPr>
          <w:p>
            <w:pPr>
              <w:spacing w:before="20" w:after="20" w:line="260" w:lineRule="auto"/>
              <w:ind w:firstLine="0"/>
              <w:jc w:val="center"/>
            </w:pPr>
            <w:r>
              <w:rPr>
                <w:sz w:val="20"/>
                <w:szCs w:val="20"/>
              </w:rPr>
              <w:t xml:space="preserve">3.617</w:t>
            </w:r>
          </w:p>
        </w:tc>
        <w:tc>
          <w:tcPr>
            <w:tcW w:type="dxa" w:w="1201"/>
            <w:vAlign w:val="center"/>
          </w:tcPr>
          <w:p>
            <w:pPr>
              <w:spacing w:before="20" w:after="20" w:line="260" w:lineRule="auto"/>
              <w:ind w:firstLine="0"/>
              <w:jc w:val="center"/>
            </w:pPr>
            <w:r>
              <w:rPr>
                <w:sz w:val="20"/>
                <w:szCs w:val="20"/>
              </w:rPr>
              <w:t xml:space="preserve">21,38%</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1.674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3.763</w:t>
            </w:r>
          </w:p>
        </w:tc>
        <w:tc>
          <w:tcPr>
            <w:tcW w:type="dxa" w:w="1201"/>
            <w:vAlign w:val="center"/>
          </w:tcPr>
          <w:p>
            <w:pPr>
              <w:spacing w:before="20" w:after="20" w:line="260" w:lineRule="auto"/>
              <w:ind w:firstLine="0"/>
              <w:jc w:val="center"/>
            </w:pPr>
            <w:r>
              <w:rPr>
                <w:sz w:val="20"/>
                <w:szCs w:val="20"/>
              </w:rPr>
              <w:t xml:space="preserve">4.206</w:t>
            </w:r>
          </w:p>
        </w:tc>
        <w:tc>
          <w:tcPr>
            <w:tcW w:type="dxa" w:w="1201"/>
            <w:vAlign w:val="center"/>
          </w:tcPr>
          <w:p>
            <w:pPr>
              <w:spacing w:before="20" w:after="20" w:line="260" w:lineRule="auto"/>
              <w:ind w:firstLine="0"/>
              <w:jc w:val="center"/>
            </w:pPr>
            <w:r>
              <w:rPr>
                <w:sz w:val="20"/>
                <w:szCs w:val="20"/>
              </w:rPr>
              <w:t xml:space="preserve">12,09%</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1.960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EGGS</w:t>
            </w:r>
          </w:p>
        </w:tc>
        <w:tc>
          <w:tcPr>
            <w:tcW w:type="dxa" w:w="1201"/>
            <w:vAlign w:val="center"/>
          </w:tcPr>
          <w:p>
            <w:pPr>
              <w:spacing w:before="20" w:after="20" w:line="260" w:lineRule="auto"/>
              <w:ind w:firstLine="0"/>
              <w:jc w:val="center"/>
            </w:pPr>
            <w:r>
              <w:rPr>
                <w:sz w:val="20"/>
                <w:szCs w:val="20"/>
              </w:rPr>
              <w:t xml:space="preserve">3.731</w:t>
            </w:r>
          </w:p>
        </w:tc>
        <w:tc>
          <w:tcPr>
            <w:tcW w:type="dxa" w:w="1201"/>
            <w:vAlign w:val="center"/>
          </w:tcPr>
          <w:p>
            <w:pPr>
              <w:spacing w:before="20" w:after="20" w:line="260" w:lineRule="auto"/>
              <w:ind w:firstLine="0"/>
              <w:jc w:val="center"/>
            </w:pPr>
            <w:r>
              <w:rPr>
                <w:sz w:val="20"/>
                <w:szCs w:val="20"/>
              </w:rPr>
              <w:t xml:space="preserve">2.662</w:t>
            </w:r>
          </w:p>
        </w:tc>
        <w:tc>
          <w:tcPr>
            <w:tcW w:type="dxa" w:w="1201"/>
            <w:vAlign w:val="center"/>
          </w:tcPr>
          <w:p>
            <w:pPr>
              <w:spacing w:before="20" w:after="20" w:line="260" w:lineRule="auto"/>
              <w:ind w:firstLine="0"/>
              <w:jc w:val="center"/>
            </w:pPr>
            <w:r>
              <w:rPr>
                <w:sz w:val="20"/>
                <w:szCs w:val="20"/>
              </w:rPr>
              <w:t xml:space="preserve">43,22%</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1.297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3.730</w:t>
            </w:r>
          </w:p>
        </w:tc>
        <w:tc>
          <w:tcPr>
            <w:tcW w:type="dxa" w:w="1201"/>
            <w:vAlign w:val="center"/>
          </w:tcPr>
          <w:p>
            <w:pPr>
              <w:spacing w:before="20" w:after="20" w:line="260" w:lineRule="auto"/>
              <w:ind w:firstLine="0"/>
              <w:jc w:val="center"/>
            </w:pPr>
            <w:r>
              <w:rPr>
                <w:sz w:val="20"/>
                <w:szCs w:val="20"/>
              </w:rPr>
              <w:t xml:space="preserve">3.759</w:t>
            </w:r>
          </w:p>
        </w:tc>
        <w:tc>
          <w:tcPr>
            <w:tcW w:type="dxa" w:w="1201"/>
            <w:vAlign w:val="center"/>
          </w:tcPr>
          <w:p>
            <w:pPr>
              <w:spacing w:before="20" w:after="20" w:line="260" w:lineRule="auto"/>
              <w:ind w:firstLine="0"/>
              <w:jc w:val="center"/>
            </w:pPr>
            <w:r>
              <w:rPr>
                <w:sz w:val="20"/>
                <w:szCs w:val="20"/>
              </w:rPr>
              <w:t xml:space="preserve">12,67%</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1.814</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A.34. Cửa hàng 34 (Guayaquil, Guayas; loại B, cụm 6)</w:t>
      </w:r>
    </w:p>
    <w:p>
      <w:pPr>
        <w:keepLines w:val="0"/>
        <w:spacing w:after="120"/>
        <w:ind w:firstLine="567"/>
      </w:pPr>
      <w:r>
        <w:t xml:space="preserve">Trong 16 ngày của tập kiểm tra cuối, cửa hàng 34 có tổng doanh số thực tế 181.220 (hạng 34/54 về quy mô) và tổng dự báo 177.666, tức dự báo thấp hơn thực tế 1,96%. WAPE của cửa hàng là 12,75% (hạng 19/54 từ thấp đến cao), MAE 43,748, RMSE 121,290 và bias 6,731. Độ bao phủ thực nghiệm của khoảng P10–P90 đạt 75,76% (hạng 25/54), so với mức danh nghĩa 80%. Nhóm có doanh số thực tế lớn nhất là GROCERY I (67.953; WAPE 9,18%; bao phủ 81,25%). Trong các nhóm có quy mô từ trung vị của cửa hàng trở lên, nhóm có WAPE thấp nhất là GROCERY I (9,18%). Có 1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148.490, 177.271 và 222.067; tổng lượng bổ sung gợi ý theo giả định là 80.251. Cửa hàng có 21 nhóm mang nhãn HIGH, 10 nhóm MEDIUM và 2 nhóm LOW. Bảng A.36 liệt kê mười nhóm có doanh số thực tế lớn nhất của cửa hàng.</w:t>
      </w:r>
    </w:p>
    <w:p>
      <w:pPr>
        <w:keepNext/>
        <w:spacing w:before="120" w:after="60"/>
        <w:ind w:firstLine="0"/>
        <w:jc w:val="center"/>
      </w:pPr>
      <w:r>
        <w:t xml:space="preserve">Bảng A.36. Mười nhóm sản phẩm có doanh số thực tế lớn nhất của cửa hàng 34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67.953</w:t>
            </w:r>
          </w:p>
        </w:tc>
        <w:tc>
          <w:tcPr>
            <w:tcW w:type="dxa" w:w="1201"/>
            <w:vAlign w:val="center"/>
          </w:tcPr>
          <w:p>
            <w:pPr>
              <w:spacing w:before="20" w:after="20" w:line="260" w:lineRule="auto"/>
              <w:ind w:firstLine="0"/>
              <w:jc w:val="center"/>
            </w:pPr>
            <w:r>
              <w:rPr>
                <w:sz w:val="20"/>
                <w:szCs w:val="20"/>
              </w:rPr>
              <w:t xml:space="preserve">64.224</w:t>
            </w:r>
          </w:p>
        </w:tc>
        <w:tc>
          <w:tcPr>
            <w:tcW w:type="dxa" w:w="1201"/>
            <w:vAlign w:val="center"/>
          </w:tcPr>
          <w:p>
            <w:pPr>
              <w:spacing w:before="20" w:after="20" w:line="260" w:lineRule="auto"/>
              <w:ind w:firstLine="0"/>
              <w:jc w:val="center"/>
            </w:pPr>
            <w:r>
              <w:rPr>
                <w:sz w:val="20"/>
                <w:szCs w:val="20"/>
              </w:rPr>
              <w:t xml:space="preserve">9,18%</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25.009</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41.452</w:t>
            </w:r>
          </w:p>
        </w:tc>
        <w:tc>
          <w:tcPr>
            <w:tcW w:type="dxa" w:w="1201"/>
            <w:vAlign w:val="center"/>
          </w:tcPr>
          <w:p>
            <w:pPr>
              <w:spacing w:before="20" w:after="20" w:line="260" w:lineRule="auto"/>
              <w:ind w:firstLine="0"/>
              <w:jc w:val="center"/>
            </w:pPr>
            <w:r>
              <w:rPr>
                <w:sz w:val="20"/>
                <w:szCs w:val="20"/>
              </w:rPr>
              <w:t xml:space="preserve">39.952</w:t>
            </w:r>
          </w:p>
        </w:tc>
        <w:tc>
          <w:tcPr>
            <w:tcW w:type="dxa" w:w="1201"/>
            <w:vAlign w:val="center"/>
          </w:tcPr>
          <w:p>
            <w:pPr>
              <w:spacing w:before="20" w:after="20" w:line="260" w:lineRule="auto"/>
              <w:ind w:firstLine="0"/>
              <w:jc w:val="center"/>
            </w:pPr>
            <w:r>
              <w:rPr>
                <w:sz w:val="20"/>
                <w:szCs w:val="20"/>
              </w:rPr>
              <w:t xml:space="preserve">10,83%</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20.155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15.455</w:t>
            </w:r>
          </w:p>
        </w:tc>
        <w:tc>
          <w:tcPr>
            <w:tcW w:type="dxa" w:w="1201"/>
            <w:vAlign w:val="center"/>
          </w:tcPr>
          <w:p>
            <w:pPr>
              <w:spacing w:before="20" w:after="20" w:line="260" w:lineRule="auto"/>
              <w:ind w:firstLine="0"/>
              <w:jc w:val="center"/>
            </w:pPr>
            <w:r>
              <w:rPr>
                <w:sz w:val="20"/>
                <w:szCs w:val="20"/>
              </w:rPr>
              <w:t xml:space="preserve">13.965</w:t>
            </w:r>
          </w:p>
        </w:tc>
        <w:tc>
          <w:tcPr>
            <w:tcW w:type="dxa" w:w="1201"/>
            <w:vAlign w:val="center"/>
          </w:tcPr>
          <w:p>
            <w:pPr>
              <w:spacing w:before="20" w:after="20" w:line="260" w:lineRule="auto"/>
              <w:ind w:firstLine="0"/>
              <w:jc w:val="center"/>
            </w:pPr>
            <w:r>
              <w:rPr>
                <w:sz w:val="20"/>
                <w:szCs w:val="20"/>
              </w:rPr>
              <w:t xml:space="preserve">17,58%</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5.225</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11.624</w:t>
            </w:r>
          </w:p>
        </w:tc>
        <w:tc>
          <w:tcPr>
            <w:tcW w:type="dxa" w:w="1201"/>
            <w:vAlign w:val="center"/>
          </w:tcPr>
          <w:p>
            <w:pPr>
              <w:spacing w:before="20" w:after="20" w:line="260" w:lineRule="auto"/>
              <w:ind w:firstLine="0"/>
              <w:jc w:val="center"/>
            </w:pPr>
            <w:r>
              <w:rPr>
                <w:sz w:val="20"/>
                <w:szCs w:val="20"/>
              </w:rPr>
              <w:t xml:space="preserve">10.473</w:t>
            </w:r>
          </w:p>
        </w:tc>
        <w:tc>
          <w:tcPr>
            <w:tcW w:type="dxa" w:w="1201"/>
            <w:vAlign w:val="center"/>
          </w:tcPr>
          <w:p>
            <w:pPr>
              <w:spacing w:before="20" w:after="20" w:line="260" w:lineRule="auto"/>
              <w:ind w:firstLine="0"/>
              <w:jc w:val="center"/>
            </w:pPr>
            <w:r>
              <w:rPr>
                <w:sz w:val="20"/>
                <w:szCs w:val="20"/>
              </w:rPr>
              <w:t xml:space="preserve">12,88%</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4.527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11.425</w:t>
            </w:r>
          </w:p>
        </w:tc>
        <w:tc>
          <w:tcPr>
            <w:tcW w:type="dxa" w:w="1201"/>
            <w:vAlign w:val="center"/>
          </w:tcPr>
          <w:p>
            <w:pPr>
              <w:spacing w:before="20" w:after="20" w:line="260" w:lineRule="auto"/>
              <w:ind w:firstLine="0"/>
              <w:jc w:val="center"/>
            </w:pPr>
            <w:r>
              <w:rPr>
                <w:sz w:val="20"/>
                <w:szCs w:val="20"/>
              </w:rPr>
              <w:t xml:space="preserve">12.934</w:t>
            </w:r>
          </w:p>
        </w:tc>
        <w:tc>
          <w:tcPr>
            <w:tcW w:type="dxa" w:w="1201"/>
            <w:vAlign w:val="center"/>
          </w:tcPr>
          <w:p>
            <w:pPr>
              <w:spacing w:before="20" w:after="20" w:line="260" w:lineRule="auto"/>
              <w:ind w:firstLine="0"/>
              <w:jc w:val="center"/>
            </w:pPr>
            <w:r>
              <w:rPr>
                <w:sz w:val="20"/>
                <w:szCs w:val="20"/>
              </w:rPr>
              <w:t xml:space="preserve">15,32%</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6.235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10.337</w:t>
            </w:r>
          </w:p>
        </w:tc>
        <w:tc>
          <w:tcPr>
            <w:tcW w:type="dxa" w:w="1201"/>
            <w:vAlign w:val="center"/>
          </w:tcPr>
          <w:p>
            <w:pPr>
              <w:spacing w:before="20" w:after="20" w:line="260" w:lineRule="auto"/>
              <w:ind w:firstLine="0"/>
              <w:jc w:val="center"/>
            </w:pPr>
            <w:r>
              <w:rPr>
                <w:sz w:val="20"/>
                <w:szCs w:val="20"/>
              </w:rPr>
              <w:t xml:space="preserve">11.699</w:t>
            </w:r>
          </w:p>
        </w:tc>
        <w:tc>
          <w:tcPr>
            <w:tcW w:type="dxa" w:w="1201"/>
            <w:vAlign w:val="center"/>
          </w:tcPr>
          <w:p>
            <w:pPr>
              <w:spacing w:before="20" w:after="20" w:line="260" w:lineRule="auto"/>
              <w:ind w:firstLine="0"/>
              <w:jc w:val="center"/>
            </w:pPr>
            <w:r>
              <w:rPr>
                <w:sz w:val="20"/>
                <w:szCs w:val="20"/>
              </w:rPr>
              <w:t xml:space="preserve">15,39%</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4.772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4.370</w:t>
            </w:r>
          </w:p>
        </w:tc>
        <w:tc>
          <w:tcPr>
            <w:tcW w:type="dxa" w:w="1201"/>
            <w:vAlign w:val="center"/>
          </w:tcPr>
          <w:p>
            <w:pPr>
              <w:spacing w:before="20" w:after="20" w:line="260" w:lineRule="auto"/>
              <w:ind w:firstLine="0"/>
              <w:jc w:val="center"/>
            </w:pPr>
            <w:r>
              <w:rPr>
                <w:sz w:val="20"/>
                <w:szCs w:val="20"/>
              </w:rPr>
              <w:t xml:space="preserve">4.409</w:t>
            </w:r>
          </w:p>
        </w:tc>
        <w:tc>
          <w:tcPr>
            <w:tcW w:type="dxa" w:w="1201"/>
            <w:vAlign w:val="center"/>
          </w:tcPr>
          <w:p>
            <w:pPr>
              <w:spacing w:before="20" w:after="20" w:line="260" w:lineRule="auto"/>
              <w:ind w:firstLine="0"/>
              <w:jc w:val="center"/>
            </w:pPr>
            <w:r>
              <w:rPr>
                <w:sz w:val="20"/>
                <w:szCs w:val="20"/>
              </w:rPr>
              <w:t xml:space="preserve">10,04%</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2.028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3.722</w:t>
            </w:r>
          </w:p>
        </w:tc>
        <w:tc>
          <w:tcPr>
            <w:tcW w:type="dxa" w:w="1201"/>
            <w:vAlign w:val="center"/>
          </w:tcPr>
          <w:p>
            <w:pPr>
              <w:spacing w:before="20" w:after="20" w:line="260" w:lineRule="auto"/>
              <w:ind w:firstLine="0"/>
              <w:jc w:val="center"/>
            </w:pPr>
            <w:r>
              <w:rPr>
                <w:sz w:val="20"/>
                <w:szCs w:val="20"/>
              </w:rPr>
              <w:t xml:space="preserve">4.011</w:t>
            </w:r>
          </w:p>
        </w:tc>
        <w:tc>
          <w:tcPr>
            <w:tcW w:type="dxa" w:w="1201"/>
            <w:vAlign w:val="center"/>
          </w:tcPr>
          <w:p>
            <w:pPr>
              <w:spacing w:before="20" w:after="20" w:line="260" w:lineRule="auto"/>
              <w:ind w:firstLine="0"/>
              <w:jc w:val="center"/>
            </w:pPr>
            <w:r>
              <w:rPr>
                <w:sz w:val="20"/>
                <w:szCs w:val="20"/>
              </w:rPr>
              <w:t xml:space="preserve">13,32%</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1.893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3.317</w:t>
            </w:r>
          </w:p>
        </w:tc>
        <w:tc>
          <w:tcPr>
            <w:tcW w:type="dxa" w:w="1201"/>
            <w:vAlign w:val="center"/>
          </w:tcPr>
          <w:p>
            <w:pPr>
              <w:spacing w:before="20" w:after="20" w:line="260" w:lineRule="auto"/>
              <w:ind w:firstLine="0"/>
              <w:jc w:val="center"/>
            </w:pPr>
            <w:r>
              <w:rPr>
                <w:sz w:val="20"/>
                <w:szCs w:val="20"/>
              </w:rPr>
              <w:t xml:space="preserve">3.723</w:t>
            </w:r>
          </w:p>
        </w:tc>
        <w:tc>
          <w:tcPr>
            <w:tcW w:type="dxa" w:w="1201"/>
            <w:vAlign w:val="center"/>
          </w:tcPr>
          <w:p>
            <w:pPr>
              <w:spacing w:before="20" w:after="20" w:line="260" w:lineRule="auto"/>
              <w:ind w:firstLine="0"/>
              <w:jc w:val="center"/>
            </w:pPr>
            <w:r>
              <w:rPr>
                <w:sz w:val="20"/>
                <w:szCs w:val="20"/>
              </w:rPr>
              <w:t xml:space="preserve">15,59%</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1.807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2.910</w:t>
            </w:r>
          </w:p>
        </w:tc>
        <w:tc>
          <w:tcPr>
            <w:tcW w:type="dxa" w:w="1201"/>
            <w:vAlign w:val="center"/>
          </w:tcPr>
          <w:p>
            <w:pPr>
              <w:spacing w:before="20" w:after="20" w:line="260" w:lineRule="auto"/>
              <w:ind w:firstLine="0"/>
              <w:jc w:val="center"/>
            </w:pPr>
            <w:r>
              <w:rPr>
                <w:sz w:val="20"/>
                <w:szCs w:val="20"/>
              </w:rPr>
              <w:t xml:space="preserve">2.910</w:t>
            </w:r>
          </w:p>
        </w:tc>
        <w:tc>
          <w:tcPr>
            <w:tcW w:type="dxa" w:w="1201"/>
            <w:vAlign w:val="center"/>
          </w:tcPr>
          <w:p>
            <w:pPr>
              <w:spacing w:before="20" w:after="20" w:line="260" w:lineRule="auto"/>
              <w:ind w:firstLine="0"/>
              <w:jc w:val="center"/>
            </w:pPr>
            <w:r>
              <w:rPr>
                <w:sz w:val="20"/>
                <w:szCs w:val="20"/>
              </w:rPr>
              <w:t xml:space="preserve">15,70%</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1.393</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A.35. Cửa hàng 35 (Playas, Guayas; loại C, cụm 3)</w:t>
      </w:r>
    </w:p>
    <w:p>
      <w:pPr>
        <w:keepLines w:val="0"/>
        <w:spacing w:after="120"/>
        <w:ind w:firstLine="567"/>
      </w:pPr>
      <w:r>
        <w:t xml:space="preserve">Trong 16 ngày của tập kiểm tra cuối, cửa hàng 35 có tổng doanh số thực tế 91.229 (hạng 52/54 về quy mô) và tổng dự báo 89.581, tức dự báo thấp hơn thực tế 1,81%. WAPE của cửa hàng là 16,35% (hạng 34/54 từ thấp đến cao), MAE 28,258, RMSE 77,715 và bias 3,122. Độ bao phủ thực nghiệm của khoảng P10–P90 đạt 79,73% (hạng 3/54), so với mức danh nghĩa 80%. Nhóm có doanh số thực tế lớn nhất là GROCERY I (32.648; WAPE 10,71%; bao phủ 100,00%). Trong các nhóm có quy mô từ trung vị của cửa hàng trở lên, nhóm có WAPE thấp nhất là GROCERY I (10,71%). Có 4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67.522, 89.447 và 124.865; tổng lượng bổ sung gợi ý theo giả định là 53.307. Cửa hàng có 24 nhóm mang nhãn HIGH, 9 nhóm MEDIUM và 0 nhóm LOW. Bảng A.37 liệt kê mười nhóm có doanh số thực tế lớn nhất của cửa hàng.</w:t>
      </w:r>
    </w:p>
    <w:p>
      <w:pPr>
        <w:keepNext/>
        <w:spacing w:before="120" w:after="60"/>
        <w:ind w:firstLine="0"/>
        <w:jc w:val="center"/>
      </w:pPr>
      <w:r>
        <w:t xml:space="preserve">Bảng A.37. Mười nhóm sản phẩm có doanh số thực tế lớn nhất của cửa hàng 35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32.648</w:t>
            </w:r>
          </w:p>
        </w:tc>
        <w:tc>
          <w:tcPr>
            <w:tcW w:type="dxa" w:w="1201"/>
            <w:vAlign w:val="center"/>
          </w:tcPr>
          <w:p>
            <w:pPr>
              <w:spacing w:before="20" w:after="20" w:line="260" w:lineRule="auto"/>
              <w:ind w:firstLine="0"/>
              <w:jc w:val="center"/>
            </w:pPr>
            <w:r>
              <w:rPr>
                <w:sz w:val="20"/>
                <w:szCs w:val="20"/>
              </w:rPr>
              <w:t xml:space="preserve">30.762</w:t>
            </w:r>
          </w:p>
        </w:tc>
        <w:tc>
          <w:tcPr>
            <w:tcW w:type="dxa" w:w="1201"/>
            <w:vAlign w:val="center"/>
          </w:tcPr>
          <w:p>
            <w:pPr>
              <w:spacing w:before="20" w:after="20" w:line="260" w:lineRule="auto"/>
              <w:ind w:firstLine="0"/>
              <w:jc w:val="center"/>
            </w:pPr>
            <w:r>
              <w:rPr>
                <w:sz w:val="20"/>
                <w:szCs w:val="20"/>
              </w:rPr>
              <w:t xml:space="preserve">10,71%</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18.317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25.360</w:t>
            </w:r>
          </w:p>
        </w:tc>
        <w:tc>
          <w:tcPr>
            <w:tcW w:type="dxa" w:w="1201"/>
            <w:vAlign w:val="center"/>
          </w:tcPr>
          <w:p>
            <w:pPr>
              <w:spacing w:before="20" w:after="20" w:line="260" w:lineRule="auto"/>
              <w:ind w:firstLine="0"/>
              <w:jc w:val="center"/>
            </w:pPr>
            <w:r>
              <w:rPr>
                <w:sz w:val="20"/>
                <w:szCs w:val="20"/>
              </w:rPr>
              <w:t xml:space="preserve">23.825</w:t>
            </w:r>
          </w:p>
        </w:tc>
        <w:tc>
          <w:tcPr>
            <w:tcW w:type="dxa" w:w="1201"/>
            <w:vAlign w:val="center"/>
          </w:tcPr>
          <w:p>
            <w:pPr>
              <w:spacing w:before="20" w:after="20" w:line="260" w:lineRule="auto"/>
              <w:ind w:firstLine="0"/>
              <w:jc w:val="center"/>
            </w:pPr>
            <w:r>
              <w:rPr>
                <w:sz w:val="20"/>
                <w:szCs w:val="20"/>
              </w:rPr>
              <w:t xml:space="preserve">14,60%</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15.713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7.609</w:t>
            </w:r>
          </w:p>
        </w:tc>
        <w:tc>
          <w:tcPr>
            <w:tcW w:type="dxa" w:w="1201"/>
            <w:vAlign w:val="center"/>
          </w:tcPr>
          <w:p>
            <w:pPr>
              <w:spacing w:before="20" w:after="20" w:line="260" w:lineRule="auto"/>
              <w:ind w:firstLine="0"/>
              <w:jc w:val="center"/>
            </w:pPr>
            <w:r>
              <w:rPr>
                <w:sz w:val="20"/>
                <w:szCs w:val="20"/>
              </w:rPr>
              <w:t xml:space="preserve">8.220</w:t>
            </w:r>
          </w:p>
        </w:tc>
        <w:tc>
          <w:tcPr>
            <w:tcW w:type="dxa" w:w="1201"/>
            <w:vAlign w:val="center"/>
          </w:tcPr>
          <w:p>
            <w:pPr>
              <w:spacing w:before="20" w:after="20" w:line="260" w:lineRule="auto"/>
              <w:ind w:firstLine="0"/>
              <w:jc w:val="center"/>
            </w:pPr>
            <w:r>
              <w:rPr>
                <w:sz w:val="20"/>
                <w:szCs w:val="20"/>
              </w:rPr>
              <w:t xml:space="preserve">16,56%</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3.755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6.647</w:t>
            </w:r>
          </w:p>
        </w:tc>
        <w:tc>
          <w:tcPr>
            <w:tcW w:type="dxa" w:w="1201"/>
            <w:vAlign w:val="center"/>
          </w:tcPr>
          <w:p>
            <w:pPr>
              <w:spacing w:before="20" w:after="20" w:line="260" w:lineRule="auto"/>
              <w:ind w:firstLine="0"/>
              <w:jc w:val="center"/>
            </w:pPr>
            <w:r>
              <w:rPr>
                <w:sz w:val="20"/>
                <w:szCs w:val="20"/>
              </w:rPr>
              <w:t xml:space="preserve">7.497</w:t>
            </w:r>
          </w:p>
        </w:tc>
        <w:tc>
          <w:tcPr>
            <w:tcW w:type="dxa" w:w="1201"/>
            <w:vAlign w:val="center"/>
          </w:tcPr>
          <w:p>
            <w:pPr>
              <w:spacing w:before="20" w:after="20" w:line="260" w:lineRule="auto"/>
              <w:ind w:firstLine="0"/>
              <w:jc w:val="center"/>
            </w:pPr>
            <w:r>
              <w:rPr>
                <w:sz w:val="20"/>
                <w:szCs w:val="20"/>
              </w:rPr>
              <w:t xml:space="preserve">16,14%</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3.208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3.224</w:t>
            </w:r>
          </w:p>
        </w:tc>
        <w:tc>
          <w:tcPr>
            <w:tcW w:type="dxa" w:w="1201"/>
            <w:vAlign w:val="center"/>
          </w:tcPr>
          <w:p>
            <w:pPr>
              <w:spacing w:before="20" w:after="20" w:line="260" w:lineRule="auto"/>
              <w:ind w:firstLine="0"/>
              <w:jc w:val="center"/>
            </w:pPr>
            <w:r>
              <w:rPr>
                <w:sz w:val="20"/>
                <w:szCs w:val="20"/>
              </w:rPr>
              <w:t xml:space="preserve">3.399</w:t>
            </w:r>
          </w:p>
        </w:tc>
        <w:tc>
          <w:tcPr>
            <w:tcW w:type="dxa" w:w="1201"/>
            <w:vAlign w:val="center"/>
          </w:tcPr>
          <w:p>
            <w:pPr>
              <w:spacing w:before="20" w:after="20" w:line="260" w:lineRule="auto"/>
              <w:ind w:firstLine="0"/>
              <w:jc w:val="center"/>
            </w:pPr>
            <w:r>
              <w:rPr>
                <w:sz w:val="20"/>
                <w:szCs w:val="20"/>
              </w:rPr>
              <w:t xml:space="preserve">15,02%</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1.575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2.899</w:t>
            </w:r>
          </w:p>
        </w:tc>
        <w:tc>
          <w:tcPr>
            <w:tcW w:type="dxa" w:w="1201"/>
            <w:vAlign w:val="center"/>
          </w:tcPr>
          <w:p>
            <w:pPr>
              <w:spacing w:before="20" w:after="20" w:line="260" w:lineRule="auto"/>
              <w:ind w:firstLine="0"/>
              <w:jc w:val="center"/>
            </w:pPr>
            <w:r>
              <w:rPr>
                <w:sz w:val="20"/>
                <w:szCs w:val="20"/>
              </w:rPr>
              <w:t xml:space="preserve">3.249</w:t>
            </w:r>
          </w:p>
        </w:tc>
        <w:tc>
          <w:tcPr>
            <w:tcW w:type="dxa" w:w="1201"/>
            <w:vAlign w:val="center"/>
          </w:tcPr>
          <w:p>
            <w:pPr>
              <w:spacing w:before="20" w:after="20" w:line="260" w:lineRule="auto"/>
              <w:ind w:firstLine="0"/>
              <w:jc w:val="center"/>
            </w:pPr>
            <w:r>
              <w:rPr>
                <w:sz w:val="20"/>
                <w:szCs w:val="20"/>
              </w:rPr>
              <w:t xml:space="preserve">19,44%</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1.573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EGGS</w:t>
            </w:r>
          </w:p>
        </w:tc>
        <w:tc>
          <w:tcPr>
            <w:tcW w:type="dxa" w:w="1201"/>
            <w:vAlign w:val="center"/>
          </w:tcPr>
          <w:p>
            <w:pPr>
              <w:spacing w:before="20" w:after="20" w:line="260" w:lineRule="auto"/>
              <w:ind w:firstLine="0"/>
              <w:jc w:val="center"/>
            </w:pPr>
            <w:r>
              <w:rPr>
                <w:sz w:val="20"/>
                <w:szCs w:val="20"/>
              </w:rPr>
              <w:t xml:space="preserve">2.648</w:t>
            </w:r>
          </w:p>
        </w:tc>
        <w:tc>
          <w:tcPr>
            <w:tcW w:type="dxa" w:w="1201"/>
            <w:vAlign w:val="center"/>
          </w:tcPr>
          <w:p>
            <w:pPr>
              <w:spacing w:before="20" w:after="20" w:line="260" w:lineRule="auto"/>
              <w:ind w:firstLine="0"/>
              <w:jc w:val="center"/>
            </w:pPr>
            <w:r>
              <w:rPr>
                <w:sz w:val="20"/>
                <w:szCs w:val="20"/>
              </w:rPr>
              <w:t xml:space="preserve">2.465</w:t>
            </w:r>
          </w:p>
        </w:tc>
        <w:tc>
          <w:tcPr>
            <w:tcW w:type="dxa" w:w="1201"/>
            <w:vAlign w:val="center"/>
          </w:tcPr>
          <w:p>
            <w:pPr>
              <w:spacing w:before="20" w:after="20" w:line="260" w:lineRule="auto"/>
              <w:ind w:firstLine="0"/>
              <w:jc w:val="center"/>
            </w:pPr>
            <w:r>
              <w:rPr>
                <w:sz w:val="20"/>
                <w:szCs w:val="20"/>
              </w:rPr>
              <w:t xml:space="preserve">34,42%</w:t>
            </w:r>
          </w:p>
        </w:tc>
        <w:tc>
          <w:tcPr>
            <w:tcW w:type="dxa" w:w="1201"/>
            <w:vAlign w:val="center"/>
          </w:tcPr>
          <w:p>
            <w:pPr>
              <w:spacing w:before="20" w:after="20" w:line="260" w:lineRule="auto"/>
              <w:ind w:firstLine="0"/>
              <w:jc w:val="center"/>
            </w:pPr>
            <w:r>
              <w:rPr>
                <w:sz w:val="20"/>
                <w:szCs w:val="20"/>
              </w:rPr>
              <w:t xml:space="preserve">50,00%</w:t>
            </w:r>
          </w:p>
        </w:tc>
        <w:tc>
          <w:tcPr>
            <w:tcW w:type="dxa" w:w="1531"/>
            <w:vAlign w:val="center"/>
          </w:tcPr>
          <w:p>
            <w:pPr>
              <w:spacing w:before="20" w:after="20" w:line="260" w:lineRule="auto"/>
              <w:ind w:firstLine="0"/>
              <w:jc w:val="center"/>
            </w:pPr>
            <w:r>
              <w:rPr>
                <w:sz w:val="20"/>
                <w:szCs w:val="20"/>
              </w:rPr>
              <w:t xml:space="preserve">1.304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1.957</w:t>
            </w:r>
          </w:p>
        </w:tc>
        <w:tc>
          <w:tcPr>
            <w:tcW w:type="dxa" w:w="1201"/>
            <w:vAlign w:val="center"/>
          </w:tcPr>
          <w:p>
            <w:pPr>
              <w:spacing w:before="20" w:after="20" w:line="260" w:lineRule="auto"/>
              <w:ind w:firstLine="0"/>
              <w:jc w:val="center"/>
            </w:pPr>
            <w:r>
              <w:rPr>
                <w:sz w:val="20"/>
                <w:szCs w:val="20"/>
              </w:rPr>
              <w:t xml:space="preserve">1.648</w:t>
            </w:r>
          </w:p>
        </w:tc>
        <w:tc>
          <w:tcPr>
            <w:tcW w:type="dxa" w:w="1201"/>
            <w:vAlign w:val="center"/>
          </w:tcPr>
          <w:p>
            <w:pPr>
              <w:spacing w:before="20" w:after="20" w:line="260" w:lineRule="auto"/>
              <w:ind w:firstLine="0"/>
              <w:jc w:val="center"/>
            </w:pPr>
            <w:r>
              <w:rPr>
                <w:sz w:val="20"/>
                <w:szCs w:val="20"/>
              </w:rPr>
              <w:t xml:space="preserve">23,58%</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975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1.615</w:t>
            </w:r>
          </w:p>
        </w:tc>
        <w:tc>
          <w:tcPr>
            <w:tcW w:type="dxa" w:w="1201"/>
            <w:vAlign w:val="center"/>
          </w:tcPr>
          <w:p>
            <w:pPr>
              <w:spacing w:before="20" w:after="20" w:line="260" w:lineRule="auto"/>
              <w:ind w:firstLine="0"/>
              <w:jc w:val="center"/>
            </w:pPr>
            <w:r>
              <w:rPr>
                <w:sz w:val="20"/>
                <w:szCs w:val="20"/>
              </w:rPr>
              <w:t xml:space="preserve">1.840</w:t>
            </w:r>
          </w:p>
        </w:tc>
        <w:tc>
          <w:tcPr>
            <w:tcW w:type="dxa" w:w="1201"/>
            <w:vAlign w:val="center"/>
          </w:tcPr>
          <w:p>
            <w:pPr>
              <w:spacing w:before="20" w:after="20" w:line="260" w:lineRule="auto"/>
              <w:ind w:firstLine="0"/>
              <w:jc w:val="center"/>
            </w:pPr>
            <w:r>
              <w:rPr>
                <w:sz w:val="20"/>
                <w:szCs w:val="20"/>
              </w:rPr>
              <w:t xml:space="preserve">23,27%</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1.067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1.595</w:t>
            </w:r>
          </w:p>
        </w:tc>
        <w:tc>
          <w:tcPr>
            <w:tcW w:type="dxa" w:w="1201"/>
            <w:vAlign w:val="center"/>
          </w:tcPr>
          <w:p>
            <w:pPr>
              <w:spacing w:before="20" w:after="20" w:line="260" w:lineRule="auto"/>
              <w:ind w:firstLine="0"/>
              <w:jc w:val="center"/>
            </w:pPr>
            <w:r>
              <w:rPr>
                <w:sz w:val="20"/>
                <w:szCs w:val="20"/>
              </w:rPr>
              <w:t xml:space="preserve">1.615</w:t>
            </w:r>
          </w:p>
        </w:tc>
        <w:tc>
          <w:tcPr>
            <w:tcW w:type="dxa" w:w="1201"/>
            <w:vAlign w:val="center"/>
          </w:tcPr>
          <w:p>
            <w:pPr>
              <w:spacing w:before="20" w:after="20" w:line="260" w:lineRule="auto"/>
              <w:ind w:firstLine="0"/>
              <w:jc w:val="center"/>
            </w:pPr>
            <w:r>
              <w:rPr>
                <w:sz w:val="20"/>
                <w:szCs w:val="20"/>
              </w:rPr>
              <w:t xml:space="preserve">17,82%</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986</w:t>
            </w:r>
          </w:p>
        </w:tc>
        <w:tc>
          <w:tcPr>
            <w:tcW w:type="dxa" w:w="1205"/>
            <w:vAlign w:val="center"/>
          </w:tcPr>
          <w:p>
            <w:pPr>
              <w:spacing w:before="20" w:after="20" w:line="260" w:lineRule="auto"/>
              <w:ind w:firstLine="0"/>
              <w:jc w:val="left"/>
            </w:pPr>
            <w:r>
              <w:rPr>
                <w:sz w:val="20"/>
                <w:szCs w:val="20"/>
              </w:rPr>
              <w:t xml:space="preserve">HIGH</w:t>
            </w:r>
          </w:p>
        </w:tc>
      </w:tr>
    </w:tbl>
    <w:p>
      <w:pPr>
        <w:spacing w:before="40" w:after="160"/>
        <w:ind w:firstLine="0"/>
      </w:pPr>
      <w:r>
        <w:rPr>
          <w:i/>
          <w:sz w:val="22"/>
          <w:szCs w:val="22"/>
        </w:rPr>
        <w:t xml:space="preserve">Nguồn: error_by_series.csv và inventory_recommendations.csv.</w:t>
      </w:r>
    </w:p>
    <w:p>
      <w:pPr>
        <w:pStyle w:val="Heading3"/>
        <w:keepNext/>
      </w:pPr>
      <w:r>
        <w:t xml:space="preserve">A.36. Cửa hàng 36 (Libertad, Guayas; loại E, cụm 10)</w:t>
      </w:r>
    </w:p>
    <w:p>
      <w:pPr>
        <w:keepLines w:val="0"/>
        <w:spacing w:after="120"/>
        <w:ind w:firstLine="567"/>
      </w:pPr>
      <w:r>
        <w:t xml:space="preserve">Trong 16 ngày của tập kiểm tra cuối, cửa hàng 36 có tổng doanh số thực tế 213.441 (hạng 27/54 về quy mô) và tổng dự báo 188.454, tức dự báo thấp hơn thực tế 11,71%. WAPE của cửa hàng là 17,20% (hạng 37/54 từ thấp đến cao), MAE 69,511, RMSE 232,717 và bias 47,325. Độ bao phủ thực nghiệm của khoảng P10–P90 đạt 72,16% (hạng 42/54), so với mức danh nghĩa 80%. Nhóm có doanh số thực tế lớn nhất là GROCERY I (66.351; WAPE 9,69%; bao phủ 81,25%). Trong các nhóm có quy mô từ trung vị của cửa hàng trở lên, nhóm có WAPE thấp nhất là GROCERY I (9,69%). Có 3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158.019, 188.139 và 236.126; tổng lượng bổ sung gợi ý theo giả định là 85.615. Cửa hàng có 20 nhóm mang nhãn HIGH, 11 nhóm MEDIUM và 2 nhóm LOW. Bảng A.38 liệt kê mười nhóm có doanh số thực tế lớn nhất của cửa hàng.</w:t>
      </w:r>
    </w:p>
    <w:p>
      <w:pPr>
        <w:keepNext/>
        <w:spacing w:before="120" w:after="60"/>
        <w:ind w:firstLine="0"/>
        <w:jc w:val="center"/>
      </w:pPr>
      <w:r>
        <w:t xml:space="preserve">Bảng A.38. Mười nhóm sản phẩm có doanh số thực tế lớn nhất của cửa hàng 36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66.351</w:t>
            </w:r>
          </w:p>
        </w:tc>
        <w:tc>
          <w:tcPr>
            <w:tcW w:type="dxa" w:w="1201"/>
            <w:vAlign w:val="center"/>
          </w:tcPr>
          <w:p>
            <w:pPr>
              <w:spacing w:before="20" w:after="20" w:line="260" w:lineRule="auto"/>
              <w:ind w:firstLine="0"/>
              <w:jc w:val="center"/>
            </w:pPr>
            <w:r>
              <w:rPr>
                <w:sz w:val="20"/>
                <w:szCs w:val="20"/>
              </w:rPr>
              <w:t xml:space="preserve">60.936</w:t>
            </w:r>
          </w:p>
        </w:tc>
        <w:tc>
          <w:tcPr>
            <w:tcW w:type="dxa" w:w="1201"/>
            <w:vAlign w:val="center"/>
          </w:tcPr>
          <w:p>
            <w:pPr>
              <w:spacing w:before="20" w:after="20" w:line="260" w:lineRule="auto"/>
              <w:ind w:firstLine="0"/>
              <w:jc w:val="center"/>
            </w:pPr>
            <w:r>
              <w:rPr>
                <w:sz w:val="20"/>
                <w:szCs w:val="20"/>
              </w:rPr>
              <w:t xml:space="preserve">9,69%</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24.352</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64.111</w:t>
            </w:r>
          </w:p>
        </w:tc>
        <w:tc>
          <w:tcPr>
            <w:tcW w:type="dxa" w:w="1201"/>
            <w:vAlign w:val="center"/>
          </w:tcPr>
          <w:p>
            <w:pPr>
              <w:spacing w:before="20" w:after="20" w:line="260" w:lineRule="auto"/>
              <w:ind w:firstLine="0"/>
              <w:jc w:val="center"/>
            </w:pPr>
            <w:r>
              <w:rPr>
                <w:sz w:val="20"/>
                <w:szCs w:val="20"/>
              </w:rPr>
              <w:t xml:space="preserve">48.111</w:t>
            </w:r>
          </w:p>
        </w:tc>
        <w:tc>
          <w:tcPr>
            <w:tcW w:type="dxa" w:w="1201"/>
            <w:vAlign w:val="center"/>
          </w:tcPr>
          <w:p>
            <w:pPr>
              <w:spacing w:before="20" w:after="20" w:line="260" w:lineRule="auto"/>
              <w:ind w:firstLine="0"/>
              <w:jc w:val="center"/>
            </w:pPr>
            <w:r>
              <w:rPr>
                <w:sz w:val="20"/>
                <w:szCs w:val="20"/>
              </w:rPr>
              <w:t xml:space="preserve">25,05%</w:t>
            </w:r>
          </w:p>
        </w:tc>
        <w:tc>
          <w:tcPr>
            <w:tcW w:type="dxa" w:w="1201"/>
            <w:vAlign w:val="center"/>
          </w:tcPr>
          <w:p>
            <w:pPr>
              <w:spacing w:before="20" w:after="20" w:line="260" w:lineRule="auto"/>
              <w:ind w:firstLine="0"/>
              <w:jc w:val="center"/>
            </w:pPr>
            <w:r>
              <w:rPr>
                <w:sz w:val="20"/>
                <w:szCs w:val="20"/>
              </w:rPr>
              <w:t xml:space="preserve">37,50%</w:t>
            </w:r>
          </w:p>
        </w:tc>
        <w:tc>
          <w:tcPr>
            <w:tcW w:type="dxa" w:w="1531"/>
            <w:vAlign w:val="center"/>
          </w:tcPr>
          <w:p>
            <w:pPr>
              <w:spacing w:before="20" w:after="20" w:line="260" w:lineRule="auto"/>
              <w:ind w:firstLine="0"/>
              <w:jc w:val="center"/>
            </w:pPr>
            <w:r>
              <w:rPr>
                <w:sz w:val="20"/>
                <w:szCs w:val="20"/>
              </w:rPr>
              <w:t xml:space="preserve">21.786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24.364</w:t>
            </w:r>
          </w:p>
        </w:tc>
        <w:tc>
          <w:tcPr>
            <w:tcW w:type="dxa" w:w="1201"/>
            <w:vAlign w:val="center"/>
          </w:tcPr>
          <w:p>
            <w:pPr>
              <w:spacing w:before="20" w:after="20" w:line="260" w:lineRule="auto"/>
              <w:ind w:firstLine="0"/>
              <w:jc w:val="center"/>
            </w:pPr>
            <w:r>
              <w:rPr>
                <w:sz w:val="20"/>
                <w:szCs w:val="20"/>
              </w:rPr>
              <w:t xml:space="preserve">22.786</w:t>
            </w:r>
          </w:p>
        </w:tc>
        <w:tc>
          <w:tcPr>
            <w:tcW w:type="dxa" w:w="1201"/>
            <w:vAlign w:val="center"/>
          </w:tcPr>
          <w:p>
            <w:pPr>
              <w:spacing w:before="20" w:after="20" w:line="260" w:lineRule="auto"/>
              <w:ind w:firstLine="0"/>
              <w:jc w:val="center"/>
            </w:pPr>
            <w:r>
              <w:rPr>
                <w:sz w:val="20"/>
                <w:szCs w:val="20"/>
              </w:rPr>
              <w:t xml:space="preserve">13,05%</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11.855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14.525</w:t>
            </w:r>
          </w:p>
        </w:tc>
        <w:tc>
          <w:tcPr>
            <w:tcW w:type="dxa" w:w="1201"/>
            <w:vAlign w:val="center"/>
          </w:tcPr>
          <w:p>
            <w:pPr>
              <w:spacing w:before="20" w:after="20" w:line="260" w:lineRule="auto"/>
              <w:ind w:firstLine="0"/>
              <w:jc w:val="center"/>
            </w:pPr>
            <w:r>
              <w:rPr>
                <w:sz w:val="20"/>
                <w:szCs w:val="20"/>
              </w:rPr>
              <w:t xml:space="preserve">14.560</w:t>
            </w:r>
          </w:p>
        </w:tc>
        <w:tc>
          <w:tcPr>
            <w:tcW w:type="dxa" w:w="1201"/>
            <w:vAlign w:val="center"/>
          </w:tcPr>
          <w:p>
            <w:pPr>
              <w:spacing w:before="20" w:after="20" w:line="260" w:lineRule="auto"/>
              <w:ind w:firstLine="0"/>
              <w:jc w:val="center"/>
            </w:pPr>
            <w:r>
              <w:rPr>
                <w:sz w:val="20"/>
                <w:szCs w:val="20"/>
              </w:rPr>
              <w:t xml:space="preserve">14,86%</w:t>
            </w:r>
          </w:p>
        </w:tc>
        <w:tc>
          <w:tcPr>
            <w:tcW w:type="dxa" w:w="1201"/>
            <w:vAlign w:val="center"/>
          </w:tcPr>
          <w:p>
            <w:pPr>
              <w:spacing w:before="20" w:after="20" w:line="260" w:lineRule="auto"/>
              <w:ind w:firstLine="0"/>
              <w:jc w:val="center"/>
            </w:pPr>
            <w:r>
              <w:rPr>
                <w:sz w:val="20"/>
                <w:szCs w:val="20"/>
              </w:rPr>
              <w:t xml:space="preserve">50,00%</w:t>
            </w:r>
          </w:p>
        </w:tc>
        <w:tc>
          <w:tcPr>
            <w:tcW w:type="dxa" w:w="1531"/>
            <w:vAlign w:val="center"/>
          </w:tcPr>
          <w:p>
            <w:pPr>
              <w:spacing w:before="20" w:after="20" w:line="260" w:lineRule="auto"/>
              <w:ind w:firstLine="0"/>
              <w:jc w:val="center"/>
            </w:pPr>
            <w:r>
              <w:rPr>
                <w:sz w:val="20"/>
                <w:szCs w:val="20"/>
              </w:rPr>
              <w:t xml:space="preserve">5.344</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9.864</w:t>
            </w:r>
          </w:p>
        </w:tc>
        <w:tc>
          <w:tcPr>
            <w:tcW w:type="dxa" w:w="1201"/>
            <w:vAlign w:val="center"/>
          </w:tcPr>
          <w:p>
            <w:pPr>
              <w:spacing w:before="20" w:after="20" w:line="260" w:lineRule="auto"/>
              <w:ind w:firstLine="0"/>
              <w:jc w:val="center"/>
            </w:pPr>
            <w:r>
              <w:rPr>
                <w:sz w:val="20"/>
                <w:szCs w:val="20"/>
              </w:rPr>
              <w:t xml:space="preserve">10.736</w:t>
            </w:r>
          </w:p>
        </w:tc>
        <w:tc>
          <w:tcPr>
            <w:tcW w:type="dxa" w:w="1201"/>
            <w:vAlign w:val="center"/>
          </w:tcPr>
          <w:p>
            <w:pPr>
              <w:spacing w:before="20" w:after="20" w:line="260" w:lineRule="auto"/>
              <w:ind w:firstLine="0"/>
              <w:jc w:val="center"/>
            </w:pPr>
            <w:r>
              <w:rPr>
                <w:sz w:val="20"/>
                <w:szCs w:val="20"/>
              </w:rPr>
              <w:t xml:space="preserve">13,06%</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4.579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9.088</w:t>
            </w:r>
          </w:p>
        </w:tc>
        <w:tc>
          <w:tcPr>
            <w:tcW w:type="dxa" w:w="1201"/>
            <w:vAlign w:val="center"/>
          </w:tcPr>
          <w:p>
            <w:pPr>
              <w:spacing w:before="20" w:after="20" w:line="260" w:lineRule="auto"/>
              <w:ind w:firstLine="0"/>
              <w:jc w:val="center"/>
            </w:pPr>
            <w:r>
              <w:rPr>
                <w:sz w:val="20"/>
                <w:szCs w:val="20"/>
              </w:rPr>
              <w:t xml:space="preserve">7.633</w:t>
            </w:r>
          </w:p>
        </w:tc>
        <w:tc>
          <w:tcPr>
            <w:tcW w:type="dxa" w:w="1201"/>
            <w:vAlign w:val="center"/>
          </w:tcPr>
          <w:p>
            <w:pPr>
              <w:spacing w:before="20" w:after="20" w:line="260" w:lineRule="auto"/>
              <w:ind w:firstLine="0"/>
              <w:jc w:val="center"/>
            </w:pPr>
            <w:r>
              <w:rPr>
                <w:sz w:val="20"/>
                <w:szCs w:val="20"/>
              </w:rPr>
              <w:t xml:space="preserve">20,70%</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3.717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4.186</w:t>
            </w:r>
          </w:p>
        </w:tc>
        <w:tc>
          <w:tcPr>
            <w:tcW w:type="dxa" w:w="1201"/>
            <w:vAlign w:val="center"/>
          </w:tcPr>
          <w:p>
            <w:pPr>
              <w:spacing w:before="20" w:after="20" w:line="260" w:lineRule="auto"/>
              <w:ind w:firstLine="0"/>
              <w:jc w:val="center"/>
            </w:pPr>
            <w:r>
              <w:rPr>
                <w:sz w:val="20"/>
                <w:szCs w:val="20"/>
              </w:rPr>
              <w:t xml:space="preserve">3.637</w:t>
            </w:r>
          </w:p>
        </w:tc>
        <w:tc>
          <w:tcPr>
            <w:tcW w:type="dxa" w:w="1201"/>
            <w:vAlign w:val="center"/>
          </w:tcPr>
          <w:p>
            <w:pPr>
              <w:spacing w:before="20" w:after="20" w:line="260" w:lineRule="auto"/>
              <w:ind w:firstLine="0"/>
              <w:jc w:val="center"/>
            </w:pPr>
            <w:r>
              <w:rPr>
                <w:sz w:val="20"/>
                <w:szCs w:val="20"/>
              </w:rPr>
              <w:t xml:space="preserve">19,16%</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1.734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3.747</w:t>
            </w:r>
          </w:p>
        </w:tc>
        <w:tc>
          <w:tcPr>
            <w:tcW w:type="dxa" w:w="1201"/>
            <w:vAlign w:val="center"/>
          </w:tcPr>
          <w:p>
            <w:pPr>
              <w:spacing w:before="20" w:after="20" w:line="260" w:lineRule="auto"/>
              <w:ind w:firstLine="0"/>
              <w:jc w:val="center"/>
            </w:pPr>
            <w:r>
              <w:rPr>
                <w:sz w:val="20"/>
                <w:szCs w:val="20"/>
              </w:rPr>
              <w:t xml:space="preserve">3.523</w:t>
            </w:r>
          </w:p>
        </w:tc>
        <w:tc>
          <w:tcPr>
            <w:tcW w:type="dxa" w:w="1201"/>
            <w:vAlign w:val="center"/>
          </w:tcPr>
          <w:p>
            <w:pPr>
              <w:spacing w:before="20" w:after="20" w:line="260" w:lineRule="auto"/>
              <w:ind w:firstLine="0"/>
              <w:jc w:val="center"/>
            </w:pPr>
            <w:r>
              <w:rPr>
                <w:sz w:val="20"/>
                <w:szCs w:val="20"/>
              </w:rPr>
              <w:t xml:space="preserve">18,89%</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1.683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3.598</w:t>
            </w:r>
          </w:p>
        </w:tc>
        <w:tc>
          <w:tcPr>
            <w:tcW w:type="dxa" w:w="1201"/>
            <w:vAlign w:val="center"/>
          </w:tcPr>
          <w:p>
            <w:pPr>
              <w:spacing w:before="20" w:after="20" w:line="260" w:lineRule="auto"/>
              <w:ind w:firstLine="0"/>
              <w:jc w:val="center"/>
            </w:pPr>
            <w:r>
              <w:rPr>
                <w:sz w:val="20"/>
                <w:szCs w:val="20"/>
              </w:rPr>
              <w:t xml:space="preserve">3.471</w:t>
            </w:r>
          </w:p>
        </w:tc>
        <w:tc>
          <w:tcPr>
            <w:tcW w:type="dxa" w:w="1201"/>
            <w:vAlign w:val="center"/>
          </w:tcPr>
          <w:p>
            <w:pPr>
              <w:spacing w:before="20" w:after="20" w:line="260" w:lineRule="auto"/>
              <w:ind w:firstLine="0"/>
              <w:jc w:val="center"/>
            </w:pPr>
            <w:r>
              <w:rPr>
                <w:sz w:val="20"/>
                <w:szCs w:val="20"/>
              </w:rPr>
              <w:t xml:space="preserve">13,04%</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1.729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3.437</w:t>
            </w:r>
          </w:p>
        </w:tc>
        <w:tc>
          <w:tcPr>
            <w:tcW w:type="dxa" w:w="1201"/>
            <w:vAlign w:val="center"/>
          </w:tcPr>
          <w:p>
            <w:pPr>
              <w:spacing w:before="20" w:after="20" w:line="260" w:lineRule="auto"/>
              <w:ind w:firstLine="0"/>
              <w:jc w:val="center"/>
            </w:pPr>
            <w:r>
              <w:rPr>
                <w:sz w:val="20"/>
                <w:szCs w:val="20"/>
              </w:rPr>
              <w:t xml:space="preserve">3.724</w:t>
            </w:r>
          </w:p>
        </w:tc>
        <w:tc>
          <w:tcPr>
            <w:tcW w:type="dxa" w:w="1201"/>
            <w:vAlign w:val="center"/>
          </w:tcPr>
          <w:p>
            <w:pPr>
              <w:spacing w:before="20" w:after="20" w:line="260" w:lineRule="auto"/>
              <w:ind w:firstLine="0"/>
              <w:jc w:val="center"/>
            </w:pPr>
            <w:r>
              <w:rPr>
                <w:sz w:val="20"/>
                <w:szCs w:val="20"/>
              </w:rPr>
              <w:t xml:space="preserve">15,02%</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1.835</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A.37. Cửa hàng 37 (Cuenca, Azuay; loại D, cụm 2)</w:t>
      </w:r>
    </w:p>
    <w:p>
      <w:pPr>
        <w:keepLines w:val="0"/>
        <w:spacing w:after="120"/>
        <w:ind w:firstLine="567"/>
      </w:pPr>
      <w:r>
        <w:t xml:space="preserve">Trong 16 ngày của tập kiểm tra cuối, cửa hàng 37 có tổng doanh số thực tế 196.513 (hạng 31/54 về quy mô) và tổng dự báo 226.851, tức dự báo cao hơn thực tế 15,44%. WAPE của cửa hàng là 19,15% (hạng 43/54 từ thấp đến cao), MAE 71,276, RMSE 195,607 và bias −57,459. Độ bao phủ thực nghiệm của khoảng P10–P90 đạt 72,16% (hạng 42/54), so với mức danh nghĩa 80%. Nhóm có doanh số thực tế lớn nhất là GROCERY I (54.469; WAPE 13,63%; bao phủ 62,50%). Trong các nhóm có quy mô từ trung vị của cửa hàng trở lên, nhóm có WAPE thấp nhất là GROCERY I (13,63%). Có 3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191.247, 226.680 và 283.898; tổng lượng bổ sung gợi ý theo giả định là 102.554. Cửa hàng có 19 nhóm mang nhãn HIGH, 12 nhóm MEDIUM và 2 nhóm LOW. Bảng A.39 liệt kê mười nhóm có doanh số thực tế lớn nhất của cửa hàng.</w:t>
      </w:r>
    </w:p>
    <w:p>
      <w:pPr>
        <w:keepNext/>
        <w:spacing w:before="120" w:after="60"/>
        <w:ind w:firstLine="0"/>
        <w:jc w:val="center"/>
      </w:pPr>
      <w:r>
        <w:t xml:space="preserve">Bảng A.39. Mười nhóm sản phẩm có doanh số thực tế lớn nhất của cửa hàng 37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54.469</w:t>
            </w:r>
          </w:p>
        </w:tc>
        <w:tc>
          <w:tcPr>
            <w:tcW w:type="dxa" w:w="1201"/>
            <w:vAlign w:val="center"/>
          </w:tcPr>
          <w:p>
            <w:pPr>
              <w:spacing w:before="20" w:after="20" w:line="260" w:lineRule="auto"/>
              <w:ind w:firstLine="0"/>
              <w:jc w:val="center"/>
            </w:pPr>
            <w:r>
              <w:rPr>
                <w:sz w:val="20"/>
                <w:szCs w:val="20"/>
              </w:rPr>
              <w:t xml:space="preserve">61.895</w:t>
            </w:r>
          </w:p>
        </w:tc>
        <w:tc>
          <w:tcPr>
            <w:tcW w:type="dxa" w:w="1201"/>
            <w:vAlign w:val="center"/>
          </w:tcPr>
          <w:p>
            <w:pPr>
              <w:spacing w:before="20" w:after="20" w:line="260" w:lineRule="auto"/>
              <w:ind w:firstLine="0"/>
              <w:jc w:val="center"/>
            </w:pPr>
            <w:r>
              <w:rPr>
                <w:sz w:val="20"/>
                <w:szCs w:val="20"/>
              </w:rPr>
              <w:t xml:space="preserve">13,63%</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24.543</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41.355</w:t>
            </w:r>
          </w:p>
        </w:tc>
        <w:tc>
          <w:tcPr>
            <w:tcW w:type="dxa" w:w="1201"/>
            <w:vAlign w:val="center"/>
          </w:tcPr>
          <w:p>
            <w:pPr>
              <w:spacing w:before="20" w:after="20" w:line="260" w:lineRule="auto"/>
              <w:ind w:firstLine="0"/>
              <w:jc w:val="center"/>
            </w:pPr>
            <w:r>
              <w:rPr>
                <w:sz w:val="20"/>
                <w:szCs w:val="20"/>
              </w:rPr>
              <w:t xml:space="preserve">48.691</w:t>
            </w:r>
          </w:p>
        </w:tc>
        <w:tc>
          <w:tcPr>
            <w:tcW w:type="dxa" w:w="1201"/>
            <w:vAlign w:val="center"/>
          </w:tcPr>
          <w:p>
            <w:pPr>
              <w:spacing w:before="20" w:after="20" w:line="260" w:lineRule="auto"/>
              <w:ind w:firstLine="0"/>
              <w:jc w:val="center"/>
            </w:pPr>
            <w:r>
              <w:rPr>
                <w:sz w:val="20"/>
                <w:szCs w:val="20"/>
              </w:rPr>
              <w:t xml:space="preserve">23,23%</w:t>
            </w:r>
          </w:p>
        </w:tc>
        <w:tc>
          <w:tcPr>
            <w:tcW w:type="dxa" w:w="1201"/>
            <w:vAlign w:val="center"/>
          </w:tcPr>
          <w:p>
            <w:pPr>
              <w:spacing w:before="20" w:after="20" w:line="260" w:lineRule="auto"/>
              <w:ind w:firstLine="0"/>
              <w:jc w:val="center"/>
            </w:pPr>
            <w:r>
              <w:rPr>
                <w:sz w:val="20"/>
                <w:szCs w:val="20"/>
              </w:rPr>
              <w:t xml:space="preserve">37,50%</w:t>
            </w:r>
          </w:p>
        </w:tc>
        <w:tc>
          <w:tcPr>
            <w:tcW w:type="dxa" w:w="1531"/>
            <w:vAlign w:val="center"/>
          </w:tcPr>
          <w:p>
            <w:pPr>
              <w:spacing w:before="20" w:after="20" w:line="260" w:lineRule="auto"/>
              <w:ind w:firstLine="0"/>
              <w:jc w:val="center"/>
            </w:pPr>
            <w:r>
              <w:rPr>
                <w:sz w:val="20"/>
                <w:szCs w:val="20"/>
              </w:rPr>
              <w:t xml:space="preserve">21.903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38.293</w:t>
            </w:r>
          </w:p>
        </w:tc>
        <w:tc>
          <w:tcPr>
            <w:tcW w:type="dxa" w:w="1201"/>
            <w:vAlign w:val="center"/>
          </w:tcPr>
          <w:p>
            <w:pPr>
              <w:spacing w:before="20" w:after="20" w:line="260" w:lineRule="auto"/>
              <w:ind w:firstLine="0"/>
              <w:jc w:val="center"/>
            </w:pPr>
            <w:r>
              <w:rPr>
                <w:sz w:val="20"/>
                <w:szCs w:val="20"/>
              </w:rPr>
              <w:t xml:space="preserve">43.881</w:t>
            </w:r>
          </w:p>
        </w:tc>
        <w:tc>
          <w:tcPr>
            <w:tcW w:type="dxa" w:w="1201"/>
            <w:vAlign w:val="center"/>
          </w:tcPr>
          <w:p>
            <w:pPr>
              <w:spacing w:before="20" w:after="20" w:line="260" w:lineRule="auto"/>
              <w:ind w:firstLine="0"/>
              <w:jc w:val="center"/>
            </w:pPr>
            <w:r>
              <w:rPr>
                <w:sz w:val="20"/>
                <w:szCs w:val="20"/>
              </w:rPr>
              <w:t xml:space="preserve">16,00%</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20.940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13.765</w:t>
            </w:r>
          </w:p>
        </w:tc>
        <w:tc>
          <w:tcPr>
            <w:tcW w:type="dxa" w:w="1201"/>
            <w:vAlign w:val="center"/>
          </w:tcPr>
          <w:p>
            <w:pPr>
              <w:spacing w:before="20" w:after="20" w:line="260" w:lineRule="auto"/>
              <w:ind w:firstLine="0"/>
              <w:jc w:val="center"/>
            </w:pPr>
            <w:r>
              <w:rPr>
                <w:sz w:val="20"/>
                <w:szCs w:val="20"/>
              </w:rPr>
              <w:t xml:space="preserve">17.478</w:t>
            </w:r>
          </w:p>
        </w:tc>
        <w:tc>
          <w:tcPr>
            <w:tcW w:type="dxa" w:w="1201"/>
            <w:vAlign w:val="center"/>
          </w:tcPr>
          <w:p>
            <w:pPr>
              <w:spacing w:before="20" w:after="20" w:line="260" w:lineRule="auto"/>
              <w:ind w:firstLine="0"/>
              <w:jc w:val="center"/>
            </w:pPr>
            <w:r>
              <w:rPr>
                <w:sz w:val="20"/>
                <w:szCs w:val="20"/>
              </w:rPr>
              <w:t xml:space="preserve">27,47%</w:t>
            </w:r>
          </w:p>
        </w:tc>
        <w:tc>
          <w:tcPr>
            <w:tcW w:type="dxa" w:w="1201"/>
            <w:vAlign w:val="center"/>
          </w:tcPr>
          <w:p>
            <w:pPr>
              <w:spacing w:before="20" w:after="20" w:line="260" w:lineRule="auto"/>
              <w:ind w:firstLine="0"/>
              <w:jc w:val="center"/>
            </w:pPr>
            <w:r>
              <w:rPr>
                <w:sz w:val="20"/>
                <w:szCs w:val="20"/>
              </w:rPr>
              <w:t xml:space="preserve">37,50%</w:t>
            </w:r>
          </w:p>
        </w:tc>
        <w:tc>
          <w:tcPr>
            <w:tcW w:type="dxa" w:w="1531"/>
            <w:vAlign w:val="center"/>
          </w:tcPr>
          <w:p>
            <w:pPr>
              <w:spacing w:before="20" w:after="20" w:line="260" w:lineRule="auto"/>
              <w:ind w:firstLine="0"/>
              <w:jc w:val="center"/>
            </w:pPr>
            <w:r>
              <w:rPr>
                <w:sz w:val="20"/>
                <w:szCs w:val="20"/>
              </w:rPr>
              <w:t xml:space="preserve">8.361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13.100</w:t>
            </w:r>
          </w:p>
        </w:tc>
        <w:tc>
          <w:tcPr>
            <w:tcW w:type="dxa" w:w="1201"/>
            <w:vAlign w:val="center"/>
          </w:tcPr>
          <w:p>
            <w:pPr>
              <w:spacing w:before="20" w:after="20" w:line="260" w:lineRule="auto"/>
              <w:ind w:firstLine="0"/>
              <w:jc w:val="center"/>
            </w:pPr>
            <w:r>
              <w:rPr>
                <w:sz w:val="20"/>
                <w:szCs w:val="20"/>
              </w:rPr>
              <w:t xml:space="preserve">15.116</w:t>
            </w:r>
          </w:p>
        </w:tc>
        <w:tc>
          <w:tcPr>
            <w:tcW w:type="dxa" w:w="1201"/>
            <w:vAlign w:val="center"/>
          </w:tcPr>
          <w:p>
            <w:pPr>
              <w:spacing w:before="20" w:after="20" w:line="260" w:lineRule="auto"/>
              <w:ind w:firstLine="0"/>
              <w:jc w:val="center"/>
            </w:pPr>
            <w:r>
              <w:rPr>
                <w:sz w:val="20"/>
                <w:szCs w:val="20"/>
              </w:rPr>
              <w:t xml:space="preserve">16,52%</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5.455</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7.811</w:t>
            </w:r>
          </w:p>
        </w:tc>
        <w:tc>
          <w:tcPr>
            <w:tcW w:type="dxa" w:w="1201"/>
            <w:vAlign w:val="center"/>
          </w:tcPr>
          <w:p>
            <w:pPr>
              <w:spacing w:before="20" w:after="20" w:line="260" w:lineRule="auto"/>
              <w:ind w:firstLine="0"/>
              <w:jc w:val="center"/>
            </w:pPr>
            <w:r>
              <w:rPr>
                <w:sz w:val="20"/>
                <w:szCs w:val="20"/>
              </w:rPr>
              <w:t xml:space="preserve">9.219</w:t>
            </w:r>
          </w:p>
        </w:tc>
        <w:tc>
          <w:tcPr>
            <w:tcW w:type="dxa" w:w="1201"/>
            <w:vAlign w:val="center"/>
          </w:tcPr>
          <w:p>
            <w:pPr>
              <w:spacing w:before="20" w:after="20" w:line="260" w:lineRule="auto"/>
              <w:ind w:firstLine="0"/>
              <w:jc w:val="center"/>
            </w:pPr>
            <w:r>
              <w:rPr>
                <w:sz w:val="20"/>
                <w:szCs w:val="20"/>
              </w:rPr>
              <w:t xml:space="preserve">21,52%</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4.276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4.238</w:t>
            </w:r>
          </w:p>
        </w:tc>
        <w:tc>
          <w:tcPr>
            <w:tcW w:type="dxa" w:w="1201"/>
            <w:vAlign w:val="center"/>
          </w:tcPr>
          <w:p>
            <w:pPr>
              <w:spacing w:before="20" w:after="20" w:line="260" w:lineRule="auto"/>
              <w:ind w:firstLine="0"/>
              <w:jc w:val="center"/>
            </w:pPr>
            <w:r>
              <w:rPr>
                <w:sz w:val="20"/>
                <w:szCs w:val="20"/>
              </w:rPr>
              <w:t xml:space="preserve">4.279</w:t>
            </w:r>
          </w:p>
        </w:tc>
        <w:tc>
          <w:tcPr>
            <w:tcW w:type="dxa" w:w="1201"/>
            <w:vAlign w:val="center"/>
          </w:tcPr>
          <w:p>
            <w:pPr>
              <w:spacing w:before="20" w:after="20" w:line="260" w:lineRule="auto"/>
              <w:ind w:firstLine="0"/>
              <w:jc w:val="center"/>
            </w:pPr>
            <w:r>
              <w:rPr>
                <w:sz w:val="20"/>
                <w:szCs w:val="20"/>
              </w:rPr>
              <w:t xml:space="preserve">16,27%</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2.002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3.899</w:t>
            </w:r>
          </w:p>
        </w:tc>
        <w:tc>
          <w:tcPr>
            <w:tcW w:type="dxa" w:w="1201"/>
            <w:vAlign w:val="center"/>
          </w:tcPr>
          <w:p>
            <w:pPr>
              <w:spacing w:before="20" w:after="20" w:line="260" w:lineRule="auto"/>
              <w:ind w:firstLine="0"/>
              <w:jc w:val="center"/>
            </w:pPr>
            <w:r>
              <w:rPr>
                <w:sz w:val="20"/>
                <w:szCs w:val="20"/>
              </w:rPr>
              <w:t xml:space="preserve">4.486</w:t>
            </w:r>
          </w:p>
        </w:tc>
        <w:tc>
          <w:tcPr>
            <w:tcW w:type="dxa" w:w="1201"/>
            <w:vAlign w:val="center"/>
          </w:tcPr>
          <w:p>
            <w:pPr>
              <w:spacing w:before="20" w:after="20" w:line="260" w:lineRule="auto"/>
              <w:ind w:firstLine="0"/>
              <w:jc w:val="center"/>
            </w:pPr>
            <w:r>
              <w:rPr>
                <w:sz w:val="20"/>
                <w:szCs w:val="20"/>
              </w:rPr>
              <w:t xml:space="preserve">18,72%</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2.044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3.684</w:t>
            </w:r>
          </w:p>
        </w:tc>
        <w:tc>
          <w:tcPr>
            <w:tcW w:type="dxa" w:w="1201"/>
            <w:vAlign w:val="center"/>
          </w:tcPr>
          <w:p>
            <w:pPr>
              <w:spacing w:before="20" w:after="20" w:line="260" w:lineRule="auto"/>
              <w:ind w:firstLine="0"/>
              <w:jc w:val="center"/>
            </w:pPr>
            <w:r>
              <w:rPr>
                <w:sz w:val="20"/>
                <w:szCs w:val="20"/>
              </w:rPr>
              <w:t xml:space="preserve">3.808</w:t>
            </w:r>
          </w:p>
        </w:tc>
        <w:tc>
          <w:tcPr>
            <w:tcW w:type="dxa" w:w="1201"/>
            <w:vAlign w:val="center"/>
          </w:tcPr>
          <w:p>
            <w:pPr>
              <w:spacing w:before="20" w:after="20" w:line="260" w:lineRule="auto"/>
              <w:ind w:firstLine="0"/>
              <w:jc w:val="center"/>
            </w:pPr>
            <w:r>
              <w:rPr>
                <w:sz w:val="20"/>
                <w:szCs w:val="20"/>
              </w:rPr>
              <w:t xml:space="preserve">20,74%</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1.796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3.528</w:t>
            </w:r>
          </w:p>
        </w:tc>
        <w:tc>
          <w:tcPr>
            <w:tcW w:type="dxa" w:w="1201"/>
            <w:vAlign w:val="center"/>
          </w:tcPr>
          <w:p>
            <w:pPr>
              <w:spacing w:before="20" w:after="20" w:line="260" w:lineRule="auto"/>
              <w:ind w:firstLine="0"/>
              <w:jc w:val="center"/>
            </w:pPr>
            <w:r>
              <w:rPr>
                <w:sz w:val="20"/>
                <w:szCs w:val="20"/>
              </w:rPr>
              <w:t xml:space="preserve">4.338</w:t>
            </w:r>
          </w:p>
        </w:tc>
        <w:tc>
          <w:tcPr>
            <w:tcW w:type="dxa" w:w="1201"/>
            <w:vAlign w:val="center"/>
          </w:tcPr>
          <w:p>
            <w:pPr>
              <w:spacing w:before="20" w:after="20" w:line="260" w:lineRule="auto"/>
              <w:ind w:firstLine="0"/>
              <w:jc w:val="center"/>
            </w:pPr>
            <w:r>
              <w:rPr>
                <w:sz w:val="20"/>
                <w:szCs w:val="20"/>
              </w:rPr>
              <w:t xml:space="preserve">29,43%</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2.014</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A.38. Cửa hàng 38 (Loja, Loja; loại D, cụm 4)</w:t>
      </w:r>
    </w:p>
    <w:p>
      <w:pPr>
        <w:keepLines w:val="0"/>
        <w:spacing w:after="120"/>
        <w:ind w:firstLine="567"/>
      </w:pPr>
      <w:r>
        <w:t xml:space="preserve">Trong 16 ngày của tập kiểm tra cuối, cửa hàng 38 có tổng doanh số thực tế 197.783 (hạng 30/54 về quy mô) và tổng dự báo 216.238, tức dự báo cao hơn thực tế 9,33%. WAPE của cửa hàng là 23,84% (hạng 50/54 từ thấp đến cao), MAE 89,312, RMSE 305,789 và bias −34,951. Độ bao phủ thực nghiệm của khoảng P10–P90 đạt 71,97% (hạng 45/54), so với mức danh nghĩa 80%. Nhóm có doanh số thực tế lớn nhất là GROCERY I (57.835; WAPE 15,35%; bao phủ 68,75%). Trong các nhóm có quy mô từ trung vị của cửa hàng trở lên, nhóm có WAPE thấp nhất là PRODUCE (9,87%). Có 3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180.097, 216.077 và 274.074; tổng lượng bổ sung gợi ý theo giả định là 101.212. Cửa hàng có 19 nhóm mang nhãn HIGH, 12 nhóm MEDIUM và 2 nhóm LOW. Bảng A.40 liệt kê mười nhóm có doanh số thực tế lớn nhất của cửa hàng.</w:t>
      </w:r>
    </w:p>
    <w:p>
      <w:pPr>
        <w:keepNext/>
        <w:spacing w:before="120" w:after="60"/>
        <w:ind w:firstLine="0"/>
        <w:jc w:val="center"/>
      </w:pPr>
      <w:r>
        <w:t xml:space="preserve">Bảng A.40. Mười nhóm sản phẩm có doanh số thực tế lớn nhất của cửa hàng 38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57.835</w:t>
            </w:r>
          </w:p>
        </w:tc>
        <w:tc>
          <w:tcPr>
            <w:tcW w:type="dxa" w:w="1201"/>
            <w:vAlign w:val="center"/>
          </w:tcPr>
          <w:p>
            <w:pPr>
              <w:spacing w:before="20" w:after="20" w:line="260" w:lineRule="auto"/>
              <w:ind w:firstLine="0"/>
              <w:jc w:val="center"/>
            </w:pPr>
            <w:r>
              <w:rPr>
                <w:sz w:val="20"/>
                <w:szCs w:val="20"/>
              </w:rPr>
              <w:t xml:space="preserve">64.055</w:t>
            </w:r>
          </w:p>
        </w:tc>
        <w:tc>
          <w:tcPr>
            <w:tcW w:type="dxa" w:w="1201"/>
            <w:vAlign w:val="center"/>
          </w:tcPr>
          <w:p>
            <w:pPr>
              <w:spacing w:before="20" w:after="20" w:line="260" w:lineRule="auto"/>
              <w:ind w:firstLine="0"/>
              <w:jc w:val="center"/>
            </w:pPr>
            <w:r>
              <w:rPr>
                <w:sz w:val="20"/>
                <w:szCs w:val="20"/>
              </w:rPr>
              <w:t xml:space="preserve">15,35%</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24.975</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42.227</w:t>
            </w:r>
          </w:p>
        </w:tc>
        <w:tc>
          <w:tcPr>
            <w:tcW w:type="dxa" w:w="1201"/>
            <w:vAlign w:val="center"/>
          </w:tcPr>
          <w:p>
            <w:pPr>
              <w:spacing w:before="20" w:after="20" w:line="260" w:lineRule="auto"/>
              <w:ind w:firstLine="0"/>
              <w:jc w:val="center"/>
            </w:pPr>
            <w:r>
              <w:rPr>
                <w:sz w:val="20"/>
                <w:szCs w:val="20"/>
              </w:rPr>
              <w:t xml:space="preserve">47.201</w:t>
            </w:r>
          </w:p>
        </w:tc>
        <w:tc>
          <w:tcPr>
            <w:tcW w:type="dxa" w:w="1201"/>
            <w:vAlign w:val="center"/>
          </w:tcPr>
          <w:p>
            <w:pPr>
              <w:spacing w:before="20" w:after="20" w:line="260" w:lineRule="auto"/>
              <w:ind w:firstLine="0"/>
              <w:jc w:val="center"/>
            </w:pPr>
            <w:r>
              <w:rPr>
                <w:sz w:val="20"/>
                <w:szCs w:val="20"/>
              </w:rPr>
              <w:t xml:space="preserve">42,43%</w:t>
            </w:r>
          </w:p>
        </w:tc>
        <w:tc>
          <w:tcPr>
            <w:tcW w:type="dxa" w:w="1201"/>
            <w:vAlign w:val="center"/>
          </w:tcPr>
          <w:p>
            <w:pPr>
              <w:spacing w:before="20" w:after="20" w:line="260" w:lineRule="auto"/>
              <w:ind w:firstLine="0"/>
              <w:jc w:val="center"/>
            </w:pPr>
            <w:r>
              <w:rPr>
                <w:sz w:val="20"/>
                <w:szCs w:val="20"/>
              </w:rPr>
              <w:t xml:space="preserve">18,75%</w:t>
            </w:r>
          </w:p>
        </w:tc>
        <w:tc>
          <w:tcPr>
            <w:tcW w:type="dxa" w:w="1531"/>
            <w:vAlign w:val="center"/>
          </w:tcPr>
          <w:p>
            <w:pPr>
              <w:spacing w:before="20" w:after="20" w:line="260" w:lineRule="auto"/>
              <w:ind w:firstLine="0"/>
              <w:jc w:val="center"/>
            </w:pPr>
            <w:r>
              <w:rPr>
                <w:sz w:val="20"/>
                <w:szCs w:val="20"/>
              </w:rPr>
              <w:t xml:space="preserve">21.604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33.984</w:t>
            </w:r>
          </w:p>
        </w:tc>
        <w:tc>
          <w:tcPr>
            <w:tcW w:type="dxa" w:w="1201"/>
            <w:vAlign w:val="center"/>
          </w:tcPr>
          <w:p>
            <w:pPr>
              <w:spacing w:before="20" w:after="20" w:line="260" w:lineRule="auto"/>
              <w:ind w:firstLine="0"/>
              <w:jc w:val="center"/>
            </w:pPr>
            <w:r>
              <w:rPr>
                <w:sz w:val="20"/>
                <w:szCs w:val="20"/>
              </w:rPr>
              <w:t xml:space="preserve">34.158</w:t>
            </w:r>
          </w:p>
        </w:tc>
        <w:tc>
          <w:tcPr>
            <w:tcW w:type="dxa" w:w="1201"/>
            <w:vAlign w:val="center"/>
          </w:tcPr>
          <w:p>
            <w:pPr>
              <w:spacing w:before="20" w:after="20" w:line="260" w:lineRule="auto"/>
              <w:ind w:firstLine="0"/>
              <w:jc w:val="center"/>
            </w:pPr>
            <w:r>
              <w:rPr>
                <w:sz w:val="20"/>
                <w:szCs w:val="20"/>
              </w:rPr>
              <w:t xml:space="preserve">9,87%</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18.996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14.534</w:t>
            </w:r>
          </w:p>
        </w:tc>
        <w:tc>
          <w:tcPr>
            <w:tcW w:type="dxa" w:w="1201"/>
            <w:vAlign w:val="center"/>
          </w:tcPr>
          <w:p>
            <w:pPr>
              <w:spacing w:before="20" w:after="20" w:line="260" w:lineRule="auto"/>
              <w:ind w:firstLine="0"/>
              <w:jc w:val="center"/>
            </w:pPr>
            <w:r>
              <w:rPr>
                <w:sz w:val="20"/>
                <w:szCs w:val="20"/>
              </w:rPr>
              <w:t xml:space="preserve">18.336</w:t>
            </w:r>
          </w:p>
        </w:tc>
        <w:tc>
          <w:tcPr>
            <w:tcW w:type="dxa" w:w="1201"/>
            <w:vAlign w:val="center"/>
          </w:tcPr>
          <w:p>
            <w:pPr>
              <w:spacing w:before="20" w:after="20" w:line="260" w:lineRule="auto"/>
              <w:ind w:firstLine="0"/>
              <w:jc w:val="center"/>
            </w:pPr>
            <w:r>
              <w:rPr>
                <w:sz w:val="20"/>
                <w:szCs w:val="20"/>
              </w:rPr>
              <w:t xml:space="preserve">30,25%</w:t>
            </w:r>
          </w:p>
        </w:tc>
        <w:tc>
          <w:tcPr>
            <w:tcW w:type="dxa" w:w="1201"/>
            <w:vAlign w:val="center"/>
          </w:tcPr>
          <w:p>
            <w:pPr>
              <w:spacing w:before="20" w:after="20" w:line="260" w:lineRule="auto"/>
              <w:ind w:firstLine="0"/>
              <w:jc w:val="center"/>
            </w:pPr>
            <w:r>
              <w:rPr>
                <w:sz w:val="20"/>
                <w:szCs w:val="20"/>
              </w:rPr>
              <w:t xml:space="preserve">31,25%</w:t>
            </w:r>
          </w:p>
        </w:tc>
        <w:tc>
          <w:tcPr>
            <w:tcW w:type="dxa" w:w="1531"/>
            <w:vAlign w:val="center"/>
          </w:tcPr>
          <w:p>
            <w:pPr>
              <w:spacing w:before="20" w:after="20" w:line="260" w:lineRule="auto"/>
              <w:ind w:firstLine="0"/>
              <w:jc w:val="center"/>
            </w:pPr>
            <w:r>
              <w:rPr>
                <w:sz w:val="20"/>
                <w:szCs w:val="20"/>
              </w:rPr>
              <w:t xml:space="preserve">9.140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12.234</w:t>
            </w:r>
          </w:p>
        </w:tc>
        <w:tc>
          <w:tcPr>
            <w:tcW w:type="dxa" w:w="1201"/>
            <w:vAlign w:val="center"/>
          </w:tcPr>
          <w:p>
            <w:pPr>
              <w:spacing w:before="20" w:after="20" w:line="260" w:lineRule="auto"/>
              <w:ind w:firstLine="0"/>
              <w:jc w:val="center"/>
            </w:pPr>
            <w:r>
              <w:rPr>
                <w:sz w:val="20"/>
                <w:szCs w:val="20"/>
              </w:rPr>
              <w:t xml:space="preserve">13.814</w:t>
            </w:r>
          </w:p>
        </w:tc>
        <w:tc>
          <w:tcPr>
            <w:tcW w:type="dxa" w:w="1201"/>
            <w:vAlign w:val="center"/>
          </w:tcPr>
          <w:p>
            <w:pPr>
              <w:spacing w:before="20" w:after="20" w:line="260" w:lineRule="auto"/>
              <w:ind w:firstLine="0"/>
              <w:jc w:val="center"/>
            </w:pPr>
            <w:r>
              <w:rPr>
                <w:sz w:val="20"/>
                <w:szCs w:val="20"/>
              </w:rPr>
              <w:t xml:space="preserve">16,41%</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5.195</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7.305</w:t>
            </w:r>
          </w:p>
        </w:tc>
        <w:tc>
          <w:tcPr>
            <w:tcW w:type="dxa" w:w="1201"/>
            <w:vAlign w:val="center"/>
          </w:tcPr>
          <w:p>
            <w:pPr>
              <w:spacing w:before="20" w:after="20" w:line="260" w:lineRule="auto"/>
              <w:ind w:firstLine="0"/>
              <w:jc w:val="center"/>
            </w:pPr>
            <w:r>
              <w:rPr>
                <w:sz w:val="20"/>
                <w:szCs w:val="20"/>
              </w:rPr>
              <w:t xml:space="preserve">7.860</w:t>
            </w:r>
          </w:p>
        </w:tc>
        <w:tc>
          <w:tcPr>
            <w:tcW w:type="dxa" w:w="1201"/>
            <w:vAlign w:val="center"/>
          </w:tcPr>
          <w:p>
            <w:pPr>
              <w:spacing w:before="20" w:after="20" w:line="260" w:lineRule="auto"/>
              <w:ind w:firstLine="0"/>
              <w:jc w:val="center"/>
            </w:pPr>
            <w:r>
              <w:rPr>
                <w:sz w:val="20"/>
                <w:szCs w:val="20"/>
              </w:rPr>
              <w:t xml:space="preserve">16,95%</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3.763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6.463</w:t>
            </w:r>
          </w:p>
        </w:tc>
        <w:tc>
          <w:tcPr>
            <w:tcW w:type="dxa" w:w="1201"/>
            <w:vAlign w:val="center"/>
          </w:tcPr>
          <w:p>
            <w:pPr>
              <w:spacing w:before="20" w:after="20" w:line="260" w:lineRule="auto"/>
              <w:ind w:firstLine="0"/>
              <w:jc w:val="center"/>
            </w:pPr>
            <w:r>
              <w:rPr>
                <w:sz w:val="20"/>
                <w:szCs w:val="20"/>
              </w:rPr>
              <w:t xml:space="preserve">6.227</w:t>
            </w:r>
          </w:p>
        </w:tc>
        <w:tc>
          <w:tcPr>
            <w:tcW w:type="dxa" w:w="1201"/>
            <w:vAlign w:val="center"/>
          </w:tcPr>
          <w:p>
            <w:pPr>
              <w:spacing w:before="20" w:after="20" w:line="260" w:lineRule="auto"/>
              <w:ind w:firstLine="0"/>
              <w:jc w:val="center"/>
            </w:pPr>
            <w:r>
              <w:rPr>
                <w:sz w:val="20"/>
                <w:szCs w:val="20"/>
              </w:rPr>
              <w:t xml:space="preserve">24,82%</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2.794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5.197</w:t>
            </w:r>
          </w:p>
        </w:tc>
        <w:tc>
          <w:tcPr>
            <w:tcW w:type="dxa" w:w="1201"/>
            <w:vAlign w:val="center"/>
          </w:tcPr>
          <w:p>
            <w:pPr>
              <w:spacing w:before="20" w:after="20" w:line="260" w:lineRule="auto"/>
              <w:ind w:firstLine="0"/>
              <w:jc w:val="center"/>
            </w:pPr>
            <w:r>
              <w:rPr>
                <w:sz w:val="20"/>
                <w:szCs w:val="20"/>
              </w:rPr>
              <w:t xml:space="preserve">5.342</w:t>
            </w:r>
          </w:p>
        </w:tc>
        <w:tc>
          <w:tcPr>
            <w:tcW w:type="dxa" w:w="1201"/>
            <w:vAlign w:val="center"/>
          </w:tcPr>
          <w:p>
            <w:pPr>
              <w:spacing w:before="20" w:after="20" w:line="260" w:lineRule="auto"/>
              <w:ind w:firstLine="0"/>
              <w:jc w:val="center"/>
            </w:pPr>
            <w:r>
              <w:rPr>
                <w:sz w:val="20"/>
                <w:szCs w:val="20"/>
              </w:rPr>
              <w:t xml:space="preserve">16,96%</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2.536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2.816</w:t>
            </w:r>
          </w:p>
        </w:tc>
        <w:tc>
          <w:tcPr>
            <w:tcW w:type="dxa" w:w="1201"/>
            <w:vAlign w:val="center"/>
          </w:tcPr>
          <w:p>
            <w:pPr>
              <w:spacing w:before="20" w:after="20" w:line="260" w:lineRule="auto"/>
              <w:ind w:firstLine="0"/>
              <w:jc w:val="center"/>
            </w:pPr>
            <w:r>
              <w:rPr>
                <w:sz w:val="20"/>
                <w:szCs w:val="20"/>
              </w:rPr>
              <w:t xml:space="preserve">2.638</w:t>
            </w:r>
          </w:p>
        </w:tc>
        <w:tc>
          <w:tcPr>
            <w:tcW w:type="dxa" w:w="1201"/>
            <w:vAlign w:val="center"/>
          </w:tcPr>
          <w:p>
            <w:pPr>
              <w:spacing w:before="20" w:after="20" w:line="260" w:lineRule="auto"/>
              <w:ind w:firstLine="0"/>
              <w:jc w:val="center"/>
            </w:pPr>
            <w:r>
              <w:rPr>
                <w:sz w:val="20"/>
                <w:szCs w:val="20"/>
              </w:rPr>
              <w:t xml:space="preserve">22,96%</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1.283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2.248</w:t>
            </w:r>
          </w:p>
        </w:tc>
        <w:tc>
          <w:tcPr>
            <w:tcW w:type="dxa" w:w="1201"/>
            <w:vAlign w:val="center"/>
          </w:tcPr>
          <w:p>
            <w:pPr>
              <w:spacing w:before="20" w:after="20" w:line="260" w:lineRule="auto"/>
              <w:ind w:firstLine="0"/>
              <w:jc w:val="center"/>
            </w:pPr>
            <w:r>
              <w:rPr>
                <w:sz w:val="20"/>
                <w:szCs w:val="20"/>
              </w:rPr>
              <w:t xml:space="preserve">2.855</w:t>
            </w:r>
          </w:p>
        </w:tc>
        <w:tc>
          <w:tcPr>
            <w:tcW w:type="dxa" w:w="1201"/>
            <w:vAlign w:val="center"/>
          </w:tcPr>
          <w:p>
            <w:pPr>
              <w:spacing w:before="20" w:after="20" w:line="260" w:lineRule="auto"/>
              <w:ind w:firstLine="0"/>
              <w:jc w:val="center"/>
            </w:pPr>
            <w:r>
              <w:rPr>
                <w:sz w:val="20"/>
                <w:szCs w:val="20"/>
              </w:rPr>
              <w:t xml:space="preserve">29,12%</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1.410</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A.39. Cửa hàng 39 (Cuenca, Azuay; loại B, cụm 6)</w:t>
      </w:r>
    </w:p>
    <w:p>
      <w:pPr>
        <w:keepLines w:val="0"/>
        <w:spacing w:after="120"/>
        <w:ind w:firstLine="567"/>
      </w:pPr>
      <w:r>
        <w:t xml:space="preserve">Trong 16 ngày của tập kiểm tra cuối, cửa hàng 39 có tổng doanh số thực tế 261.722 (hạng 19/54 về quy mô) và tổng dự báo 275.940, tức dự báo cao hơn thực tế 5,43%. WAPE của cửa hàng là 20,52% (hạng 45/54 từ thấp đến cao), MAE 101,737, RMSE 345,142 và bias −26,928. Độ bao phủ thực nghiệm của khoảng P10–P90 đạt 69,89% (hạng 52/54), so với mức danh nghĩa 80%. Nhóm có doanh số thực tế lớn nhất là GROCERY I (88.216; WAPE 11,75%; bao phủ 56,25%). Trong các nhóm có quy mô từ trung vị của cửa hàng trở lên, nhóm có WAPE thấp nhất là GROCERY I (11,75%). Có 1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235.450, 275.875 và 342.459; tổng lượng bổ sung gợi ý theo giả định là 121.759. Cửa hàng có 20 nhóm mang nhãn HIGH, 10 nhóm MEDIUM và 3 nhóm LOW. Bảng A.41 liệt kê mười nhóm có doanh số thực tế lớn nhất của cửa hàng.</w:t>
      </w:r>
    </w:p>
    <w:p>
      <w:pPr>
        <w:keepNext/>
        <w:spacing w:before="120" w:after="60"/>
        <w:ind w:firstLine="0"/>
        <w:jc w:val="center"/>
      </w:pPr>
      <w:r>
        <w:t xml:space="preserve">Bảng A.41. Mười nhóm sản phẩm có doanh số thực tế lớn nhất của cửa hàng 39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88.216</w:t>
            </w:r>
          </w:p>
        </w:tc>
        <w:tc>
          <w:tcPr>
            <w:tcW w:type="dxa" w:w="1201"/>
            <w:vAlign w:val="center"/>
          </w:tcPr>
          <w:p>
            <w:pPr>
              <w:spacing w:before="20" w:after="20" w:line="260" w:lineRule="auto"/>
              <w:ind w:firstLine="0"/>
              <w:jc w:val="center"/>
            </w:pPr>
            <w:r>
              <w:rPr>
                <w:sz w:val="20"/>
                <w:szCs w:val="20"/>
              </w:rPr>
              <w:t xml:space="preserve">88.420</w:t>
            </w:r>
          </w:p>
        </w:tc>
        <w:tc>
          <w:tcPr>
            <w:tcW w:type="dxa" w:w="1201"/>
            <w:vAlign w:val="center"/>
          </w:tcPr>
          <w:p>
            <w:pPr>
              <w:spacing w:before="20" w:after="20" w:line="260" w:lineRule="auto"/>
              <w:ind w:firstLine="0"/>
              <w:jc w:val="center"/>
            </w:pPr>
            <w:r>
              <w:rPr>
                <w:sz w:val="20"/>
                <w:szCs w:val="20"/>
              </w:rPr>
              <w:t xml:space="preserve">11,75%</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29.848</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55.918</w:t>
            </w:r>
          </w:p>
        </w:tc>
        <w:tc>
          <w:tcPr>
            <w:tcW w:type="dxa" w:w="1201"/>
            <w:vAlign w:val="center"/>
          </w:tcPr>
          <w:p>
            <w:pPr>
              <w:spacing w:before="20" w:after="20" w:line="260" w:lineRule="auto"/>
              <w:ind w:firstLine="0"/>
              <w:jc w:val="center"/>
            </w:pPr>
            <w:r>
              <w:rPr>
                <w:sz w:val="20"/>
                <w:szCs w:val="20"/>
              </w:rPr>
              <w:t xml:space="preserve">66.188</w:t>
            </w:r>
          </w:p>
        </w:tc>
        <w:tc>
          <w:tcPr>
            <w:tcW w:type="dxa" w:w="1201"/>
            <w:vAlign w:val="center"/>
          </w:tcPr>
          <w:p>
            <w:pPr>
              <w:spacing w:before="20" w:after="20" w:line="260" w:lineRule="auto"/>
              <w:ind w:firstLine="0"/>
              <w:jc w:val="center"/>
            </w:pPr>
            <w:r>
              <w:rPr>
                <w:sz w:val="20"/>
                <w:szCs w:val="20"/>
              </w:rPr>
              <w:t xml:space="preserve">21,22%</w:t>
            </w:r>
          </w:p>
        </w:tc>
        <w:tc>
          <w:tcPr>
            <w:tcW w:type="dxa" w:w="1201"/>
            <w:vAlign w:val="center"/>
          </w:tcPr>
          <w:p>
            <w:pPr>
              <w:spacing w:before="20" w:after="20" w:line="260" w:lineRule="auto"/>
              <w:ind w:firstLine="0"/>
              <w:jc w:val="center"/>
            </w:pPr>
            <w:r>
              <w:rPr>
                <w:sz w:val="20"/>
                <w:szCs w:val="20"/>
              </w:rPr>
              <w:t xml:space="preserve">31,25%</w:t>
            </w:r>
          </w:p>
        </w:tc>
        <w:tc>
          <w:tcPr>
            <w:tcW w:type="dxa" w:w="1531"/>
            <w:vAlign w:val="center"/>
          </w:tcPr>
          <w:p>
            <w:pPr>
              <w:spacing w:before="20" w:after="20" w:line="260" w:lineRule="auto"/>
              <w:ind w:firstLine="0"/>
              <w:jc w:val="center"/>
            </w:pPr>
            <w:r>
              <w:rPr>
                <w:sz w:val="20"/>
                <w:szCs w:val="20"/>
              </w:rPr>
              <w:t xml:space="preserve">25.402</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34.078</w:t>
            </w:r>
          </w:p>
        </w:tc>
        <w:tc>
          <w:tcPr>
            <w:tcW w:type="dxa" w:w="1201"/>
            <w:vAlign w:val="center"/>
          </w:tcPr>
          <w:p>
            <w:pPr>
              <w:spacing w:before="20" w:after="20" w:line="260" w:lineRule="auto"/>
              <w:ind w:firstLine="0"/>
              <w:jc w:val="center"/>
            </w:pPr>
            <w:r>
              <w:rPr>
                <w:sz w:val="20"/>
                <w:szCs w:val="20"/>
              </w:rPr>
              <w:t xml:space="preserve">25.526</w:t>
            </w:r>
          </w:p>
        </w:tc>
        <w:tc>
          <w:tcPr>
            <w:tcW w:type="dxa" w:w="1201"/>
            <w:vAlign w:val="center"/>
          </w:tcPr>
          <w:p>
            <w:pPr>
              <w:spacing w:before="20" w:after="20" w:line="260" w:lineRule="auto"/>
              <w:ind w:firstLine="0"/>
              <w:jc w:val="center"/>
            </w:pPr>
            <w:r>
              <w:rPr>
                <w:sz w:val="20"/>
                <w:szCs w:val="20"/>
              </w:rPr>
              <w:t xml:space="preserve">39,79%</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16.053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27.736</w:t>
            </w:r>
          </w:p>
        </w:tc>
        <w:tc>
          <w:tcPr>
            <w:tcW w:type="dxa" w:w="1201"/>
            <w:vAlign w:val="center"/>
          </w:tcPr>
          <w:p>
            <w:pPr>
              <w:spacing w:before="20" w:after="20" w:line="260" w:lineRule="auto"/>
              <w:ind w:firstLine="0"/>
              <w:jc w:val="center"/>
            </w:pPr>
            <w:r>
              <w:rPr>
                <w:sz w:val="20"/>
                <w:szCs w:val="20"/>
              </w:rPr>
              <w:t xml:space="preserve">31.829</w:t>
            </w:r>
          </w:p>
        </w:tc>
        <w:tc>
          <w:tcPr>
            <w:tcW w:type="dxa" w:w="1201"/>
            <w:vAlign w:val="center"/>
          </w:tcPr>
          <w:p>
            <w:pPr>
              <w:spacing w:before="20" w:after="20" w:line="260" w:lineRule="auto"/>
              <w:ind w:firstLine="0"/>
              <w:jc w:val="center"/>
            </w:pPr>
            <w:r>
              <w:rPr>
                <w:sz w:val="20"/>
                <w:szCs w:val="20"/>
              </w:rPr>
              <w:t xml:space="preserve">16,87%</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18.530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10.760</w:t>
            </w:r>
          </w:p>
        </w:tc>
        <w:tc>
          <w:tcPr>
            <w:tcW w:type="dxa" w:w="1201"/>
            <w:vAlign w:val="center"/>
          </w:tcPr>
          <w:p>
            <w:pPr>
              <w:spacing w:before="20" w:after="20" w:line="260" w:lineRule="auto"/>
              <w:ind w:firstLine="0"/>
              <w:jc w:val="center"/>
            </w:pPr>
            <w:r>
              <w:rPr>
                <w:sz w:val="20"/>
                <w:szCs w:val="20"/>
              </w:rPr>
              <w:t xml:space="preserve">13.155</w:t>
            </w:r>
          </w:p>
        </w:tc>
        <w:tc>
          <w:tcPr>
            <w:tcW w:type="dxa" w:w="1201"/>
            <w:vAlign w:val="center"/>
          </w:tcPr>
          <w:p>
            <w:pPr>
              <w:spacing w:before="20" w:after="20" w:line="260" w:lineRule="auto"/>
              <w:ind w:firstLine="0"/>
              <w:jc w:val="center"/>
            </w:pPr>
            <w:r>
              <w:rPr>
                <w:sz w:val="20"/>
                <w:szCs w:val="20"/>
              </w:rPr>
              <w:t xml:space="preserve">22,26%</w:t>
            </w:r>
          </w:p>
        </w:tc>
        <w:tc>
          <w:tcPr>
            <w:tcW w:type="dxa" w:w="1201"/>
            <w:vAlign w:val="center"/>
          </w:tcPr>
          <w:p>
            <w:pPr>
              <w:spacing w:before="20" w:after="20" w:line="260" w:lineRule="auto"/>
              <w:ind w:firstLine="0"/>
              <w:jc w:val="center"/>
            </w:pPr>
            <w:r>
              <w:rPr>
                <w:sz w:val="20"/>
                <w:szCs w:val="20"/>
              </w:rPr>
              <w:t xml:space="preserve">43,75%</w:t>
            </w:r>
          </w:p>
        </w:tc>
        <w:tc>
          <w:tcPr>
            <w:tcW w:type="dxa" w:w="1531"/>
            <w:vAlign w:val="center"/>
          </w:tcPr>
          <w:p>
            <w:pPr>
              <w:spacing w:before="20" w:after="20" w:line="260" w:lineRule="auto"/>
              <w:ind w:firstLine="0"/>
              <w:jc w:val="center"/>
            </w:pPr>
            <w:r>
              <w:rPr>
                <w:sz w:val="20"/>
                <w:szCs w:val="20"/>
              </w:rPr>
              <w:t xml:space="preserve">5.063</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10.142</w:t>
            </w:r>
          </w:p>
        </w:tc>
        <w:tc>
          <w:tcPr>
            <w:tcW w:type="dxa" w:w="1201"/>
            <w:vAlign w:val="center"/>
          </w:tcPr>
          <w:p>
            <w:pPr>
              <w:spacing w:before="20" w:after="20" w:line="260" w:lineRule="auto"/>
              <w:ind w:firstLine="0"/>
              <w:jc w:val="center"/>
            </w:pPr>
            <w:r>
              <w:rPr>
                <w:sz w:val="20"/>
                <w:szCs w:val="20"/>
              </w:rPr>
              <w:t xml:space="preserve">12.465</w:t>
            </w:r>
          </w:p>
        </w:tc>
        <w:tc>
          <w:tcPr>
            <w:tcW w:type="dxa" w:w="1201"/>
            <w:vAlign w:val="center"/>
          </w:tcPr>
          <w:p>
            <w:pPr>
              <w:spacing w:before="20" w:after="20" w:line="260" w:lineRule="auto"/>
              <w:ind w:firstLine="0"/>
              <w:jc w:val="center"/>
            </w:pPr>
            <w:r>
              <w:rPr>
                <w:sz w:val="20"/>
                <w:szCs w:val="20"/>
              </w:rPr>
              <w:t xml:space="preserve">23,01%</w:t>
            </w:r>
          </w:p>
        </w:tc>
        <w:tc>
          <w:tcPr>
            <w:tcW w:type="dxa" w:w="1201"/>
            <w:vAlign w:val="center"/>
          </w:tcPr>
          <w:p>
            <w:pPr>
              <w:spacing w:before="20" w:after="20" w:line="260" w:lineRule="auto"/>
              <w:ind w:firstLine="0"/>
              <w:jc w:val="center"/>
            </w:pPr>
            <w:r>
              <w:rPr>
                <w:sz w:val="20"/>
                <w:szCs w:val="20"/>
              </w:rPr>
              <w:t xml:space="preserve">43,75%</w:t>
            </w:r>
          </w:p>
        </w:tc>
        <w:tc>
          <w:tcPr>
            <w:tcW w:type="dxa" w:w="1531"/>
            <w:vAlign w:val="center"/>
          </w:tcPr>
          <w:p>
            <w:pPr>
              <w:spacing w:before="20" w:after="20" w:line="260" w:lineRule="auto"/>
              <w:ind w:firstLine="0"/>
              <w:jc w:val="center"/>
            </w:pPr>
            <w:r>
              <w:rPr>
                <w:sz w:val="20"/>
                <w:szCs w:val="20"/>
              </w:rPr>
              <w:t xml:space="preserve">4.925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EGGS</w:t>
            </w:r>
          </w:p>
        </w:tc>
        <w:tc>
          <w:tcPr>
            <w:tcW w:type="dxa" w:w="1201"/>
            <w:vAlign w:val="center"/>
          </w:tcPr>
          <w:p>
            <w:pPr>
              <w:spacing w:before="20" w:after="20" w:line="260" w:lineRule="auto"/>
              <w:ind w:firstLine="0"/>
              <w:jc w:val="center"/>
            </w:pPr>
            <w:r>
              <w:rPr>
                <w:sz w:val="20"/>
                <w:szCs w:val="20"/>
              </w:rPr>
              <w:t xml:space="preserve">8.578</w:t>
            </w:r>
          </w:p>
        </w:tc>
        <w:tc>
          <w:tcPr>
            <w:tcW w:type="dxa" w:w="1201"/>
            <w:vAlign w:val="center"/>
          </w:tcPr>
          <w:p>
            <w:pPr>
              <w:spacing w:before="20" w:after="20" w:line="260" w:lineRule="auto"/>
              <w:ind w:firstLine="0"/>
              <w:jc w:val="center"/>
            </w:pPr>
            <w:r>
              <w:rPr>
                <w:sz w:val="20"/>
                <w:szCs w:val="20"/>
              </w:rPr>
              <w:t xml:space="preserve">8.400</w:t>
            </w:r>
          </w:p>
        </w:tc>
        <w:tc>
          <w:tcPr>
            <w:tcW w:type="dxa" w:w="1201"/>
            <w:vAlign w:val="center"/>
          </w:tcPr>
          <w:p>
            <w:pPr>
              <w:spacing w:before="20" w:after="20" w:line="260" w:lineRule="auto"/>
              <w:ind w:firstLine="0"/>
              <w:jc w:val="center"/>
            </w:pPr>
            <w:r>
              <w:rPr>
                <w:sz w:val="20"/>
                <w:szCs w:val="20"/>
              </w:rPr>
              <w:t xml:space="preserve">26,56%</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5.133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5.925</w:t>
            </w:r>
          </w:p>
        </w:tc>
        <w:tc>
          <w:tcPr>
            <w:tcW w:type="dxa" w:w="1201"/>
            <w:vAlign w:val="center"/>
          </w:tcPr>
          <w:p>
            <w:pPr>
              <w:spacing w:before="20" w:after="20" w:line="260" w:lineRule="auto"/>
              <w:ind w:firstLine="0"/>
              <w:jc w:val="center"/>
            </w:pPr>
            <w:r>
              <w:rPr>
                <w:sz w:val="20"/>
                <w:szCs w:val="20"/>
              </w:rPr>
              <w:t xml:space="preserve">6.314</w:t>
            </w:r>
          </w:p>
        </w:tc>
        <w:tc>
          <w:tcPr>
            <w:tcW w:type="dxa" w:w="1201"/>
            <w:vAlign w:val="center"/>
          </w:tcPr>
          <w:p>
            <w:pPr>
              <w:spacing w:before="20" w:after="20" w:line="260" w:lineRule="auto"/>
              <w:ind w:firstLine="0"/>
              <w:jc w:val="center"/>
            </w:pPr>
            <w:r>
              <w:rPr>
                <w:sz w:val="20"/>
                <w:szCs w:val="20"/>
              </w:rPr>
              <w:t xml:space="preserve">19,54%</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2.891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5.148</w:t>
            </w:r>
          </w:p>
        </w:tc>
        <w:tc>
          <w:tcPr>
            <w:tcW w:type="dxa" w:w="1201"/>
            <w:vAlign w:val="center"/>
          </w:tcPr>
          <w:p>
            <w:pPr>
              <w:spacing w:before="20" w:after="20" w:line="260" w:lineRule="auto"/>
              <w:ind w:firstLine="0"/>
              <w:jc w:val="center"/>
            </w:pPr>
            <w:r>
              <w:rPr>
                <w:sz w:val="20"/>
                <w:szCs w:val="20"/>
              </w:rPr>
              <w:t xml:space="preserve">5.508</w:t>
            </w:r>
          </w:p>
        </w:tc>
        <w:tc>
          <w:tcPr>
            <w:tcW w:type="dxa" w:w="1201"/>
            <w:vAlign w:val="center"/>
          </w:tcPr>
          <w:p>
            <w:pPr>
              <w:spacing w:before="20" w:after="20" w:line="260" w:lineRule="auto"/>
              <w:ind w:firstLine="0"/>
              <w:jc w:val="center"/>
            </w:pPr>
            <w:r>
              <w:rPr>
                <w:sz w:val="20"/>
                <w:szCs w:val="20"/>
              </w:rPr>
              <w:t xml:space="preserve">13,48%</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2.570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3.751</w:t>
            </w:r>
          </w:p>
        </w:tc>
        <w:tc>
          <w:tcPr>
            <w:tcW w:type="dxa" w:w="1201"/>
            <w:vAlign w:val="center"/>
          </w:tcPr>
          <w:p>
            <w:pPr>
              <w:spacing w:before="20" w:after="20" w:line="260" w:lineRule="auto"/>
              <w:ind w:firstLine="0"/>
              <w:jc w:val="center"/>
            </w:pPr>
            <w:r>
              <w:rPr>
                <w:sz w:val="20"/>
                <w:szCs w:val="20"/>
              </w:rPr>
              <w:t xml:space="preserve">4.155</w:t>
            </w:r>
          </w:p>
        </w:tc>
        <w:tc>
          <w:tcPr>
            <w:tcW w:type="dxa" w:w="1201"/>
            <w:vAlign w:val="center"/>
          </w:tcPr>
          <w:p>
            <w:pPr>
              <w:spacing w:before="20" w:after="20" w:line="260" w:lineRule="auto"/>
              <w:ind w:firstLine="0"/>
              <w:jc w:val="center"/>
            </w:pPr>
            <w:r>
              <w:rPr>
                <w:sz w:val="20"/>
                <w:szCs w:val="20"/>
              </w:rPr>
              <w:t xml:space="preserve">12,42%</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1.922</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A.40. Cửa hàng 40 (Machala, El Oro; loại C, cụm 3)</w:t>
      </w:r>
    </w:p>
    <w:p>
      <w:pPr>
        <w:keepLines w:val="0"/>
        <w:spacing w:after="120"/>
        <w:ind w:firstLine="567"/>
      </w:pPr>
      <w:r>
        <w:t xml:space="preserve">Trong 16 ngày của tập kiểm tra cuối, cửa hàng 40 có tổng doanh số thực tế 287.751 (hạng 15/54 về quy mô) và tổng dự báo 254.981, tức dự báo thấp hơn thực tế 11,39%. WAPE của cửa hàng là 18,75% (hạng 42/54 từ thấp đến cao), MAE 102,200, RMSE 429,706 và bias 62,064. Độ bao phủ thực nghiệm của khoảng P10–P90 đạt 74,24% (hạng 34/54), so với mức danh nghĩa 80%. Nhóm có doanh số thực tế lớn nhất là GROCERY I (102.278; WAPE 15,08%; bao phủ 56,25%). Trong các nhóm có quy mô từ trung vị của cửa hàng trở lên, nhóm có WAPE thấp nhất là MEATS (6,12%). Có 3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220.541, 254.851 và 311.129; tổng lượng bổ sung gợi ý theo giả định là 107.248. Cửa hàng có 20 nhóm mang nhãn HIGH, 11 nhóm MEDIUM và 2 nhóm LOW. Bảng A.42 liệt kê mười nhóm có doanh số thực tế lớn nhất của cửa hàng.</w:t>
      </w:r>
    </w:p>
    <w:p>
      <w:pPr>
        <w:keepNext/>
        <w:spacing w:before="120" w:after="60"/>
        <w:ind w:firstLine="0"/>
        <w:jc w:val="center"/>
      </w:pPr>
      <w:r>
        <w:t xml:space="preserve">Bảng A.42. Mười nhóm sản phẩm có doanh số thực tế lớn nhất của cửa hàng 40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102.278</w:t>
            </w:r>
          </w:p>
        </w:tc>
        <w:tc>
          <w:tcPr>
            <w:tcW w:type="dxa" w:w="1201"/>
            <w:vAlign w:val="center"/>
          </w:tcPr>
          <w:p>
            <w:pPr>
              <w:spacing w:before="20" w:after="20" w:line="260" w:lineRule="auto"/>
              <w:ind w:firstLine="0"/>
              <w:jc w:val="center"/>
            </w:pPr>
            <w:r>
              <w:rPr>
                <w:sz w:val="20"/>
                <w:szCs w:val="20"/>
              </w:rPr>
              <w:t xml:space="preserve">87.595</w:t>
            </w:r>
          </w:p>
        </w:tc>
        <w:tc>
          <w:tcPr>
            <w:tcW w:type="dxa" w:w="1201"/>
            <w:vAlign w:val="center"/>
          </w:tcPr>
          <w:p>
            <w:pPr>
              <w:spacing w:before="20" w:after="20" w:line="260" w:lineRule="auto"/>
              <w:ind w:firstLine="0"/>
              <w:jc w:val="center"/>
            </w:pPr>
            <w:r>
              <w:rPr>
                <w:sz w:val="20"/>
                <w:szCs w:val="20"/>
              </w:rPr>
              <w:t xml:space="preserve">15,08%</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29.683</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85.249</w:t>
            </w:r>
          </w:p>
        </w:tc>
        <w:tc>
          <w:tcPr>
            <w:tcW w:type="dxa" w:w="1201"/>
            <w:vAlign w:val="center"/>
          </w:tcPr>
          <w:p>
            <w:pPr>
              <w:spacing w:before="20" w:after="20" w:line="260" w:lineRule="auto"/>
              <w:ind w:firstLine="0"/>
              <w:jc w:val="center"/>
            </w:pPr>
            <w:r>
              <w:rPr>
                <w:sz w:val="20"/>
                <w:szCs w:val="20"/>
              </w:rPr>
              <w:t xml:space="preserve">68.849</w:t>
            </w:r>
          </w:p>
        </w:tc>
        <w:tc>
          <w:tcPr>
            <w:tcW w:type="dxa" w:w="1201"/>
            <w:vAlign w:val="center"/>
          </w:tcPr>
          <w:p>
            <w:pPr>
              <w:spacing w:before="20" w:after="20" w:line="260" w:lineRule="auto"/>
              <w:ind w:firstLine="0"/>
              <w:jc w:val="center"/>
            </w:pPr>
            <w:r>
              <w:rPr>
                <w:sz w:val="20"/>
                <w:szCs w:val="20"/>
              </w:rPr>
              <w:t xml:space="preserve">23,30%</w:t>
            </w:r>
          </w:p>
        </w:tc>
        <w:tc>
          <w:tcPr>
            <w:tcW w:type="dxa" w:w="1201"/>
            <w:vAlign w:val="center"/>
          </w:tcPr>
          <w:p>
            <w:pPr>
              <w:spacing w:before="20" w:after="20" w:line="260" w:lineRule="auto"/>
              <w:ind w:firstLine="0"/>
              <w:jc w:val="center"/>
            </w:pPr>
            <w:r>
              <w:rPr>
                <w:sz w:val="20"/>
                <w:szCs w:val="20"/>
              </w:rPr>
              <w:t xml:space="preserve">43,75%</w:t>
            </w:r>
          </w:p>
        </w:tc>
        <w:tc>
          <w:tcPr>
            <w:tcW w:type="dxa" w:w="1531"/>
            <w:vAlign w:val="center"/>
          </w:tcPr>
          <w:p>
            <w:pPr>
              <w:spacing w:before="20" w:after="20" w:line="260" w:lineRule="auto"/>
              <w:ind w:firstLine="0"/>
              <w:jc w:val="center"/>
            </w:pPr>
            <w:r>
              <w:rPr>
                <w:sz w:val="20"/>
                <w:szCs w:val="20"/>
              </w:rPr>
              <w:t xml:space="preserve">25.934</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30.955</w:t>
            </w:r>
          </w:p>
        </w:tc>
        <w:tc>
          <w:tcPr>
            <w:tcW w:type="dxa" w:w="1201"/>
            <w:vAlign w:val="center"/>
          </w:tcPr>
          <w:p>
            <w:pPr>
              <w:spacing w:before="20" w:after="20" w:line="260" w:lineRule="auto"/>
              <w:ind w:firstLine="0"/>
              <w:jc w:val="center"/>
            </w:pPr>
            <w:r>
              <w:rPr>
                <w:sz w:val="20"/>
                <w:szCs w:val="20"/>
              </w:rPr>
              <w:t xml:space="preserve">28.825</w:t>
            </w:r>
          </w:p>
        </w:tc>
        <w:tc>
          <w:tcPr>
            <w:tcW w:type="dxa" w:w="1201"/>
            <w:vAlign w:val="center"/>
          </w:tcPr>
          <w:p>
            <w:pPr>
              <w:spacing w:before="20" w:after="20" w:line="260" w:lineRule="auto"/>
              <w:ind w:firstLine="0"/>
              <w:jc w:val="center"/>
            </w:pPr>
            <w:r>
              <w:rPr>
                <w:sz w:val="20"/>
                <w:szCs w:val="20"/>
              </w:rPr>
              <w:t xml:space="preserve">24,89%</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17.321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20.689</w:t>
            </w:r>
          </w:p>
        </w:tc>
        <w:tc>
          <w:tcPr>
            <w:tcW w:type="dxa" w:w="1201"/>
            <w:vAlign w:val="center"/>
          </w:tcPr>
          <w:p>
            <w:pPr>
              <w:spacing w:before="20" w:after="20" w:line="260" w:lineRule="auto"/>
              <w:ind w:firstLine="0"/>
              <w:jc w:val="center"/>
            </w:pPr>
            <w:r>
              <w:rPr>
                <w:sz w:val="20"/>
                <w:szCs w:val="20"/>
              </w:rPr>
              <w:t xml:space="preserve">21.612</w:t>
            </w:r>
          </w:p>
        </w:tc>
        <w:tc>
          <w:tcPr>
            <w:tcW w:type="dxa" w:w="1201"/>
            <w:vAlign w:val="center"/>
          </w:tcPr>
          <w:p>
            <w:pPr>
              <w:spacing w:before="20" w:after="20" w:line="260" w:lineRule="auto"/>
              <w:ind w:firstLine="0"/>
              <w:jc w:val="center"/>
            </w:pPr>
            <w:r>
              <w:rPr>
                <w:sz w:val="20"/>
                <w:szCs w:val="20"/>
              </w:rPr>
              <w:t xml:space="preserve">9,28%</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10.404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10.874</w:t>
            </w:r>
          </w:p>
        </w:tc>
        <w:tc>
          <w:tcPr>
            <w:tcW w:type="dxa" w:w="1201"/>
            <w:vAlign w:val="center"/>
          </w:tcPr>
          <w:p>
            <w:pPr>
              <w:spacing w:before="20" w:after="20" w:line="260" w:lineRule="auto"/>
              <w:ind w:firstLine="0"/>
              <w:jc w:val="center"/>
            </w:pPr>
            <w:r>
              <w:rPr>
                <w:sz w:val="20"/>
                <w:szCs w:val="20"/>
              </w:rPr>
              <w:t xml:space="preserve">10.985</w:t>
            </w:r>
          </w:p>
        </w:tc>
        <w:tc>
          <w:tcPr>
            <w:tcW w:type="dxa" w:w="1201"/>
            <w:vAlign w:val="center"/>
          </w:tcPr>
          <w:p>
            <w:pPr>
              <w:spacing w:before="20" w:after="20" w:line="260" w:lineRule="auto"/>
              <w:ind w:firstLine="0"/>
              <w:jc w:val="center"/>
            </w:pPr>
            <w:r>
              <w:rPr>
                <w:sz w:val="20"/>
                <w:szCs w:val="20"/>
              </w:rPr>
              <w:t xml:space="preserve">7,73%</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4.629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7.574</w:t>
            </w:r>
          </w:p>
        </w:tc>
        <w:tc>
          <w:tcPr>
            <w:tcW w:type="dxa" w:w="1201"/>
            <w:vAlign w:val="center"/>
          </w:tcPr>
          <w:p>
            <w:pPr>
              <w:spacing w:before="20" w:after="20" w:line="260" w:lineRule="auto"/>
              <w:ind w:firstLine="0"/>
              <w:jc w:val="center"/>
            </w:pPr>
            <w:r>
              <w:rPr>
                <w:sz w:val="20"/>
                <w:szCs w:val="20"/>
              </w:rPr>
              <w:t xml:space="preserve">6.619</w:t>
            </w:r>
          </w:p>
        </w:tc>
        <w:tc>
          <w:tcPr>
            <w:tcW w:type="dxa" w:w="1201"/>
            <w:vAlign w:val="center"/>
          </w:tcPr>
          <w:p>
            <w:pPr>
              <w:spacing w:before="20" w:after="20" w:line="260" w:lineRule="auto"/>
              <w:ind w:firstLine="0"/>
              <w:jc w:val="center"/>
            </w:pPr>
            <w:r>
              <w:rPr>
                <w:sz w:val="20"/>
                <w:szCs w:val="20"/>
              </w:rPr>
              <w:t xml:space="preserve">13,69%</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2.952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7.344</w:t>
            </w:r>
          </w:p>
        </w:tc>
        <w:tc>
          <w:tcPr>
            <w:tcW w:type="dxa" w:w="1201"/>
            <w:vAlign w:val="center"/>
          </w:tcPr>
          <w:p>
            <w:pPr>
              <w:spacing w:before="20" w:after="20" w:line="260" w:lineRule="auto"/>
              <w:ind w:firstLine="0"/>
              <w:jc w:val="center"/>
            </w:pPr>
            <w:r>
              <w:rPr>
                <w:sz w:val="20"/>
                <w:szCs w:val="20"/>
              </w:rPr>
              <w:t xml:space="preserve">6.552</w:t>
            </w:r>
          </w:p>
        </w:tc>
        <w:tc>
          <w:tcPr>
            <w:tcW w:type="dxa" w:w="1201"/>
            <w:vAlign w:val="center"/>
          </w:tcPr>
          <w:p>
            <w:pPr>
              <w:spacing w:before="20" w:after="20" w:line="260" w:lineRule="auto"/>
              <w:ind w:firstLine="0"/>
              <w:jc w:val="center"/>
            </w:pPr>
            <w:r>
              <w:rPr>
                <w:sz w:val="20"/>
                <w:szCs w:val="20"/>
              </w:rPr>
              <w:t xml:space="preserve">33,45%</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2.939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5.337</w:t>
            </w:r>
          </w:p>
        </w:tc>
        <w:tc>
          <w:tcPr>
            <w:tcW w:type="dxa" w:w="1201"/>
            <w:vAlign w:val="center"/>
          </w:tcPr>
          <w:p>
            <w:pPr>
              <w:spacing w:before="20" w:after="20" w:line="260" w:lineRule="auto"/>
              <w:ind w:firstLine="0"/>
              <w:jc w:val="center"/>
            </w:pPr>
            <w:r>
              <w:rPr>
                <w:sz w:val="20"/>
                <w:szCs w:val="20"/>
              </w:rPr>
              <w:t xml:space="preserve">5.209</w:t>
            </w:r>
          </w:p>
        </w:tc>
        <w:tc>
          <w:tcPr>
            <w:tcW w:type="dxa" w:w="1201"/>
            <w:vAlign w:val="center"/>
          </w:tcPr>
          <w:p>
            <w:pPr>
              <w:spacing w:before="20" w:after="20" w:line="260" w:lineRule="auto"/>
              <w:ind w:firstLine="0"/>
              <w:jc w:val="center"/>
            </w:pPr>
            <w:r>
              <w:rPr>
                <w:sz w:val="20"/>
                <w:szCs w:val="20"/>
              </w:rPr>
              <w:t xml:space="preserve">13,86%</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2.188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4.469</w:t>
            </w:r>
          </w:p>
        </w:tc>
        <w:tc>
          <w:tcPr>
            <w:tcW w:type="dxa" w:w="1201"/>
            <w:vAlign w:val="center"/>
          </w:tcPr>
          <w:p>
            <w:pPr>
              <w:spacing w:before="20" w:after="20" w:line="260" w:lineRule="auto"/>
              <w:ind w:firstLine="0"/>
              <w:jc w:val="center"/>
            </w:pPr>
            <w:r>
              <w:rPr>
                <w:sz w:val="20"/>
                <w:szCs w:val="20"/>
              </w:rPr>
              <w:t xml:space="preserve">5.236</w:t>
            </w:r>
          </w:p>
        </w:tc>
        <w:tc>
          <w:tcPr>
            <w:tcW w:type="dxa" w:w="1201"/>
            <w:vAlign w:val="center"/>
          </w:tcPr>
          <w:p>
            <w:pPr>
              <w:spacing w:before="20" w:after="20" w:line="260" w:lineRule="auto"/>
              <w:ind w:firstLine="0"/>
              <w:jc w:val="center"/>
            </w:pPr>
            <w:r>
              <w:rPr>
                <w:sz w:val="20"/>
                <w:szCs w:val="20"/>
              </w:rPr>
              <w:t xml:space="preserve">17,55%</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2.274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EGGS</w:t>
            </w:r>
          </w:p>
        </w:tc>
        <w:tc>
          <w:tcPr>
            <w:tcW w:type="dxa" w:w="1201"/>
            <w:vAlign w:val="center"/>
          </w:tcPr>
          <w:p>
            <w:pPr>
              <w:spacing w:before="20" w:after="20" w:line="260" w:lineRule="auto"/>
              <w:ind w:firstLine="0"/>
              <w:jc w:val="center"/>
            </w:pPr>
            <w:r>
              <w:rPr>
                <w:sz w:val="20"/>
                <w:szCs w:val="20"/>
              </w:rPr>
              <w:t xml:space="preserve">3.161</w:t>
            </w:r>
          </w:p>
        </w:tc>
        <w:tc>
          <w:tcPr>
            <w:tcW w:type="dxa" w:w="1201"/>
            <w:vAlign w:val="center"/>
          </w:tcPr>
          <w:p>
            <w:pPr>
              <w:spacing w:before="20" w:after="20" w:line="260" w:lineRule="auto"/>
              <w:ind w:firstLine="0"/>
              <w:jc w:val="center"/>
            </w:pPr>
            <w:r>
              <w:rPr>
                <w:sz w:val="20"/>
                <w:szCs w:val="20"/>
              </w:rPr>
              <w:t xml:space="preserve">2.885</w:t>
            </w:r>
          </w:p>
        </w:tc>
        <w:tc>
          <w:tcPr>
            <w:tcW w:type="dxa" w:w="1201"/>
            <w:vAlign w:val="center"/>
          </w:tcPr>
          <w:p>
            <w:pPr>
              <w:spacing w:before="20" w:after="20" w:line="260" w:lineRule="auto"/>
              <w:ind w:firstLine="0"/>
              <w:jc w:val="center"/>
            </w:pPr>
            <w:r>
              <w:rPr>
                <w:sz w:val="20"/>
                <w:szCs w:val="20"/>
              </w:rPr>
              <w:t xml:space="preserve">15,32%</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1.388</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A.41. Cửa hàng 41 (Machala, El Oro; loại D, cụm 4)</w:t>
      </w:r>
    </w:p>
    <w:p>
      <w:pPr>
        <w:keepLines w:val="0"/>
        <w:spacing w:after="120"/>
        <w:ind w:firstLine="567"/>
      </w:pPr>
      <w:r>
        <w:t xml:space="preserve">Trong 16 ngày của tập kiểm tra cuối, cửa hàng 41 có tổng doanh số thực tế 200.790 (hạng 29/54 về quy mô) và tổng dự báo 224.125, tức dự báo cao hơn thực tế 11,62%. WAPE của cửa hàng là 21,32% (hạng 48/54 từ thấp đến cao), MAE 81,088, RMSE 238,117 và bias −44,195. Độ bao phủ thực nghiệm của khoảng P10–P90 đạt 72,54% (hạng 41/54), so với mức danh nghĩa 80%. Nhóm có doanh số thực tế lớn nhất là GROCERY I (60.791; WAPE 12,39%; bao phủ 50,00%). Trong các nhóm có quy mô từ trung vị của cửa hàng trở lên, nhóm có WAPE thấp nhất là POULTRY (7,82%). Có 3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186.112, 223.992 và 285.709; tổng lượng bổ sung gợi ý theo giả định là 106.516. Cửa hàng có 19 nhóm mang nhãn HIGH, 13 nhóm MEDIUM và 1 nhóm LOW. Bảng A.43 liệt kê mười nhóm có doanh số thực tế lớn nhất của cửa hàng.</w:t>
      </w:r>
    </w:p>
    <w:p>
      <w:pPr>
        <w:keepNext/>
        <w:spacing w:before="120" w:after="60"/>
        <w:ind w:firstLine="0"/>
        <w:jc w:val="center"/>
      </w:pPr>
      <w:r>
        <w:t xml:space="preserve">Bảng A.43. Mười nhóm sản phẩm có doanh số thực tế lớn nhất của cửa hàng 41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60.791</w:t>
            </w:r>
          </w:p>
        </w:tc>
        <w:tc>
          <w:tcPr>
            <w:tcW w:type="dxa" w:w="1201"/>
            <w:vAlign w:val="center"/>
          </w:tcPr>
          <w:p>
            <w:pPr>
              <w:spacing w:before="20" w:after="20" w:line="260" w:lineRule="auto"/>
              <w:ind w:firstLine="0"/>
              <w:jc w:val="center"/>
            </w:pPr>
            <w:r>
              <w:rPr>
                <w:sz w:val="20"/>
                <w:szCs w:val="20"/>
              </w:rPr>
              <w:t xml:space="preserve">63.908</w:t>
            </w:r>
          </w:p>
        </w:tc>
        <w:tc>
          <w:tcPr>
            <w:tcW w:type="dxa" w:w="1201"/>
            <w:vAlign w:val="center"/>
          </w:tcPr>
          <w:p>
            <w:pPr>
              <w:spacing w:before="20" w:after="20" w:line="260" w:lineRule="auto"/>
              <w:ind w:firstLine="0"/>
              <w:jc w:val="center"/>
            </w:pPr>
            <w:r>
              <w:rPr>
                <w:sz w:val="20"/>
                <w:szCs w:val="20"/>
              </w:rPr>
              <w:t xml:space="preserve">12,39%</w:t>
            </w:r>
          </w:p>
        </w:tc>
        <w:tc>
          <w:tcPr>
            <w:tcW w:type="dxa" w:w="1201"/>
            <w:vAlign w:val="center"/>
          </w:tcPr>
          <w:p>
            <w:pPr>
              <w:spacing w:before="20" w:after="20" w:line="260" w:lineRule="auto"/>
              <w:ind w:firstLine="0"/>
              <w:jc w:val="center"/>
            </w:pPr>
            <w:r>
              <w:rPr>
                <w:sz w:val="20"/>
                <w:szCs w:val="20"/>
              </w:rPr>
              <w:t xml:space="preserve">50,00%</w:t>
            </w:r>
          </w:p>
        </w:tc>
        <w:tc>
          <w:tcPr>
            <w:tcW w:type="dxa" w:w="1531"/>
            <w:vAlign w:val="center"/>
          </w:tcPr>
          <w:p>
            <w:pPr>
              <w:spacing w:before="20" w:after="20" w:line="260" w:lineRule="auto"/>
              <w:ind w:firstLine="0"/>
              <w:jc w:val="center"/>
            </w:pPr>
            <w:r>
              <w:rPr>
                <w:sz w:val="20"/>
                <w:szCs w:val="20"/>
              </w:rPr>
              <w:t xml:space="preserve">24.946</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37.439</w:t>
            </w:r>
          </w:p>
        </w:tc>
        <w:tc>
          <w:tcPr>
            <w:tcW w:type="dxa" w:w="1201"/>
            <w:vAlign w:val="center"/>
          </w:tcPr>
          <w:p>
            <w:pPr>
              <w:spacing w:before="20" w:after="20" w:line="260" w:lineRule="auto"/>
              <w:ind w:firstLine="0"/>
              <w:jc w:val="center"/>
            </w:pPr>
            <w:r>
              <w:rPr>
                <w:sz w:val="20"/>
                <w:szCs w:val="20"/>
              </w:rPr>
              <w:t xml:space="preserve">48.617</w:t>
            </w:r>
          </w:p>
        </w:tc>
        <w:tc>
          <w:tcPr>
            <w:tcW w:type="dxa" w:w="1201"/>
            <w:vAlign w:val="center"/>
          </w:tcPr>
          <w:p>
            <w:pPr>
              <w:spacing w:before="20" w:after="20" w:line="260" w:lineRule="auto"/>
              <w:ind w:firstLine="0"/>
              <w:jc w:val="center"/>
            </w:pPr>
            <w:r>
              <w:rPr>
                <w:sz w:val="20"/>
                <w:szCs w:val="20"/>
              </w:rPr>
              <w:t xml:space="preserve">41,01%</w:t>
            </w:r>
          </w:p>
        </w:tc>
        <w:tc>
          <w:tcPr>
            <w:tcW w:type="dxa" w:w="1201"/>
            <w:vAlign w:val="center"/>
          </w:tcPr>
          <w:p>
            <w:pPr>
              <w:spacing w:before="20" w:after="20" w:line="260" w:lineRule="auto"/>
              <w:ind w:firstLine="0"/>
              <w:jc w:val="center"/>
            </w:pPr>
            <w:r>
              <w:rPr>
                <w:sz w:val="20"/>
                <w:szCs w:val="20"/>
              </w:rPr>
              <w:t xml:space="preserve">12,50%</w:t>
            </w:r>
          </w:p>
        </w:tc>
        <w:tc>
          <w:tcPr>
            <w:tcW w:type="dxa" w:w="1531"/>
            <w:vAlign w:val="center"/>
          </w:tcPr>
          <w:p>
            <w:pPr>
              <w:spacing w:before="20" w:after="20" w:line="260" w:lineRule="auto"/>
              <w:ind w:firstLine="0"/>
              <w:jc w:val="center"/>
            </w:pPr>
            <w:r>
              <w:rPr>
                <w:sz w:val="20"/>
                <w:szCs w:val="20"/>
              </w:rPr>
              <w:t xml:space="preserve">21.888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34.651</w:t>
            </w:r>
          </w:p>
        </w:tc>
        <w:tc>
          <w:tcPr>
            <w:tcW w:type="dxa" w:w="1201"/>
            <w:vAlign w:val="center"/>
          </w:tcPr>
          <w:p>
            <w:pPr>
              <w:spacing w:before="20" w:after="20" w:line="260" w:lineRule="auto"/>
              <w:ind w:firstLine="0"/>
              <w:jc w:val="center"/>
            </w:pPr>
            <w:r>
              <w:rPr>
                <w:sz w:val="20"/>
                <w:szCs w:val="20"/>
              </w:rPr>
              <w:t xml:space="preserve">36.155</w:t>
            </w:r>
          </w:p>
        </w:tc>
        <w:tc>
          <w:tcPr>
            <w:tcW w:type="dxa" w:w="1201"/>
            <w:vAlign w:val="center"/>
          </w:tcPr>
          <w:p>
            <w:pPr>
              <w:spacing w:before="20" w:after="20" w:line="260" w:lineRule="auto"/>
              <w:ind w:firstLine="0"/>
              <w:jc w:val="center"/>
            </w:pPr>
            <w:r>
              <w:rPr>
                <w:sz w:val="20"/>
                <w:szCs w:val="20"/>
              </w:rPr>
              <w:t xml:space="preserve">7,92%</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19.395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15.844</w:t>
            </w:r>
          </w:p>
        </w:tc>
        <w:tc>
          <w:tcPr>
            <w:tcW w:type="dxa" w:w="1201"/>
            <w:vAlign w:val="center"/>
          </w:tcPr>
          <w:p>
            <w:pPr>
              <w:spacing w:before="20" w:after="20" w:line="260" w:lineRule="auto"/>
              <w:ind w:firstLine="0"/>
              <w:jc w:val="center"/>
            </w:pPr>
            <w:r>
              <w:rPr>
                <w:sz w:val="20"/>
                <w:szCs w:val="20"/>
              </w:rPr>
              <w:t xml:space="preserve">20.786</w:t>
            </w:r>
          </w:p>
        </w:tc>
        <w:tc>
          <w:tcPr>
            <w:tcW w:type="dxa" w:w="1201"/>
            <w:vAlign w:val="center"/>
          </w:tcPr>
          <w:p>
            <w:pPr>
              <w:spacing w:before="20" w:after="20" w:line="260" w:lineRule="auto"/>
              <w:ind w:firstLine="0"/>
              <w:jc w:val="center"/>
            </w:pPr>
            <w:r>
              <w:rPr>
                <w:sz w:val="20"/>
                <w:szCs w:val="20"/>
              </w:rPr>
              <w:t xml:space="preserve">35,60%</w:t>
            </w:r>
          </w:p>
        </w:tc>
        <w:tc>
          <w:tcPr>
            <w:tcW w:type="dxa" w:w="1201"/>
            <w:vAlign w:val="center"/>
          </w:tcPr>
          <w:p>
            <w:pPr>
              <w:spacing w:before="20" w:after="20" w:line="260" w:lineRule="auto"/>
              <w:ind w:firstLine="0"/>
              <w:jc w:val="center"/>
            </w:pPr>
            <w:r>
              <w:rPr>
                <w:sz w:val="20"/>
                <w:szCs w:val="20"/>
              </w:rPr>
              <w:t xml:space="preserve">37,50%</w:t>
            </w:r>
          </w:p>
        </w:tc>
        <w:tc>
          <w:tcPr>
            <w:tcW w:type="dxa" w:w="1531"/>
            <w:vAlign w:val="center"/>
          </w:tcPr>
          <w:p>
            <w:pPr>
              <w:spacing w:before="20" w:after="20" w:line="260" w:lineRule="auto"/>
              <w:ind w:firstLine="0"/>
              <w:jc w:val="center"/>
            </w:pPr>
            <w:r>
              <w:rPr>
                <w:sz w:val="20"/>
                <w:szCs w:val="20"/>
              </w:rPr>
              <w:t xml:space="preserve">12.064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11.700</w:t>
            </w:r>
          </w:p>
        </w:tc>
        <w:tc>
          <w:tcPr>
            <w:tcW w:type="dxa" w:w="1201"/>
            <w:vAlign w:val="center"/>
          </w:tcPr>
          <w:p>
            <w:pPr>
              <w:spacing w:before="20" w:after="20" w:line="260" w:lineRule="auto"/>
              <w:ind w:firstLine="0"/>
              <w:jc w:val="center"/>
            </w:pPr>
            <w:r>
              <w:rPr>
                <w:sz w:val="20"/>
                <w:szCs w:val="20"/>
              </w:rPr>
              <w:t xml:space="preserve">12.968</w:t>
            </w:r>
          </w:p>
        </w:tc>
        <w:tc>
          <w:tcPr>
            <w:tcW w:type="dxa" w:w="1201"/>
            <w:vAlign w:val="center"/>
          </w:tcPr>
          <w:p>
            <w:pPr>
              <w:spacing w:before="20" w:after="20" w:line="260" w:lineRule="auto"/>
              <w:ind w:firstLine="0"/>
              <w:jc w:val="center"/>
            </w:pPr>
            <w:r>
              <w:rPr>
                <w:sz w:val="20"/>
                <w:szCs w:val="20"/>
              </w:rPr>
              <w:t xml:space="preserve">11,88%</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5.634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7.989</w:t>
            </w:r>
          </w:p>
        </w:tc>
        <w:tc>
          <w:tcPr>
            <w:tcW w:type="dxa" w:w="1201"/>
            <w:vAlign w:val="center"/>
          </w:tcPr>
          <w:p>
            <w:pPr>
              <w:spacing w:before="20" w:after="20" w:line="260" w:lineRule="auto"/>
              <w:ind w:firstLine="0"/>
              <w:jc w:val="center"/>
            </w:pPr>
            <w:r>
              <w:rPr>
                <w:sz w:val="20"/>
                <w:szCs w:val="20"/>
              </w:rPr>
              <w:t xml:space="preserve">8.420</w:t>
            </w:r>
          </w:p>
        </w:tc>
        <w:tc>
          <w:tcPr>
            <w:tcW w:type="dxa" w:w="1201"/>
            <w:vAlign w:val="center"/>
          </w:tcPr>
          <w:p>
            <w:pPr>
              <w:spacing w:before="20" w:after="20" w:line="260" w:lineRule="auto"/>
              <w:ind w:firstLine="0"/>
              <w:jc w:val="center"/>
            </w:pPr>
            <w:r>
              <w:rPr>
                <w:sz w:val="20"/>
                <w:szCs w:val="20"/>
              </w:rPr>
              <w:t xml:space="preserve">9,14%</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4.036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6.646</w:t>
            </w:r>
          </w:p>
        </w:tc>
        <w:tc>
          <w:tcPr>
            <w:tcW w:type="dxa" w:w="1201"/>
            <w:vAlign w:val="center"/>
          </w:tcPr>
          <w:p>
            <w:pPr>
              <w:spacing w:before="20" w:after="20" w:line="260" w:lineRule="auto"/>
              <w:ind w:firstLine="0"/>
              <w:jc w:val="center"/>
            </w:pPr>
            <w:r>
              <w:rPr>
                <w:sz w:val="20"/>
                <w:szCs w:val="20"/>
              </w:rPr>
              <w:t xml:space="preserve">6.817</w:t>
            </w:r>
          </w:p>
        </w:tc>
        <w:tc>
          <w:tcPr>
            <w:tcW w:type="dxa" w:w="1201"/>
            <w:vAlign w:val="center"/>
          </w:tcPr>
          <w:p>
            <w:pPr>
              <w:spacing w:before="20" w:after="20" w:line="260" w:lineRule="auto"/>
              <w:ind w:firstLine="0"/>
              <w:jc w:val="center"/>
            </w:pPr>
            <w:r>
              <w:rPr>
                <w:sz w:val="20"/>
                <w:szCs w:val="20"/>
              </w:rPr>
              <w:t xml:space="preserve">49,67%</w:t>
            </w:r>
          </w:p>
        </w:tc>
        <w:tc>
          <w:tcPr>
            <w:tcW w:type="dxa" w:w="1201"/>
            <w:vAlign w:val="center"/>
          </w:tcPr>
          <w:p>
            <w:pPr>
              <w:spacing w:before="20" w:after="20" w:line="260" w:lineRule="auto"/>
              <w:ind w:firstLine="0"/>
              <w:jc w:val="center"/>
            </w:pPr>
            <w:r>
              <w:rPr>
                <w:sz w:val="20"/>
                <w:szCs w:val="20"/>
              </w:rPr>
              <w:t xml:space="preserve">31,25%</w:t>
            </w:r>
          </w:p>
        </w:tc>
        <w:tc>
          <w:tcPr>
            <w:tcW w:type="dxa" w:w="1531"/>
            <w:vAlign w:val="center"/>
          </w:tcPr>
          <w:p>
            <w:pPr>
              <w:spacing w:before="20" w:after="20" w:line="260" w:lineRule="auto"/>
              <w:ind w:firstLine="0"/>
              <w:jc w:val="center"/>
            </w:pPr>
            <w:r>
              <w:rPr>
                <w:sz w:val="20"/>
                <w:szCs w:val="20"/>
              </w:rPr>
              <w:t xml:space="preserve">3.233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4.038</w:t>
            </w:r>
          </w:p>
        </w:tc>
        <w:tc>
          <w:tcPr>
            <w:tcW w:type="dxa" w:w="1201"/>
            <w:vAlign w:val="center"/>
          </w:tcPr>
          <w:p>
            <w:pPr>
              <w:spacing w:before="20" w:after="20" w:line="260" w:lineRule="auto"/>
              <w:ind w:firstLine="0"/>
              <w:jc w:val="center"/>
            </w:pPr>
            <w:r>
              <w:rPr>
                <w:sz w:val="20"/>
                <w:szCs w:val="20"/>
              </w:rPr>
              <w:t xml:space="preserve">4.391</w:t>
            </w:r>
          </w:p>
        </w:tc>
        <w:tc>
          <w:tcPr>
            <w:tcW w:type="dxa" w:w="1201"/>
            <w:vAlign w:val="center"/>
          </w:tcPr>
          <w:p>
            <w:pPr>
              <w:spacing w:before="20" w:after="20" w:line="260" w:lineRule="auto"/>
              <w:ind w:firstLine="0"/>
              <w:jc w:val="center"/>
            </w:pPr>
            <w:r>
              <w:rPr>
                <w:sz w:val="20"/>
                <w:szCs w:val="20"/>
              </w:rPr>
              <w:t xml:space="preserve">18,58%</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2.105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3.832</w:t>
            </w:r>
          </w:p>
        </w:tc>
        <w:tc>
          <w:tcPr>
            <w:tcW w:type="dxa" w:w="1201"/>
            <w:vAlign w:val="center"/>
          </w:tcPr>
          <w:p>
            <w:pPr>
              <w:spacing w:before="20" w:after="20" w:line="260" w:lineRule="auto"/>
              <w:ind w:firstLine="0"/>
              <w:jc w:val="center"/>
            </w:pPr>
            <w:r>
              <w:rPr>
                <w:sz w:val="20"/>
                <w:szCs w:val="20"/>
              </w:rPr>
              <w:t xml:space="preserve">3.612</w:t>
            </w:r>
          </w:p>
        </w:tc>
        <w:tc>
          <w:tcPr>
            <w:tcW w:type="dxa" w:w="1201"/>
            <w:vAlign w:val="center"/>
          </w:tcPr>
          <w:p>
            <w:pPr>
              <w:spacing w:before="20" w:after="20" w:line="260" w:lineRule="auto"/>
              <w:ind w:firstLine="0"/>
              <w:jc w:val="center"/>
            </w:pPr>
            <w:r>
              <w:rPr>
                <w:sz w:val="20"/>
                <w:szCs w:val="20"/>
              </w:rPr>
              <w:t xml:space="preserve">12,10%</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1.617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3.539</w:t>
            </w:r>
          </w:p>
        </w:tc>
        <w:tc>
          <w:tcPr>
            <w:tcW w:type="dxa" w:w="1201"/>
            <w:vAlign w:val="center"/>
          </w:tcPr>
          <w:p>
            <w:pPr>
              <w:spacing w:before="20" w:after="20" w:line="260" w:lineRule="auto"/>
              <w:ind w:firstLine="0"/>
              <w:jc w:val="center"/>
            </w:pPr>
            <w:r>
              <w:rPr>
                <w:sz w:val="20"/>
                <w:szCs w:val="20"/>
              </w:rPr>
              <w:t xml:space="preserve">4.282</w:t>
            </w:r>
          </w:p>
        </w:tc>
        <w:tc>
          <w:tcPr>
            <w:tcW w:type="dxa" w:w="1201"/>
            <w:vAlign w:val="center"/>
          </w:tcPr>
          <w:p>
            <w:pPr>
              <w:spacing w:before="20" w:after="20" w:line="260" w:lineRule="auto"/>
              <w:ind w:firstLine="0"/>
              <w:jc w:val="center"/>
            </w:pPr>
            <w:r>
              <w:rPr>
                <w:sz w:val="20"/>
                <w:szCs w:val="20"/>
              </w:rPr>
              <w:t xml:space="preserve">23,51%</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2.055</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A.42. Cửa hàng 42 (Cuenca, Azuay; loại D, cụm 2)</w:t>
      </w:r>
    </w:p>
    <w:p>
      <w:pPr>
        <w:keepLines w:val="0"/>
        <w:spacing w:after="120"/>
        <w:ind w:firstLine="567"/>
      </w:pPr>
      <w:r>
        <w:t xml:space="preserve">Trong 16 ngày của tập kiểm tra cuối, cửa hàng 42 có tổng doanh số thực tế 181.668 (hạng 33/54 về quy mô) và tổng dự báo 215.273, tức dự báo cao hơn thực tế 18,50%. WAPE của cửa hàng là 23,57% (hạng 49/54 từ thấp đến cao), MAE 81,092, RMSE 255,927 và bias −63,646. Độ bao phủ thực nghiệm của khoảng P10–P90 đạt 71,21% (hạng 49/54), so với mức danh nghĩa 80%. Nhóm có doanh số thực tế lớn nhất là GROCERY I (47.921; WAPE 20,52%; bao phủ 43,75%). Trong các nhóm có quy mô từ trung vị của cửa hàng trở lên, nhóm có WAPE thấp nhất là MEATS (15,50%). Có 3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180.551, 215.015 và 270.379; tổng lượng bổ sung gợi ý theo giả định là 98.368. Cửa hàng có 20 nhóm mang nhãn HIGH, 11 nhóm MEDIUM và 2 nhóm LOW. Bảng A.44 liệt kê mười nhóm có doanh số thực tế lớn nhất của cửa hàng.</w:t>
      </w:r>
    </w:p>
    <w:p>
      <w:pPr>
        <w:keepNext/>
        <w:spacing w:before="120" w:after="60"/>
        <w:ind w:firstLine="0"/>
        <w:jc w:val="center"/>
      </w:pPr>
      <w:r>
        <w:t xml:space="preserve">Bảng A.44. Mười nhóm sản phẩm có doanh số thực tế lớn nhất của cửa hàng 42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47.921</w:t>
            </w:r>
          </w:p>
        </w:tc>
        <w:tc>
          <w:tcPr>
            <w:tcW w:type="dxa" w:w="1201"/>
            <w:vAlign w:val="center"/>
          </w:tcPr>
          <w:p>
            <w:pPr>
              <w:spacing w:before="20" w:after="20" w:line="260" w:lineRule="auto"/>
              <w:ind w:firstLine="0"/>
              <w:jc w:val="center"/>
            </w:pPr>
            <w:r>
              <w:rPr>
                <w:sz w:val="20"/>
                <w:szCs w:val="20"/>
              </w:rPr>
              <w:t xml:space="preserve">57.676</w:t>
            </w:r>
          </w:p>
        </w:tc>
        <w:tc>
          <w:tcPr>
            <w:tcW w:type="dxa" w:w="1201"/>
            <w:vAlign w:val="center"/>
          </w:tcPr>
          <w:p>
            <w:pPr>
              <w:spacing w:before="20" w:after="20" w:line="260" w:lineRule="auto"/>
              <w:ind w:firstLine="0"/>
              <w:jc w:val="center"/>
            </w:pPr>
            <w:r>
              <w:rPr>
                <w:sz w:val="20"/>
                <w:szCs w:val="20"/>
              </w:rPr>
              <w:t xml:space="preserve">20,52%</w:t>
            </w:r>
          </w:p>
        </w:tc>
        <w:tc>
          <w:tcPr>
            <w:tcW w:type="dxa" w:w="1201"/>
            <w:vAlign w:val="center"/>
          </w:tcPr>
          <w:p>
            <w:pPr>
              <w:spacing w:before="20" w:after="20" w:line="260" w:lineRule="auto"/>
              <w:ind w:firstLine="0"/>
              <w:jc w:val="center"/>
            </w:pPr>
            <w:r>
              <w:rPr>
                <w:sz w:val="20"/>
                <w:szCs w:val="20"/>
              </w:rPr>
              <w:t xml:space="preserve">43,75%</w:t>
            </w:r>
          </w:p>
        </w:tc>
        <w:tc>
          <w:tcPr>
            <w:tcW w:type="dxa" w:w="1531"/>
            <w:vAlign w:val="center"/>
          </w:tcPr>
          <w:p>
            <w:pPr>
              <w:spacing w:before="20" w:after="20" w:line="260" w:lineRule="auto"/>
              <w:ind w:firstLine="0"/>
              <w:jc w:val="center"/>
            </w:pPr>
            <w:r>
              <w:rPr>
                <w:sz w:val="20"/>
                <w:szCs w:val="20"/>
              </w:rPr>
              <w:t xml:space="preserve">23.700</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39.477</w:t>
            </w:r>
          </w:p>
        </w:tc>
        <w:tc>
          <w:tcPr>
            <w:tcW w:type="dxa" w:w="1201"/>
            <w:vAlign w:val="center"/>
          </w:tcPr>
          <w:p>
            <w:pPr>
              <w:spacing w:before="20" w:after="20" w:line="260" w:lineRule="auto"/>
              <w:ind w:firstLine="0"/>
              <w:jc w:val="center"/>
            </w:pPr>
            <w:r>
              <w:rPr>
                <w:sz w:val="20"/>
                <w:szCs w:val="20"/>
              </w:rPr>
              <w:t xml:space="preserve">46.674</w:t>
            </w:r>
          </w:p>
        </w:tc>
        <w:tc>
          <w:tcPr>
            <w:tcW w:type="dxa" w:w="1201"/>
            <w:vAlign w:val="center"/>
          </w:tcPr>
          <w:p>
            <w:pPr>
              <w:spacing w:before="20" w:after="20" w:line="260" w:lineRule="auto"/>
              <w:ind w:firstLine="0"/>
              <w:jc w:val="center"/>
            </w:pPr>
            <w:r>
              <w:rPr>
                <w:sz w:val="20"/>
                <w:szCs w:val="20"/>
              </w:rPr>
              <w:t xml:space="preserve">31,90%</w:t>
            </w:r>
          </w:p>
        </w:tc>
        <w:tc>
          <w:tcPr>
            <w:tcW w:type="dxa" w:w="1201"/>
            <w:vAlign w:val="center"/>
          </w:tcPr>
          <w:p>
            <w:pPr>
              <w:spacing w:before="20" w:after="20" w:line="260" w:lineRule="auto"/>
              <w:ind w:firstLine="0"/>
              <w:jc w:val="center"/>
            </w:pPr>
            <w:r>
              <w:rPr>
                <w:sz w:val="20"/>
                <w:szCs w:val="20"/>
              </w:rPr>
              <w:t xml:space="preserve">31,25%</w:t>
            </w:r>
          </w:p>
        </w:tc>
        <w:tc>
          <w:tcPr>
            <w:tcW w:type="dxa" w:w="1531"/>
            <w:vAlign w:val="center"/>
          </w:tcPr>
          <w:p>
            <w:pPr>
              <w:spacing w:before="20" w:after="20" w:line="260" w:lineRule="auto"/>
              <w:ind w:firstLine="0"/>
              <w:jc w:val="center"/>
            </w:pPr>
            <w:r>
              <w:rPr>
                <w:sz w:val="20"/>
                <w:szCs w:val="20"/>
              </w:rPr>
              <w:t xml:space="preserve">21.499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37.333</w:t>
            </w:r>
          </w:p>
        </w:tc>
        <w:tc>
          <w:tcPr>
            <w:tcW w:type="dxa" w:w="1201"/>
            <w:vAlign w:val="center"/>
          </w:tcPr>
          <w:p>
            <w:pPr>
              <w:spacing w:before="20" w:after="20" w:line="260" w:lineRule="auto"/>
              <w:ind w:firstLine="0"/>
              <w:jc w:val="center"/>
            </w:pPr>
            <w:r>
              <w:rPr>
                <w:sz w:val="20"/>
                <w:szCs w:val="20"/>
              </w:rPr>
              <w:t xml:space="preserve">43.692</w:t>
            </w:r>
          </w:p>
        </w:tc>
        <w:tc>
          <w:tcPr>
            <w:tcW w:type="dxa" w:w="1201"/>
            <w:vAlign w:val="center"/>
          </w:tcPr>
          <w:p>
            <w:pPr>
              <w:spacing w:before="20" w:after="20" w:line="260" w:lineRule="auto"/>
              <w:ind w:firstLine="0"/>
              <w:jc w:val="center"/>
            </w:pPr>
            <w:r>
              <w:rPr>
                <w:sz w:val="20"/>
                <w:szCs w:val="20"/>
              </w:rPr>
              <w:t xml:space="preserve">18,59%</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20.903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12.570</w:t>
            </w:r>
          </w:p>
        </w:tc>
        <w:tc>
          <w:tcPr>
            <w:tcW w:type="dxa" w:w="1201"/>
            <w:vAlign w:val="center"/>
          </w:tcPr>
          <w:p>
            <w:pPr>
              <w:spacing w:before="20" w:after="20" w:line="260" w:lineRule="auto"/>
              <w:ind w:firstLine="0"/>
              <w:jc w:val="center"/>
            </w:pPr>
            <w:r>
              <w:rPr>
                <w:sz w:val="20"/>
                <w:szCs w:val="20"/>
              </w:rPr>
              <w:t xml:space="preserve">14.842</w:t>
            </w:r>
          </w:p>
        </w:tc>
        <w:tc>
          <w:tcPr>
            <w:tcW w:type="dxa" w:w="1201"/>
            <w:vAlign w:val="center"/>
          </w:tcPr>
          <w:p>
            <w:pPr>
              <w:spacing w:before="20" w:after="20" w:line="260" w:lineRule="auto"/>
              <w:ind w:firstLine="0"/>
              <w:jc w:val="center"/>
            </w:pPr>
            <w:r>
              <w:rPr>
                <w:sz w:val="20"/>
                <w:szCs w:val="20"/>
              </w:rPr>
              <w:t xml:space="preserve">18,07%</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6.008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11.372</w:t>
            </w:r>
          </w:p>
        </w:tc>
        <w:tc>
          <w:tcPr>
            <w:tcW w:type="dxa" w:w="1201"/>
            <w:vAlign w:val="center"/>
          </w:tcPr>
          <w:p>
            <w:pPr>
              <w:spacing w:before="20" w:after="20" w:line="260" w:lineRule="auto"/>
              <w:ind w:firstLine="0"/>
              <w:jc w:val="center"/>
            </w:pPr>
            <w:r>
              <w:rPr>
                <w:sz w:val="20"/>
                <w:szCs w:val="20"/>
              </w:rPr>
              <w:t xml:space="preserve">14.225</w:t>
            </w:r>
          </w:p>
        </w:tc>
        <w:tc>
          <w:tcPr>
            <w:tcW w:type="dxa" w:w="1201"/>
            <w:vAlign w:val="center"/>
          </w:tcPr>
          <w:p>
            <w:pPr>
              <w:spacing w:before="20" w:after="20" w:line="260" w:lineRule="auto"/>
              <w:ind w:firstLine="0"/>
              <w:jc w:val="center"/>
            </w:pPr>
            <w:r>
              <w:rPr>
                <w:sz w:val="20"/>
                <w:szCs w:val="20"/>
              </w:rPr>
              <w:t xml:space="preserve">25,08%</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5.277</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7.250</w:t>
            </w:r>
          </w:p>
        </w:tc>
        <w:tc>
          <w:tcPr>
            <w:tcW w:type="dxa" w:w="1201"/>
            <w:vAlign w:val="center"/>
          </w:tcPr>
          <w:p>
            <w:pPr>
              <w:spacing w:before="20" w:after="20" w:line="260" w:lineRule="auto"/>
              <w:ind w:firstLine="0"/>
              <w:jc w:val="center"/>
            </w:pPr>
            <w:r>
              <w:rPr>
                <w:sz w:val="20"/>
                <w:szCs w:val="20"/>
              </w:rPr>
              <w:t xml:space="preserve">8.810</w:t>
            </w:r>
          </w:p>
        </w:tc>
        <w:tc>
          <w:tcPr>
            <w:tcW w:type="dxa" w:w="1201"/>
            <w:vAlign w:val="center"/>
          </w:tcPr>
          <w:p>
            <w:pPr>
              <w:spacing w:before="20" w:after="20" w:line="260" w:lineRule="auto"/>
              <w:ind w:firstLine="0"/>
              <w:jc w:val="center"/>
            </w:pPr>
            <w:r>
              <w:rPr>
                <w:sz w:val="20"/>
                <w:szCs w:val="20"/>
              </w:rPr>
              <w:t xml:space="preserve">24,42%</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4.194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3.776</w:t>
            </w:r>
          </w:p>
        </w:tc>
        <w:tc>
          <w:tcPr>
            <w:tcW w:type="dxa" w:w="1201"/>
            <w:vAlign w:val="center"/>
          </w:tcPr>
          <w:p>
            <w:pPr>
              <w:spacing w:before="20" w:after="20" w:line="260" w:lineRule="auto"/>
              <w:ind w:firstLine="0"/>
              <w:jc w:val="center"/>
            </w:pPr>
            <w:r>
              <w:rPr>
                <w:sz w:val="20"/>
                <w:szCs w:val="20"/>
              </w:rPr>
              <w:t xml:space="preserve">4.047</w:t>
            </w:r>
          </w:p>
        </w:tc>
        <w:tc>
          <w:tcPr>
            <w:tcW w:type="dxa" w:w="1201"/>
            <w:vAlign w:val="center"/>
          </w:tcPr>
          <w:p>
            <w:pPr>
              <w:spacing w:before="20" w:after="20" w:line="260" w:lineRule="auto"/>
              <w:ind w:firstLine="0"/>
              <w:jc w:val="center"/>
            </w:pPr>
            <w:r>
              <w:rPr>
                <w:sz w:val="20"/>
                <w:szCs w:val="20"/>
              </w:rPr>
              <w:t xml:space="preserve">15,50%</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1.900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3.766</w:t>
            </w:r>
          </w:p>
        </w:tc>
        <w:tc>
          <w:tcPr>
            <w:tcW w:type="dxa" w:w="1201"/>
            <w:vAlign w:val="center"/>
          </w:tcPr>
          <w:p>
            <w:pPr>
              <w:spacing w:before="20" w:after="20" w:line="260" w:lineRule="auto"/>
              <w:ind w:firstLine="0"/>
              <w:jc w:val="center"/>
            </w:pPr>
            <w:r>
              <w:rPr>
                <w:sz w:val="20"/>
                <w:szCs w:val="20"/>
              </w:rPr>
              <w:t xml:space="preserve">4.112</w:t>
            </w:r>
          </w:p>
        </w:tc>
        <w:tc>
          <w:tcPr>
            <w:tcW w:type="dxa" w:w="1201"/>
            <w:vAlign w:val="center"/>
          </w:tcPr>
          <w:p>
            <w:pPr>
              <w:spacing w:before="20" w:after="20" w:line="260" w:lineRule="auto"/>
              <w:ind w:firstLine="0"/>
              <w:jc w:val="center"/>
            </w:pPr>
            <w:r>
              <w:rPr>
                <w:sz w:val="20"/>
                <w:szCs w:val="20"/>
              </w:rPr>
              <w:t xml:space="preserve">20,54%</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1.941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3.560</w:t>
            </w:r>
          </w:p>
        </w:tc>
        <w:tc>
          <w:tcPr>
            <w:tcW w:type="dxa" w:w="1201"/>
            <w:vAlign w:val="center"/>
          </w:tcPr>
          <w:p>
            <w:pPr>
              <w:spacing w:before="20" w:after="20" w:line="260" w:lineRule="auto"/>
              <w:ind w:firstLine="0"/>
              <w:jc w:val="center"/>
            </w:pPr>
            <w:r>
              <w:rPr>
                <w:sz w:val="20"/>
                <w:szCs w:val="20"/>
              </w:rPr>
              <w:t xml:space="preserve">4.128</w:t>
            </w:r>
          </w:p>
        </w:tc>
        <w:tc>
          <w:tcPr>
            <w:tcW w:type="dxa" w:w="1201"/>
            <w:vAlign w:val="center"/>
          </w:tcPr>
          <w:p>
            <w:pPr>
              <w:spacing w:before="20" w:after="20" w:line="260" w:lineRule="auto"/>
              <w:ind w:firstLine="0"/>
              <w:jc w:val="center"/>
            </w:pPr>
            <w:r>
              <w:rPr>
                <w:sz w:val="20"/>
                <w:szCs w:val="20"/>
              </w:rPr>
              <w:t xml:space="preserve">18,24%</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1.944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3.190</w:t>
            </w:r>
          </w:p>
        </w:tc>
        <w:tc>
          <w:tcPr>
            <w:tcW w:type="dxa" w:w="1201"/>
            <w:vAlign w:val="center"/>
          </w:tcPr>
          <w:p>
            <w:pPr>
              <w:spacing w:before="20" w:after="20" w:line="260" w:lineRule="auto"/>
              <w:ind w:firstLine="0"/>
              <w:jc w:val="center"/>
            </w:pPr>
            <w:r>
              <w:rPr>
                <w:sz w:val="20"/>
                <w:szCs w:val="20"/>
              </w:rPr>
              <w:t xml:space="preserve">3.970</w:t>
            </w:r>
          </w:p>
        </w:tc>
        <w:tc>
          <w:tcPr>
            <w:tcW w:type="dxa" w:w="1201"/>
            <w:vAlign w:val="center"/>
          </w:tcPr>
          <w:p>
            <w:pPr>
              <w:spacing w:before="20" w:after="20" w:line="260" w:lineRule="auto"/>
              <w:ind w:firstLine="0"/>
              <w:jc w:val="center"/>
            </w:pPr>
            <w:r>
              <w:rPr>
                <w:sz w:val="20"/>
                <w:szCs w:val="20"/>
              </w:rPr>
              <w:t xml:space="preserve">29,78%</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1.885</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A.43. Cửa hàng 43 (Esmeraldas, Esmeraldas; loại E, cụm 10)</w:t>
      </w:r>
    </w:p>
    <w:p>
      <w:pPr>
        <w:keepLines w:val="0"/>
        <w:spacing w:after="120"/>
        <w:ind w:firstLine="567"/>
      </w:pPr>
      <w:r>
        <w:t xml:space="preserve">Trong 16 ngày của tập kiểm tra cuối, cửa hàng 43 có tổng doanh số thực tế 264.232 (hạng 18/54 về quy mô) và tổng dự báo 259.606, tức dự báo thấp hơn thực tế 1,75%. WAPE của cửa hàng là 12,28% (hạng 14/54 từ thấp đến cao), MAE 61,458, RMSE 192,578 và bias 8,762. Độ bao phủ thực nghiệm của khoảng P10–P90 đạt 70,64% (hạng 50/54), so với mức danh nghĩa 80%. Nhóm có doanh số thực tế lớn nhất là BEVERAGES (84.549; WAPE 12,35%; bao phủ 62,50%). Trong các nhóm có quy mô từ trung vị của cửa hàng trở lên, nhóm có WAPE thấp nhất là GROCERY I (8,50%).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226.052, 259.467 và 313.190; tổng lượng bổ sung gợi ý theo giả định là 105.617. Cửa hàng có 19 nhóm mang nhãn HIGH, 12 nhóm MEDIUM và 2 nhóm LOW. Bảng A.45 liệt kê mười nhóm có doanh số thực tế lớn nhất của cửa hàng.</w:t>
      </w:r>
    </w:p>
    <w:p>
      <w:pPr>
        <w:keepNext/>
        <w:spacing w:before="120" w:after="60"/>
        <w:ind w:firstLine="0"/>
        <w:jc w:val="center"/>
      </w:pPr>
      <w:r>
        <w:t xml:space="preserve">Bảng A.45. Mười nhóm sản phẩm có doanh số thực tế lớn nhất của cửa hàng 43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84.549</w:t>
            </w:r>
          </w:p>
        </w:tc>
        <w:tc>
          <w:tcPr>
            <w:tcW w:type="dxa" w:w="1201"/>
            <w:vAlign w:val="center"/>
          </w:tcPr>
          <w:p>
            <w:pPr>
              <w:spacing w:before="20" w:after="20" w:line="260" w:lineRule="auto"/>
              <w:ind w:firstLine="0"/>
              <w:jc w:val="center"/>
            </w:pPr>
            <w:r>
              <w:rPr>
                <w:sz w:val="20"/>
                <w:szCs w:val="20"/>
              </w:rPr>
              <w:t xml:space="preserve">84.462</w:t>
            </w:r>
          </w:p>
        </w:tc>
        <w:tc>
          <w:tcPr>
            <w:tcW w:type="dxa" w:w="1201"/>
            <w:vAlign w:val="center"/>
          </w:tcPr>
          <w:p>
            <w:pPr>
              <w:spacing w:before="20" w:after="20" w:line="260" w:lineRule="auto"/>
              <w:ind w:firstLine="0"/>
              <w:jc w:val="center"/>
            </w:pPr>
            <w:r>
              <w:rPr>
                <w:sz w:val="20"/>
                <w:szCs w:val="20"/>
              </w:rPr>
              <w:t xml:space="preserve">12,35%</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29.057</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81.358</w:t>
            </w:r>
          </w:p>
        </w:tc>
        <w:tc>
          <w:tcPr>
            <w:tcW w:type="dxa" w:w="1201"/>
            <w:vAlign w:val="center"/>
          </w:tcPr>
          <w:p>
            <w:pPr>
              <w:spacing w:before="20" w:after="20" w:line="260" w:lineRule="auto"/>
              <w:ind w:firstLine="0"/>
              <w:jc w:val="center"/>
            </w:pPr>
            <w:r>
              <w:rPr>
                <w:sz w:val="20"/>
                <w:szCs w:val="20"/>
              </w:rPr>
              <w:t xml:space="preserve">81.320</w:t>
            </w:r>
          </w:p>
        </w:tc>
        <w:tc>
          <w:tcPr>
            <w:tcW w:type="dxa" w:w="1201"/>
            <w:vAlign w:val="center"/>
          </w:tcPr>
          <w:p>
            <w:pPr>
              <w:spacing w:before="20" w:after="20" w:line="260" w:lineRule="auto"/>
              <w:ind w:firstLine="0"/>
              <w:jc w:val="center"/>
            </w:pPr>
            <w:r>
              <w:rPr>
                <w:sz w:val="20"/>
                <w:szCs w:val="20"/>
              </w:rPr>
              <w:t xml:space="preserve">8,50%</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28.428</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23.445</w:t>
            </w:r>
          </w:p>
        </w:tc>
        <w:tc>
          <w:tcPr>
            <w:tcW w:type="dxa" w:w="1201"/>
            <w:vAlign w:val="center"/>
          </w:tcPr>
          <w:p>
            <w:pPr>
              <w:spacing w:before="20" w:after="20" w:line="260" w:lineRule="auto"/>
              <w:ind w:firstLine="0"/>
              <w:jc w:val="center"/>
            </w:pPr>
            <w:r>
              <w:rPr>
                <w:sz w:val="20"/>
                <w:szCs w:val="20"/>
              </w:rPr>
              <w:t xml:space="preserve">21.741</w:t>
            </w:r>
          </w:p>
        </w:tc>
        <w:tc>
          <w:tcPr>
            <w:tcW w:type="dxa" w:w="1201"/>
            <w:vAlign w:val="center"/>
          </w:tcPr>
          <w:p>
            <w:pPr>
              <w:spacing w:before="20" w:after="20" w:line="260" w:lineRule="auto"/>
              <w:ind w:firstLine="0"/>
              <w:jc w:val="center"/>
            </w:pPr>
            <w:r>
              <w:rPr>
                <w:sz w:val="20"/>
                <w:szCs w:val="20"/>
              </w:rPr>
              <w:t xml:space="preserve">16,01%</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11.646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20.329</w:t>
            </w:r>
          </w:p>
        </w:tc>
        <w:tc>
          <w:tcPr>
            <w:tcW w:type="dxa" w:w="1201"/>
            <w:vAlign w:val="center"/>
          </w:tcPr>
          <w:p>
            <w:pPr>
              <w:spacing w:before="20" w:after="20" w:line="260" w:lineRule="auto"/>
              <w:ind w:firstLine="0"/>
              <w:jc w:val="center"/>
            </w:pPr>
            <w:r>
              <w:rPr>
                <w:sz w:val="20"/>
                <w:szCs w:val="20"/>
              </w:rPr>
              <w:t xml:space="preserve">20.023</w:t>
            </w:r>
          </w:p>
        </w:tc>
        <w:tc>
          <w:tcPr>
            <w:tcW w:type="dxa" w:w="1201"/>
            <w:vAlign w:val="center"/>
          </w:tcPr>
          <w:p>
            <w:pPr>
              <w:spacing w:before="20" w:after="20" w:line="260" w:lineRule="auto"/>
              <w:ind w:firstLine="0"/>
              <w:jc w:val="center"/>
            </w:pPr>
            <w:r>
              <w:rPr>
                <w:sz w:val="20"/>
                <w:szCs w:val="20"/>
              </w:rPr>
              <w:t xml:space="preserve">10,24%</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10.694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11.979</w:t>
            </w:r>
          </w:p>
        </w:tc>
        <w:tc>
          <w:tcPr>
            <w:tcW w:type="dxa" w:w="1201"/>
            <w:vAlign w:val="center"/>
          </w:tcPr>
          <w:p>
            <w:pPr>
              <w:spacing w:before="20" w:after="20" w:line="260" w:lineRule="auto"/>
              <w:ind w:firstLine="0"/>
              <w:jc w:val="center"/>
            </w:pPr>
            <w:r>
              <w:rPr>
                <w:sz w:val="20"/>
                <w:szCs w:val="20"/>
              </w:rPr>
              <w:t xml:space="preserve">11.528</w:t>
            </w:r>
          </w:p>
        </w:tc>
        <w:tc>
          <w:tcPr>
            <w:tcW w:type="dxa" w:w="1201"/>
            <w:vAlign w:val="center"/>
          </w:tcPr>
          <w:p>
            <w:pPr>
              <w:spacing w:before="20" w:after="20" w:line="260" w:lineRule="auto"/>
              <w:ind w:firstLine="0"/>
              <w:jc w:val="center"/>
            </w:pPr>
            <w:r>
              <w:rPr>
                <w:sz w:val="20"/>
                <w:szCs w:val="20"/>
              </w:rPr>
              <w:t xml:space="preserve">13,46%</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4.737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9.631</w:t>
            </w:r>
          </w:p>
        </w:tc>
        <w:tc>
          <w:tcPr>
            <w:tcW w:type="dxa" w:w="1201"/>
            <w:vAlign w:val="center"/>
          </w:tcPr>
          <w:p>
            <w:pPr>
              <w:spacing w:before="20" w:after="20" w:line="260" w:lineRule="auto"/>
              <w:ind w:firstLine="0"/>
              <w:jc w:val="center"/>
            </w:pPr>
            <w:r>
              <w:rPr>
                <w:sz w:val="20"/>
                <w:szCs w:val="20"/>
              </w:rPr>
              <w:t xml:space="preserve">9.617</w:t>
            </w:r>
          </w:p>
        </w:tc>
        <w:tc>
          <w:tcPr>
            <w:tcW w:type="dxa" w:w="1201"/>
            <w:vAlign w:val="center"/>
          </w:tcPr>
          <w:p>
            <w:pPr>
              <w:spacing w:before="20" w:after="20" w:line="260" w:lineRule="auto"/>
              <w:ind w:firstLine="0"/>
              <w:jc w:val="center"/>
            </w:pPr>
            <w:r>
              <w:rPr>
                <w:sz w:val="20"/>
                <w:szCs w:val="20"/>
              </w:rPr>
              <w:t xml:space="preserve">10,92%</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4.355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4.920</w:t>
            </w:r>
          </w:p>
        </w:tc>
        <w:tc>
          <w:tcPr>
            <w:tcW w:type="dxa" w:w="1201"/>
            <w:vAlign w:val="center"/>
          </w:tcPr>
          <w:p>
            <w:pPr>
              <w:spacing w:before="20" w:after="20" w:line="260" w:lineRule="auto"/>
              <w:ind w:firstLine="0"/>
              <w:jc w:val="center"/>
            </w:pPr>
            <w:r>
              <w:rPr>
                <w:sz w:val="20"/>
                <w:szCs w:val="20"/>
              </w:rPr>
              <w:t xml:space="preserve">4.764</w:t>
            </w:r>
          </w:p>
        </w:tc>
        <w:tc>
          <w:tcPr>
            <w:tcW w:type="dxa" w:w="1201"/>
            <w:vAlign w:val="center"/>
          </w:tcPr>
          <w:p>
            <w:pPr>
              <w:spacing w:before="20" w:after="20" w:line="260" w:lineRule="auto"/>
              <w:ind w:firstLine="0"/>
              <w:jc w:val="center"/>
            </w:pPr>
            <w:r>
              <w:rPr>
                <w:sz w:val="20"/>
                <w:szCs w:val="20"/>
              </w:rPr>
              <w:t xml:space="preserve">16,92%</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2.180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4.905</w:t>
            </w:r>
          </w:p>
        </w:tc>
        <w:tc>
          <w:tcPr>
            <w:tcW w:type="dxa" w:w="1201"/>
            <w:vAlign w:val="center"/>
          </w:tcPr>
          <w:p>
            <w:pPr>
              <w:spacing w:before="20" w:after="20" w:line="260" w:lineRule="auto"/>
              <w:ind w:firstLine="0"/>
              <w:jc w:val="center"/>
            </w:pPr>
            <w:r>
              <w:rPr>
                <w:sz w:val="20"/>
                <w:szCs w:val="20"/>
              </w:rPr>
              <w:t xml:space="preserve">4.726</w:t>
            </w:r>
          </w:p>
        </w:tc>
        <w:tc>
          <w:tcPr>
            <w:tcW w:type="dxa" w:w="1201"/>
            <w:vAlign w:val="center"/>
          </w:tcPr>
          <w:p>
            <w:pPr>
              <w:spacing w:before="20" w:after="20" w:line="260" w:lineRule="auto"/>
              <w:ind w:firstLine="0"/>
              <w:jc w:val="center"/>
            </w:pPr>
            <w:r>
              <w:rPr>
                <w:sz w:val="20"/>
                <w:szCs w:val="20"/>
              </w:rPr>
              <w:t xml:space="preserve">13,48%</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2.092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4.334</w:t>
            </w:r>
          </w:p>
        </w:tc>
        <w:tc>
          <w:tcPr>
            <w:tcW w:type="dxa" w:w="1201"/>
            <w:vAlign w:val="center"/>
          </w:tcPr>
          <w:p>
            <w:pPr>
              <w:spacing w:before="20" w:after="20" w:line="260" w:lineRule="auto"/>
              <w:ind w:firstLine="0"/>
              <w:jc w:val="center"/>
            </w:pPr>
            <w:r>
              <w:rPr>
                <w:sz w:val="20"/>
                <w:szCs w:val="20"/>
              </w:rPr>
              <w:t xml:space="preserve">4.119</w:t>
            </w:r>
          </w:p>
        </w:tc>
        <w:tc>
          <w:tcPr>
            <w:tcW w:type="dxa" w:w="1201"/>
            <w:vAlign w:val="center"/>
          </w:tcPr>
          <w:p>
            <w:pPr>
              <w:spacing w:before="20" w:after="20" w:line="260" w:lineRule="auto"/>
              <w:ind w:firstLine="0"/>
              <w:jc w:val="center"/>
            </w:pPr>
            <w:r>
              <w:rPr>
                <w:sz w:val="20"/>
                <w:szCs w:val="20"/>
              </w:rPr>
              <w:t xml:space="preserve">14,00%</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1.942</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4.229</w:t>
            </w:r>
          </w:p>
        </w:tc>
        <w:tc>
          <w:tcPr>
            <w:tcW w:type="dxa" w:w="1201"/>
            <w:vAlign w:val="center"/>
          </w:tcPr>
          <w:p>
            <w:pPr>
              <w:spacing w:before="20" w:after="20" w:line="260" w:lineRule="auto"/>
              <w:ind w:firstLine="0"/>
              <w:jc w:val="center"/>
            </w:pPr>
            <w:r>
              <w:rPr>
                <w:sz w:val="20"/>
                <w:szCs w:val="20"/>
              </w:rPr>
              <w:t xml:space="preserve">3.930</w:t>
            </w:r>
          </w:p>
        </w:tc>
        <w:tc>
          <w:tcPr>
            <w:tcW w:type="dxa" w:w="1201"/>
            <w:vAlign w:val="center"/>
          </w:tcPr>
          <w:p>
            <w:pPr>
              <w:spacing w:before="20" w:after="20" w:line="260" w:lineRule="auto"/>
              <w:ind w:firstLine="0"/>
              <w:jc w:val="center"/>
            </w:pPr>
            <w:r>
              <w:rPr>
                <w:sz w:val="20"/>
                <w:szCs w:val="20"/>
              </w:rPr>
              <w:t xml:space="preserve">11,86%</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1.821</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A.44. Cửa hàng 44 (Quito, Pichincha; loại A, cụm 5)</w:t>
      </w:r>
    </w:p>
    <w:p>
      <w:pPr>
        <w:keepLines w:val="0"/>
        <w:spacing w:after="120"/>
        <w:ind w:firstLine="567"/>
      </w:pPr>
      <w:r>
        <w:t xml:space="preserve">Trong 16 ngày của tập kiểm tra cuối, cửa hàng 44 có tổng doanh số thực tế 656.651 (hạng 1/54 về quy mô) và tổng dự báo 727.178, tức dự báo cao hơn thực tế 10,74%. WAPE của cửa hàng là 14,32% (hạng 25/54 từ thấp đến cao), MAE 178,108, RMSE 505,659 và bias −133,573. Độ bao phủ thực nghiệm của khoảng P10–P90 đạt 68,37% (hạng 54/54), so với mức danh nghĩa 80%. Nhóm có doanh số thực tế lớn nhất là GROCERY I (152.986; WAPE 13,49%; bao phủ 31,25%). Trong các nhóm có quy mô từ trung vị của cửa hàng trở lên, nhóm có WAPE thấp nhất là PRODUCE (7,64%).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662.662, 726.743 và 832.808; tổng lượng bổ sung gợi ý theo giả định là 251.413. Cửa hàng có 13 nhóm mang nhãn HIGH, 17 nhóm MEDIUM và 3 nhóm LOW. Bảng A.46 liệt kê mười nhóm có doanh số thực tế lớn nhất của cửa hàng.</w:t>
      </w:r>
    </w:p>
    <w:p>
      <w:pPr>
        <w:keepNext/>
        <w:spacing w:before="120" w:after="60"/>
        <w:ind w:firstLine="0"/>
        <w:jc w:val="center"/>
      </w:pPr>
      <w:r>
        <w:t xml:space="preserve">Bảng A.46. Mười nhóm sản phẩm có doanh số thực tế lớn nhất của cửa hàng 44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152.986</w:t>
            </w:r>
          </w:p>
        </w:tc>
        <w:tc>
          <w:tcPr>
            <w:tcW w:type="dxa" w:w="1201"/>
            <w:vAlign w:val="center"/>
          </w:tcPr>
          <w:p>
            <w:pPr>
              <w:spacing w:before="20" w:after="20" w:line="260" w:lineRule="auto"/>
              <w:ind w:firstLine="0"/>
              <w:jc w:val="center"/>
            </w:pPr>
            <w:r>
              <w:rPr>
                <w:sz w:val="20"/>
                <w:szCs w:val="20"/>
              </w:rPr>
              <w:t xml:space="preserve">172.850</w:t>
            </w:r>
          </w:p>
        </w:tc>
        <w:tc>
          <w:tcPr>
            <w:tcW w:type="dxa" w:w="1201"/>
            <w:vAlign w:val="center"/>
          </w:tcPr>
          <w:p>
            <w:pPr>
              <w:spacing w:before="20" w:after="20" w:line="260" w:lineRule="auto"/>
              <w:ind w:firstLine="0"/>
              <w:jc w:val="center"/>
            </w:pPr>
            <w:r>
              <w:rPr>
                <w:sz w:val="20"/>
                <w:szCs w:val="20"/>
              </w:rPr>
              <w:t xml:space="preserve">13,49%</w:t>
            </w:r>
          </w:p>
        </w:tc>
        <w:tc>
          <w:tcPr>
            <w:tcW w:type="dxa" w:w="1201"/>
            <w:vAlign w:val="center"/>
          </w:tcPr>
          <w:p>
            <w:pPr>
              <w:spacing w:before="20" w:after="20" w:line="260" w:lineRule="auto"/>
              <w:ind w:firstLine="0"/>
              <w:jc w:val="center"/>
            </w:pPr>
            <w:r>
              <w:rPr>
                <w:sz w:val="20"/>
                <w:szCs w:val="20"/>
              </w:rPr>
              <w:t xml:space="preserve">31,25%</w:t>
            </w:r>
          </w:p>
        </w:tc>
        <w:tc>
          <w:tcPr>
            <w:tcW w:type="dxa" w:w="1531"/>
            <w:vAlign w:val="center"/>
          </w:tcPr>
          <w:p>
            <w:pPr>
              <w:spacing w:before="20" w:after="20" w:line="260" w:lineRule="auto"/>
              <w:ind w:firstLine="0"/>
              <w:jc w:val="center"/>
            </w:pPr>
            <w:r>
              <w:rPr>
                <w:sz w:val="20"/>
                <w:szCs w:val="20"/>
              </w:rPr>
              <w:t xml:space="preserve">46.734</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148.685</w:t>
            </w:r>
          </w:p>
        </w:tc>
        <w:tc>
          <w:tcPr>
            <w:tcW w:type="dxa" w:w="1201"/>
            <w:vAlign w:val="center"/>
          </w:tcPr>
          <w:p>
            <w:pPr>
              <w:spacing w:before="20" w:after="20" w:line="260" w:lineRule="auto"/>
              <w:ind w:firstLine="0"/>
              <w:jc w:val="center"/>
            </w:pPr>
            <w:r>
              <w:rPr>
                <w:sz w:val="20"/>
                <w:szCs w:val="20"/>
              </w:rPr>
              <w:t xml:space="preserve">159.424</w:t>
            </w:r>
          </w:p>
        </w:tc>
        <w:tc>
          <w:tcPr>
            <w:tcW w:type="dxa" w:w="1201"/>
            <w:vAlign w:val="center"/>
          </w:tcPr>
          <w:p>
            <w:pPr>
              <w:spacing w:before="20" w:after="20" w:line="260" w:lineRule="auto"/>
              <w:ind w:firstLine="0"/>
              <w:jc w:val="center"/>
            </w:pPr>
            <w:r>
              <w:rPr>
                <w:sz w:val="20"/>
                <w:szCs w:val="20"/>
              </w:rPr>
              <w:t xml:space="preserve">7,64%</w:t>
            </w:r>
          </w:p>
        </w:tc>
        <w:tc>
          <w:tcPr>
            <w:tcW w:type="dxa" w:w="1201"/>
            <w:vAlign w:val="center"/>
          </w:tcPr>
          <w:p>
            <w:pPr>
              <w:spacing w:before="20" w:after="20" w:line="260" w:lineRule="auto"/>
              <w:ind w:firstLine="0"/>
              <w:jc w:val="center"/>
            </w:pPr>
            <w:r>
              <w:rPr>
                <w:sz w:val="20"/>
                <w:szCs w:val="20"/>
              </w:rPr>
              <w:t xml:space="preserve">43,75%</w:t>
            </w:r>
          </w:p>
        </w:tc>
        <w:tc>
          <w:tcPr>
            <w:tcW w:type="dxa" w:w="1531"/>
            <w:vAlign w:val="center"/>
          </w:tcPr>
          <w:p>
            <w:pPr>
              <w:spacing w:before="20" w:after="20" w:line="260" w:lineRule="auto"/>
              <w:ind w:firstLine="0"/>
              <w:jc w:val="center"/>
            </w:pPr>
            <w:r>
              <w:rPr>
                <w:sz w:val="20"/>
                <w:szCs w:val="20"/>
              </w:rPr>
              <w:t xml:space="preserve">44.049</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147.313</w:t>
            </w:r>
          </w:p>
        </w:tc>
        <w:tc>
          <w:tcPr>
            <w:tcW w:type="dxa" w:w="1201"/>
            <w:vAlign w:val="center"/>
          </w:tcPr>
          <w:p>
            <w:pPr>
              <w:spacing w:before="20" w:after="20" w:line="260" w:lineRule="auto"/>
              <w:ind w:firstLine="0"/>
              <w:jc w:val="center"/>
            </w:pPr>
            <w:r>
              <w:rPr>
                <w:sz w:val="20"/>
                <w:szCs w:val="20"/>
              </w:rPr>
              <w:t xml:space="preserve">164.848</w:t>
            </w:r>
          </w:p>
        </w:tc>
        <w:tc>
          <w:tcPr>
            <w:tcW w:type="dxa" w:w="1201"/>
            <w:vAlign w:val="center"/>
          </w:tcPr>
          <w:p>
            <w:pPr>
              <w:spacing w:before="20" w:after="20" w:line="260" w:lineRule="auto"/>
              <w:ind w:firstLine="0"/>
              <w:jc w:val="center"/>
            </w:pPr>
            <w:r>
              <w:rPr>
                <w:sz w:val="20"/>
                <w:szCs w:val="20"/>
              </w:rPr>
              <w:t xml:space="preserve">17,13%</w:t>
            </w:r>
          </w:p>
        </w:tc>
        <w:tc>
          <w:tcPr>
            <w:tcW w:type="dxa" w:w="1201"/>
            <w:vAlign w:val="center"/>
          </w:tcPr>
          <w:p>
            <w:pPr>
              <w:spacing w:before="20" w:after="20" w:line="260" w:lineRule="auto"/>
              <w:ind w:firstLine="0"/>
              <w:jc w:val="center"/>
            </w:pPr>
            <w:r>
              <w:rPr>
                <w:sz w:val="20"/>
                <w:szCs w:val="20"/>
              </w:rPr>
              <w:t xml:space="preserve">12,50%</w:t>
            </w:r>
          </w:p>
        </w:tc>
        <w:tc>
          <w:tcPr>
            <w:tcW w:type="dxa" w:w="1531"/>
            <w:vAlign w:val="center"/>
          </w:tcPr>
          <w:p>
            <w:pPr>
              <w:spacing w:before="20" w:after="20" w:line="260" w:lineRule="auto"/>
              <w:ind w:firstLine="0"/>
              <w:jc w:val="center"/>
            </w:pPr>
            <w:r>
              <w:rPr>
                <w:sz w:val="20"/>
                <w:szCs w:val="20"/>
              </w:rPr>
              <w:t xml:space="preserve">45.134</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38.695</w:t>
            </w:r>
          </w:p>
        </w:tc>
        <w:tc>
          <w:tcPr>
            <w:tcW w:type="dxa" w:w="1201"/>
            <w:vAlign w:val="center"/>
          </w:tcPr>
          <w:p>
            <w:pPr>
              <w:spacing w:before="20" w:after="20" w:line="260" w:lineRule="auto"/>
              <w:ind w:firstLine="0"/>
              <w:jc w:val="center"/>
            </w:pPr>
            <w:r>
              <w:rPr>
                <w:sz w:val="20"/>
                <w:szCs w:val="20"/>
              </w:rPr>
              <w:t xml:space="preserve">43.434</w:t>
            </w:r>
          </w:p>
        </w:tc>
        <w:tc>
          <w:tcPr>
            <w:tcW w:type="dxa" w:w="1201"/>
            <w:vAlign w:val="center"/>
          </w:tcPr>
          <w:p>
            <w:pPr>
              <w:spacing w:before="20" w:after="20" w:line="260" w:lineRule="auto"/>
              <w:ind w:firstLine="0"/>
              <w:jc w:val="center"/>
            </w:pPr>
            <w:r>
              <w:rPr>
                <w:sz w:val="20"/>
                <w:szCs w:val="20"/>
              </w:rPr>
              <w:t xml:space="preserve">12,51%</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20.851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37.623</w:t>
            </w:r>
          </w:p>
        </w:tc>
        <w:tc>
          <w:tcPr>
            <w:tcW w:type="dxa" w:w="1201"/>
            <w:vAlign w:val="center"/>
          </w:tcPr>
          <w:p>
            <w:pPr>
              <w:spacing w:before="20" w:after="20" w:line="260" w:lineRule="auto"/>
              <w:ind w:firstLine="0"/>
              <w:jc w:val="center"/>
            </w:pPr>
            <w:r>
              <w:rPr>
                <w:sz w:val="20"/>
                <w:szCs w:val="20"/>
              </w:rPr>
              <w:t xml:space="preserve">45.127</w:t>
            </w:r>
          </w:p>
        </w:tc>
        <w:tc>
          <w:tcPr>
            <w:tcW w:type="dxa" w:w="1201"/>
            <w:vAlign w:val="center"/>
          </w:tcPr>
          <w:p>
            <w:pPr>
              <w:spacing w:before="20" w:after="20" w:line="260" w:lineRule="auto"/>
              <w:ind w:firstLine="0"/>
              <w:jc w:val="center"/>
            </w:pPr>
            <w:r>
              <w:rPr>
                <w:sz w:val="20"/>
                <w:szCs w:val="20"/>
              </w:rPr>
              <w:t xml:space="preserve">20,45%</w:t>
            </w:r>
          </w:p>
        </w:tc>
        <w:tc>
          <w:tcPr>
            <w:tcW w:type="dxa" w:w="1201"/>
            <w:vAlign w:val="center"/>
          </w:tcPr>
          <w:p>
            <w:pPr>
              <w:spacing w:before="20" w:after="20" w:line="260" w:lineRule="auto"/>
              <w:ind w:firstLine="0"/>
              <w:jc w:val="center"/>
            </w:pPr>
            <w:r>
              <w:rPr>
                <w:sz w:val="20"/>
                <w:szCs w:val="20"/>
              </w:rPr>
              <w:t xml:space="preserve">37,50%</w:t>
            </w:r>
          </w:p>
        </w:tc>
        <w:tc>
          <w:tcPr>
            <w:tcW w:type="dxa" w:w="1531"/>
            <w:vAlign w:val="center"/>
          </w:tcPr>
          <w:p>
            <w:pPr>
              <w:spacing w:before="20" w:after="20" w:line="260" w:lineRule="auto"/>
              <w:ind w:firstLine="0"/>
              <w:jc w:val="center"/>
            </w:pPr>
            <w:r>
              <w:rPr>
                <w:sz w:val="20"/>
                <w:szCs w:val="20"/>
              </w:rPr>
              <w:t xml:space="preserve">21.190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25.508</w:t>
            </w:r>
          </w:p>
        </w:tc>
        <w:tc>
          <w:tcPr>
            <w:tcW w:type="dxa" w:w="1201"/>
            <w:vAlign w:val="center"/>
          </w:tcPr>
          <w:p>
            <w:pPr>
              <w:spacing w:before="20" w:after="20" w:line="260" w:lineRule="auto"/>
              <w:ind w:firstLine="0"/>
              <w:jc w:val="center"/>
            </w:pPr>
            <w:r>
              <w:rPr>
                <w:sz w:val="20"/>
                <w:szCs w:val="20"/>
              </w:rPr>
              <w:t xml:space="preserve">28.353</w:t>
            </w:r>
          </w:p>
        </w:tc>
        <w:tc>
          <w:tcPr>
            <w:tcW w:type="dxa" w:w="1201"/>
            <w:vAlign w:val="center"/>
          </w:tcPr>
          <w:p>
            <w:pPr>
              <w:spacing w:before="20" w:after="20" w:line="260" w:lineRule="auto"/>
              <w:ind w:firstLine="0"/>
              <w:jc w:val="center"/>
            </w:pPr>
            <w:r>
              <w:rPr>
                <w:sz w:val="20"/>
                <w:szCs w:val="20"/>
              </w:rPr>
              <w:t xml:space="preserve">11,15%</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17.835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18.983</w:t>
            </w:r>
          </w:p>
        </w:tc>
        <w:tc>
          <w:tcPr>
            <w:tcW w:type="dxa" w:w="1201"/>
            <w:vAlign w:val="center"/>
          </w:tcPr>
          <w:p>
            <w:pPr>
              <w:spacing w:before="20" w:after="20" w:line="260" w:lineRule="auto"/>
              <w:ind w:firstLine="0"/>
              <w:jc w:val="center"/>
            </w:pPr>
            <w:r>
              <w:rPr>
                <w:sz w:val="20"/>
                <w:szCs w:val="20"/>
              </w:rPr>
              <w:t xml:space="preserve">20.625</w:t>
            </w:r>
          </w:p>
        </w:tc>
        <w:tc>
          <w:tcPr>
            <w:tcW w:type="dxa" w:w="1201"/>
            <w:vAlign w:val="center"/>
          </w:tcPr>
          <w:p>
            <w:pPr>
              <w:spacing w:before="20" w:after="20" w:line="260" w:lineRule="auto"/>
              <w:ind w:firstLine="0"/>
              <w:jc w:val="center"/>
            </w:pPr>
            <w:r>
              <w:rPr>
                <w:sz w:val="20"/>
                <w:szCs w:val="20"/>
              </w:rPr>
              <w:t xml:space="preserve">10,90%</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10.815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14.601</w:t>
            </w:r>
          </w:p>
        </w:tc>
        <w:tc>
          <w:tcPr>
            <w:tcW w:type="dxa" w:w="1201"/>
            <w:vAlign w:val="center"/>
          </w:tcPr>
          <w:p>
            <w:pPr>
              <w:spacing w:before="20" w:after="20" w:line="260" w:lineRule="auto"/>
              <w:ind w:firstLine="0"/>
              <w:jc w:val="center"/>
            </w:pPr>
            <w:r>
              <w:rPr>
                <w:sz w:val="20"/>
                <w:szCs w:val="20"/>
              </w:rPr>
              <w:t xml:space="preserve">15.624</w:t>
            </w:r>
          </w:p>
        </w:tc>
        <w:tc>
          <w:tcPr>
            <w:tcW w:type="dxa" w:w="1201"/>
            <w:vAlign w:val="center"/>
          </w:tcPr>
          <w:p>
            <w:pPr>
              <w:spacing w:before="20" w:after="20" w:line="260" w:lineRule="auto"/>
              <w:ind w:firstLine="0"/>
              <w:jc w:val="center"/>
            </w:pPr>
            <w:r>
              <w:rPr>
                <w:sz w:val="20"/>
                <w:szCs w:val="20"/>
              </w:rPr>
              <w:t xml:space="preserve">10,56%</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7.990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10.125</w:t>
            </w:r>
          </w:p>
        </w:tc>
        <w:tc>
          <w:tcPr>
            <w:tcW w:type="dxa" w:w="1201"/>
            <w:vAlign w:val="center"/>
          </w:tcPr>
          <w:p>
            <w:pPr>
              <w:spacing w:before="20" w:after="20" w:line="260" w:lineRule="auto"/>
              <w:ind w:firstLine="0"/>
              <w:jc w:val="center"/>
            </w:pPr>
            <w:r>
              <w:rPr>
                <w:sz w:val="20"/>
                <w:szCs w:val="20"/>
              </w:rPr>
              <w:t xml:space="preserve">12.789</w:t>
            </w:r>
          </w:p>
        </w:tc>
        <w:tc>
          <w:tcPr>
            <w:tcW w:type="dxa" w:w="1201"/>
            <w:vAlign w:val="center"/>
          </w:tcPr>
          <w:p>
            <w:pPr>
              <w:spacing w:before="20" w:after="20" w:line="260" w:lineRule="auto"/>
              <w:ind w:firstLine="0"/>
              <w:jc w:val="center"/>
            </w:pPr>
            <w:r>
              <w:rPr>
                <w:sz w:val="20"/>
                <w:szCs w:val="20"/>
              </w:rPr>
              <w:t xml:space="preserve">28,13%</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5.598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EGGS</w:t>
            </w:r>
          </w:p>
        </w:tc>
        <w:tc>
          <w:tcPr>
            <w:tcW w:type="dxa" w:w="1201"/>
            <w:vAlign w:val="center"/>
          </w:tcPr>
          <w:p>
            <w:pPr>
              <w:spacing w:before="20" w:after="20" w:line="260" w:lineRule="auto"/>
              <w:ind w:firstLine="0"/>
              <w:jc w:val="center"/>
            </w:pPr>
            <w:r>
              <w:rPr>
                <w:sz w:val="20"/>
                <w:szCs w:val="20"/>
              </w:rPr>
              <w:t xml:space="preserve">9.876</w:t>
            </w:r>
          </w:p>
        </w:tc>
        <w:tc>
          <w:tcPr>
            <w:tcW w:type="dxa" w:w="1201"/>
            <w:vAlign w:val="center"/>
          </w:tcPr>
          <w:p>
            <w:pPr>
              <w:spacing w:before="20" w:after="20" w:line="260" w:lineRule="auto"/>
              <w:ind w:firstLine="0"/>
              <w:jc w:val="center"/>
            </w:pPr>
            <w:r>
              <w:rPr>
                <w:sz w:val="20"/>
                <w:szCs w:val="20"/>
              </w:rPr>
              <w:t xml:space="preserve">10.751</w:t>
            </w:r>
          </w:p>
        </w:tc>
        <w:tc>
          <w:tcPr>
            <w:tcW w:type="dxa" w:w="1201"/>
            <w:vAlign w:val="center"/>
          </w:tcPr>
          <w:p>
            <w:pPr>
              <w:spacing w:before="20" w:after="20" w:line="260" w:lineRule="auto"/>
              <w:ind w:firstLine="0"/>
              <w:jc w:val="center"/>
            </w:pPr>
            <w:r>
              <w:rPr>
                <w:sz w:val="20"/>
                <w:szCs w:val="20"/>
              </w:rPr>
              <w:t xml:space="preserve">10,48%</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4.502</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A.45. Cửa hàng 45 (Quito, Pichincha; loại A, cụm 11)</w:t>
      </w:r>
    </w:p>
    <w:p>
      <w:pPr>
        <w:keepLines w:val="0"/>
        <w:spacing w:after="120"/>
        <w:ind w:firstLine="567"/>
      </w:pPr>
      <w:r>
        <w:t xml:space="preserve">Trong 16 ngày của tập kiểm tra cuối, cửa hàng 45 có tổng doanh số thực tế 631.269 (hạng 2/54 về quy mô) và tổng dự báo 663.275, tức dự báo cao hơn thực tế 5,07%. WAPE của cửa hàng là 11,32% (hạng 12/54 từ thấp đến cao), MAE 135,328, RMSE 393,218 và bias −60,618. Độ bao phủ thực nghiệm của khoảng P10–P90 đạt 73,86% (hạng 36/54), so với mức danh nghĩa 80%. Nhóm có doanh số thực tế lớn nhất là GROCERY I (176.225; WAPE 6,36%; bao phủ 62,50%). Trong các nhóm có quy mô từ trung vị của cửa hàng trở lên, nhóm có WAPE thấp nhất là PRODUCE (6,06%).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600.844, 663.022 và 766.781; tổng lượng bổ sung gợi ý theo giả định là 236.363. Cửa hàng có 15 nhóm mang nhãn HIGH, 15 nhóm MEDIUM và 3 nhóm LOW. Bảng A.47 liệt kê mười nhóm có doanh số thực tế lớn nhất của cửa hàng.</w:t>
      </w:r>
    </w:p>
    <w:p>
      <w:pPr>
        <w:keepNext/>
        <w:spacing w:before="120" w:after="60"/>
        <w:ind w:firstLine="0"/>
        <w:jc w:val="center"/>
      </w:pPr>
      <w:r>
        <w:t xml:space="preserve">Bảng A.47. Mười nhóm sản phẩm có doanh số thực tế lớn nhất của cửa hàng 45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176.225</w:t>
            </w:r>
          </w:p>
        </w:tc>
        <w:tc>
          <w:tcPr>
            <w:tcW w:type="dxa" w:w="1201"/>
            <w:vAlign w:val="center"/>
          </w:tcPr>
          <w:p>
            <w:pPr>
              <w:spacing w:before="20" w:after="20" w:line="260" w:lineRule="auto"/>
              <w:ind w:firstLine="0"/>
              <w:jc w:val="center"/>
            </w:pPr>
            <w:r>
              <w:rPr>
                <w:sz w:val="20"/>
                <w:szCs w:val="20"/>
              </w:rPr>
              <w:t xml:space="preserve">180.313</w:t>
            </w:r>
          </w:p>
        </w:tc>
        <w:tc>
          <w:tcPr>
            <w:tcW w:type="dxa" w:w="1201"/>
            <w:vAlign w:val="center"/>
          </w:tcPr>
          <w:p>
            <w:pPr>
              <w:spacing w:before="20" w:after="20" w:line="260" w:lineRule="auto"/>
              <w:ind w:firstLine="0"/>
              <w:jc w:val="center"/>
            </w:pPr>
            <w:r>
              <w:rPr>
                <w:sz w:val="20"/>
                <w:szCs w:val="20"/>
              </w:rPr>
              <w:t xml:space="preserve">6,36%</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48.227</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141.064</w:t>
            </w:r>
          </w:p>
        </w:tc>
        <w:tc>
          <w:tcPr>
            <w:tcW w:type="dxa" w:w="1201"/>
            <w:vAlign w:val="center"/>
          </w:tcPr>
          <w:p>
            <w:pPr>
              <w:spacing w:before="20" w:after="20" w:line="260" w:lineRule="auto"/>
              <w:ind w:firstLine="0"/>
              <w:jc w:val="center"/>
            </w:pPr>
            <w:r>
              <w:rPr>
                <w:sz w:val="20"/>
                <w:szCs w:val="20"/>
              </w:rPr>
              <w:t xml:space="preserve">162.252</w:t>
            </w:r>
          </w:p>
        </w:tc>
        <w:tc>
          <w:tcPr>
            <w:tcW w:type="dxa" w:w="1201"/>
            <w:vAlign w:val="center"/>
          </w:tcPr>
          <w:p>
            <w:pPr>
              <w:spacing w:before="20" w:after="20" w:line="260" w:lineRule="auto"/>
              <w:ind w:firstLine="0"/>
              <w:jc w:val="center"/>
            </w:pPr>
            <w:r>
              <w:rPr>
                <w:sz w:val="20"/>
                <w:szCs w:val="20"/>
              </w:rPr>
              <w:t xml:space="preserve">17,31%</w:t>
            </w:r>
          </w:p>
        </w:tc>
        <w:tc>
          <w:tcPr>
            <w:tcW w:type="dxa" w:w="1201"/>
            <w:vAlign w:val="center"/>
          </w:tcPr>
          <w:p>
            <w:pPr>
              <w:spacing w:before="20" w:after="20" w:line="260" w:lineRule="auto"/>
              <w:ind w:firstLine="0"/>
              <w:jc w:val="center"/>
            </w:pPr>
            <w:r>
              <w:rPr>
                <w:sz w:val="20"/>
                <w:szCs w:val="20"/>
              </w:rPr>
              <w:t xml:space="preserve">25,00%</w:t>
            </w:r>
          </w:p>
        </w:tc>
        <w:tc>
          <w:tcPr>
            <w:tcW w:type="dxa" w:w="1531"/>
            <w:vAlign w:val="center"/>
          </w:tcPr>
          <w:p>
            <w:pPr>
              <w:spacing w:before="20" w:after="20" w:line="260" w:lineRule="auto"/>
              <w:ind w:firstLine="0"/>
              <w:jc w:val="center"/>
            </w:pPr>
            <w:r>
              <w:rPr>
                <w:sz w:val="20"/>
                <w:szCs w:val="20"/>
              </w:rPr>
              <w:t xml:space="preserve">44.615</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104.098</w:t>
            </w:r>
          </w:p>
        </w:tc>
        <w:tc>
          <w:tcPr>
            <w:tcW w:type="dxa" w:w="1201"/>
            <w:vAlign w:val="center"/>
          </w:tcPr>
          <w:p>
            <w:pPr>
              <w:spacing w:before="20" w:after="20" w:line="260" w:lineRule="auto"/>
              <w:ind w:firstLine="0"/>
              <w:jc w:val="center"/>
            </w:pPr>
            <w:r>
              <w:rPr>
                <w:sz w:val="20"/>
                <w:szCs w:val="20"/>
              </w:rPr>
              <w:t xml:space="preserve">105.343</w:t>
            </w:r>
          </w:p>
        </w:tc>
        <w:tc>
          <w:tcPr>
            <w:tcW w:type="dxa" w:w="1201"/>
            <w:vAlign w:val="center"/>
          </w:tcPr>
          <w:p>
            <w:pPr>
              <w:spacing w:before="20" w:after="20" w:line="260" w:lineRule="auto"/>
              <w:ind w:firstLine="0"/>
              <w:jc w:val="center"/>
            </w:pPr>
            <w:r>
              <w:rPr>
                <w:sz w:val="20"/>
                <w:szCs w:val="20"/>
              </w:rPr>
              <w:t xml:space="preserve">6,06%</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33.233</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41.314</w:t>
            </w:r>
          </w:p>
        </w:tc>
        <w:tc>
          <w:tcPr>
            <w:tcW w:type="dxa" w:w="1201"/>
            <w:vAlign w:val="center"/>
          </w:tcPr>
          <w:p>
            <w:pPr>
              <w:spacing w:before="20" w:after="20" w:line="260" w:lineRule="auto"/>
              <w:ind w:firstLine="0"/>
              <w:jc w:val="center"/>
            </w:pPr>
            <w:r>
              <w:rPr>
                <w:sz w:val="20"/>
                <w:szCs w:val="20"/>
              </w:rPr>
              <w:t xml:space="preserve">45.130</w:t>
            </w:r>
          </w:p>
        </w:tc>
        <w:tc>
          <w:tcPr>
            <w:tcW w:type="dxa" w:w="1201"/>
            <w:vAlign w:val="center"/>
          </w:tcPr>
          <w:p>
            <w:pPr>
              <w:spacing w:before="20" w:after="20" w:line="260" w:lineRule="auto"/>
              <w:ind w:firstLine="0"/>
              <w:jc w:val="center"/>
            </w:pPr>
            <w:r>
              <w:rPr>
                <w:sz w:val="20"/>
                <w:szCs w:val="20"/>
              </w:rPr>
              <w:t xml:space="preserve">12,67%</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21.190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35.368</w:t>
            </w:r>
          </w:p>
        </w:tc>
        <w:tc>
          <w:tcPr>
            <w:tcW w:type="dxa" w:w="1201"/>
            <w:vAlign w:val="center"/>
          </w:tcPr>
          <w:p>
            <w:pPr>
              <w:spacing w:before="20" w:after="20" w:line="260" w:lineRule="auto"/>
              <w:ind w:firstLine="0"/>
              <w:jc w:val="center"/>
            </w:pPr>
            <w:r>
              <w:rPr>
                <w:sz w:val="20"/>
                <w:szCs w:val="20"/>
              </w:rPr>
              <w:t xml:space="preserve">38.860</w:t>
            </w:r>
          </w:p>
        </w:tc>
        <w:tc>
          <w:tcPr>
            <w:tcW w:type="dxa" w:w="1201"/>
            <w:vAlign w:val="center"/>
          </w:tcPr>
          <w:p>
            <w:pPr>
              <w:spacing w:before="20" w:after="20" w:line="260" w:lineRule="auto"/>
              <w:ind w:firstLine="0"/>
              <w:jc w:val="center"/>
            </w:pPr>
            <w:r>
              <w:rPr>
                <w:sz w:val="20"/>
                <w:szCs w:val="20"/>
              </w:rPr>
              <w:t xml:space="preserve">10,84%</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19.936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21.445</w:t>
            </w:r>
          </w:p>
        </w:tc>
        <w:tc>
          <w:tcPr>
            <w:tcW w:type="dxa" w:w="1201"/>
            <w:vAlign w:val="center"/>
          </w:tcPr>
          <w:p>
            <w:pPr>
              <w:spacing w:before="20" w:after="20" w:line="260" w:lineRule="auto"/>
              <w:ind w:firstLine="0"/>
              <w:jc w:val="center"/>
            </w:pPr>
            <w:r>
              <w:rPr>
                <w:sz w:val="20"/>
                <w:szCs w:val="20"/>
              </w:rPr>
              <w:t xml:space="preserve">21.959</w:t>
            </w:r>
          </w:p>
        </w:tc>
        <w:tc>
          <w:tcPr>
            <w:tcW w:type="dxa" w:w="1201"/>
            <w:vAlign w:val="center"/>
          </w:tcPr>
          <w:p>
            <w:pPr>
              <w:spacing w:before="20" w:after="20" w:line="260" w:lineRule="auto"/>
              <w:ind w:firstLine="0"/>
              <w:jc w:val="center"/>
            </w:pPr>
            <w:r>
              <w:rPr>
                <w:sz w:val="20"/>
                <w:szCs w:val="20"/>
              </w:rPr>
              <w:t xml:space="preserve">7,09%</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12.906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19.681</w:t>
            </w:r>
          </w:p>
        </w:tc>
        <w:tc>
          <w:tcPr>
            <w:tcW w:type="dxa" w:w="1201"/>
            <w:vAlign w:val="center"/>
          </w:tcPr>
          <w:p>
            <w:pPr>
              <w:spacing w:before="20" w:after="20" w:line="260" w:lineRule="auto"/>
              <w:ind w:firstLine="0"/>
              <w:jc w:val="center"/>
            </w:pPr>
            <w:r>
              <w:rPr>
                <w:sz w:val="20"/>
                <w:szCs w:val="20"/>
              </w:rPr>
              <w:t xml:space="preserve">20.933</w:t>
            </w:r>
          </w:p>
        </w:tc>
        <w:tc>
          <w:tcPr>
            <w:tcW w:type="dxa" w:w="1201"/>
            <w:vAlign w:val="center"/>
          </w:tcPr>
          <w:p>
            <w:pPr>
              <w:spacing w:before="20" w:after="20" w:line="260" w:lineRule="auto"/>
              <w:ind w:firstLine="0"/>
              <w:jc w:val="center"/>
            </w:pPr>
            <w:r>
              <w:rPr>
                <w:sz w:val="20"/>
                <w:szCs w:val="20"/>
              </w:rPr>
              <w:t xml:space="preserve">8,26%</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12.701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19.265</w:t>
            </w:r>
          </w:p>
        </w:tc>
        <w:tc>
          <w:tcPr>
            <w:tcW w:type="dxa" w:w="1201"/>
            <w:vAlign w:val="center"/>
          </w:tcPr>
          <w:p>
            <w:pPr>
              <w:spacing w:before="20" w:after="20" w:line="260" w:lineRule="auto"/>
              <w:ind w:firstLine="0"/>
              <w:jc w:val="center"/>
            </w:pPr>
            <w:r>
              <w:rPr>
                <w:sz w:val="20"/>
                <w:szCs w:val="20"/>
              </w:rPr>
              <w:t xml:space="preserve">19.164</w:t>
            </w:r>
          </w:p>
        </w:tc>
        <w:tc>
          <w:tcPr>
            <w:tcW w:type="dxa" w:w="1201"/>
            <w:vAlign w:val="center"/>
          </w:tcPr>
          <w:p>
            <w:pPr>
              <w:spacing w:before="20" w:after="20" w:line="260" w:lineRule="auto"/>
              <w:ind w:firstLine="0"/>
              <w:jc w:val="center"/>
            </w:pPr>
            <w:r>
              <w:rPr>
                <w:sz w:val="20"/>
                <w:szCs w:val="20"/>
              </w:rPr>
              <w:t xml:space="preserve">8,17%</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9.914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12.720</w:t>
            </w:r>
          </w:p>
        </w:tc>
        <w:tc>
          <w:tcPr>
            <w:tcW w:type="dxa" w:w="1201"/>
            <w:vAlign w:val="center"/>
          </w:tcPr>
          <w:p>
            <w:pPr>
              <w:spacing w:before="20" w:after="20" w:line="260" w:lineRule="auto"/>
              <w:ind w:firstLine="0"/>
              <w:jc w:val="center"/>
            </w:pPr>
            <w:r>
              <w:rPr>
                <w:sz w:val="20"/>
                <w:szCs w:val="20"/>
              </w:rPr>
              <w:t xml:space="preserve">12.263</w:t>
            </w:r>
          </w:p>
        </w:tc>
        <w:tc>
          <w:tcPr>
            <w:tcW w:type="dxa" w:w="1201"/>
            <w:vAlign w:val="center"/>
          </w:tcPr>
          <w:p>
            <w:pPr>
              <w:spacing w:before="20" w:after="20" w:line="260" w:lineRule="auto"/>
              <w:ind w:firstLine="0"/>
              <w:jc w:val="center"/>
            </w:pPr>
            <w:r>
              <w:rPr>
                <w:sz w:val="20"/>
                <w:szCs w:val="20"/>
              </w:rPr>
              <w:t xml:space="preserve">11,85%</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5.493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11.866</w:t>
            </w:r>
          </w:p>
        </w:tc>
        <w:tc>
          <w:tcPr>
            <w:tcW w:type="dxa" w:w="1201"/>
            <w:vAlign w:val="center"/>
          </w:tcPr>
          <w:p>
            <w:pPr>
              <w:spacing w:before="20" w:after="20" w:line="260" w:lineRule="auto"/>
              <w:ind w:firstLine="0"/>
              <w:jc w:val="center"/>
            </w:pPr>
            <w:r>
              <w:rPr>
                <w:sz w:val="20"/>
                <w:szCs w:val="20"/>
              </w:rPr>
              <w:t xml:space="preserve">12.578</w:t>
            </w:r>
          </w:p>
        </w:tc>
        <w:tc>
          <w:tcPr>
            <w:tcW w:type="dxa" w:w="1201"/>
            <w:vAlign w:val="center"/>
          </w:tcPr>
          <w:p>
            <w:pPr>
              <w:spacing w:before="20" w:after="20" w:line="260" w:lineRule="auto"/>
              <w:ind w:firstLine="0"/>
              <w:jc w:val="center"/>
            </w:pPr>
            <w:r>
              <w:rPr>
                <w:sz w:val="20"/>
                <w:szCs w:val="20"/>
              </w:rPr>
              <w:t xml:space="preserve">7,59%</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4.947</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A.46. Cửa hàng 46 (Quito, Pichincha; loại A, cụm 14)</w:t>
      </w:r>
    </w:p>
    <w:p>
      <w:pPr>
        <w:keepLines w:val="0"/>
        <w:spacing w:after="120"/>
        <w:ind w:firstLine="567"/>
      </w:pPr>
      <w:r>
        <w:t xml:space="preserve">Trong 16 ngày của tập kiểm tra cuối, cửa hàng 46 có tổng doanh số thực tế 456.762 (hạng 6/54 về quy mô) và tổng dự báo 496.358, tức dự báo cao hơn thực tế 8,67%. WAPE của cửa hàng là 13,66% (hạng 24/54 từ thấp đến cao), MAE 118,202, RMSE 339,139 và bias −74,994. Độ bao phủ thực nghiệm của khoảng P10–P90 đạt 74,62% (hạng 33/54), so với mức danh nghĩa 80%. Nhóm có doanh số thực tế lớn nhất là GROCERY I (151.470; WAPE 12,30%; bao phủ 25,00%). Trong các nhóm có quy mô từ trung vị của cửa hàng trở lên, nhóm có WAPE thấp nhất là PRODUCE (5,50%). Có 1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441.072, 495.780 và 586.288; tổng lượng bổ sung gợi ý theo giả định là 189.665. Cửa hàng có 17 nhóm mang nhãn HIGH, 14 nhóm MEDIUM và 2 nhóm LOW. Bảng A.48 liệt kê mười nhóm có doanh số thực tế lớn nhất của cửa hàng.</w:t>
      </w:r>
    </w:p>
    <w:p>
      <w:pPr>
        <w:keepNext/>
        <w:spacing w:before="120" w:after="60"/>
        <w:ind w:firstLine="0"/>
        <w:jc w:val="center"/>
      </w:pPr>
      <w:r>
        <w:t xml:space="preserve">Bảng A.48. Mười nhóm sản phẩm có doanh số thực tế lớn nhất của cửa hàng 46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151.470</w:t>
            </w:r>
          </w:p>
        </w:tc>
        <w:tc>
          <w:tcPr>
            <w:tcW w:type="dxa" w:w="1201"/>
            <w:vAlign w:val="center"/>
          </w:tcPr>
          <w:p>
            <w:pPr>
              <w:spacing w:before="20" w:after="20" w:line="260" w:lineRule="auto"/>
              <w:ind w:firstLine="0"/>
              <w:jc w:val="center"/>
            </w:pPr>
            <w:r>
              <w:rPr>
                <w:sz w:val="20"/>
                <w:szCs w:val="20"/>
              </w:rPr>
              <w:t xml:space="preserve">166.787</w:t>
            </w:r>
          </w:p>
        </w:tc>
        <w:tc>
          <w:tcPr>
            <w:tcW w:type="dxa" w:w="1201"/>
            <w:vAlign w:val="center"/>
          </w:tcPr>
          <w:p>
            <w:pPr>
              <w:spacing w:before="20" w:after="20" w:line="260" w:lineRule="auto"/>
              <w:ind w:firstLine="0"/>
              <w:jc w:val="center"/>
            </w:pPr>
            <w:r>
              <w:rPr>
                <w:sz w:val="20"/>
                <w:szCs w:val="20"/>
              </w:rPr>
              <w:t xml:space="preserve">12,30%</w:t>
            </w:r>
          </w:p>
        </w:tc>
        <w:tc>
          <w:tcPr>
            <w:tcW w:type="dxa" w:w="1201"/>
            <w:vAlign w:val="center"/>
          </w:tcPr>
          <w:p>
            <w:pPr>
              <w:spacing w:before="20" w:after="20" w:line="260" w:lineRule="auto"/>
              <w:ind w:firstLine="0"/>
              <w:jc w:val="center"/>
            </w:pPr>
            <w:r>
              <w:rPr>
                <w:sz w:val="20"/>
                <w:szCs w:val="20"/>
              </w:rPr>
              <w:t xml:space="preserve">25,00%</w:t>
            </w:r>
          </w:p>
        </w:tc>
        <w:tc>
          <w:tcPr>
            <w:tcW w:type="dxa" w:w="1531"/>
            <w:vAlign w:val="center"/>
          </w:tcPr>
          <w:p>
            <w:pPr>
              <w:spacing w:before="20" w:after="20" w:line="260" w:lineRule="auto"/>
              <w:ind w:firstLine="0"/>
              <w:jc w:val="center"/>
            </w:pPr>
            <w:r>
              <w:rPr>
                <w:sz w:val="20"/>
                <w:szCs w:val="20"/>
              </w:rPr>
              <w:t xml:space="preserve">45.522</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93.164</w:t>
            </w:r>
          </w:p>
        </w:tc>
        <w:tc>
          <w:tcPr>
            <w:tcW w:type="dxa" w:w="1201"/>
            <w:vAlign w:val="center"/>
          </w:tcPr>
          <w:p>
            <w:pPr>
              <w:spacing w:before="20" w:after="20" w:line="260" w:lineRule="auto"/>
              <w:ind w:firstLine="0"/>
              <w:jc w:val="center"/>
            </w:pPr>
            <w:r>
              <w:rPr>
                <w:sz w:val="20"/>
                <w:szCs w:val="20"/>
              </w:rPr>
              <w:t xml:space="preserve">105.801</w:t>
            </w:r>
          </w:p>
        </w:tc>
        <w:tc>
          <w:tcPr>
            <w:tcW w:type="dxa" w:w="1201"/>
            <w:vAlign w:val="center"/>
          </w:tcPr>
          <w:p>
            <w:pPr>
              <w:spacing w:before="20" w:after="20" w:line="260" w:lineRule="auto"/>
              <w:ind w:firstLine="0"/>
              <w:jc w:val="center"/>
            </w:pPr>
            <w:r>
              <w:rPr>
                <w:sz w:val="20"/>
                <w:szCs w:val="20"/>
              </w:rPr>
              <w:t xml:space="preserve">13,67%</w:t>
            </w:r>
          </w:p>
        </w:tc>
        <w:tc>
          <w:tcPr>
            <w:tcW w:type="dxa" w:w="1201"/>
            <w:vAlign w:val="center"/>
          </w:tcPr>
          <w:p>
            <w:pPr>
              <w:spacing w:before="20" w:after="20" w:line="260" w:lineRule="auto"/>
              <w:ind w:firstLine="0"/>
              <w:jc w:val="center"/>
            </w:pPr>
            <w:r>
              <w:rPr>
                <w:sz w:val="20"/>
                <w:szCs w:val="20"/>
              </w:rPr>
              <w:t xml:space="preserve">18,75%</w:t>
            </w:r>
          </w:p>
        </w:tc>
        <w:tc>
          <w:tcPr>
            <w:tcW w:type="dxa" w:w="1531"/>
            <w:vAlign w:val="center"/>
          </w:tcPr>
          <w:p>
            <w:pPr>
              <w:spacing w:before="20" w:after="20" w:line="260" w:lineRule="auto"/>
              <w:ind w:firstLine="0"/>
              <w:jc w:val="center"/>
            </w:pPr>
            <w:r>
              <w:rPr>
                <w:sz w:val="20"/>
                <w:szCs w:val="20"/>
              </w:rPr>
              <w:t xml:space="preserve">33.325</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47.002</w:t>
            </w:r>
          </w:p>
        </w:tc>
        <w:tc>
          <w:tcPr>
            <w:tcW w:type="dxa" w:w="1201"/>
            <w:vAlign w:val="center"/>
          </w:tcPr>
          <w:p>
            <w:pPr>
              <w:spacing w:before="20" w:after="20" w:line="260" w:lineRule="auto"/>
              <w:ind w:firstLine="0"/>
              <w:jc w:val="center"/>
            </w:pPr>
            <w:r>
              <w:rPr>
                <w:sz w:val="20"/>
                <w:szCs w:val="20"/>
              </w:rPr>
              <w:t xml:space="preserve">47.804</w:t>
            </w:r>
          </w:p>
        </w:tc>
        <w:tc>
          <w:tcPr>
            <w:tcW w:type="dxa" w:w="1201"/>
            <w:vAlign w:val="center"/>
          </w:tcPr>
          <w:p>
            <w:pPr>
              <w:spacing w:before="20" w:after="20" w:line="260" w:lineRule="auto"/>
              <w:ind w:firstLine="0"/>
              <w:jc w:val="center"/>
            </w:pPr>
            <w:r>
              <w:rPr>
                <w:sz w:val="20"/>
                <w:szCs w:val="20"/>
              </w:rPr>
              <w:t xml:space="preserve">5,50%</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21.725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35.831</w:t>
            </w:r>
          </w:p>
        </w:tc>
        <w:tc>
          <w:tcPr>
            <w:tcW w:type="dxa" w:w="1201"/>
            <w:vAlign w:val="center"/>
          </w:tcPr>
          <w:p>
            <w:pPr>
              <w:spacing w:before="20" w:after="20" w:line="260" w:lineRule="auto"/>
              <w:ind w:firstLine="0"/>
              <w:jc w:val="center"/>
            </w:pPr>
            <w:r>
              <w:rPr>
                <w:sz w:val="20"/>
                <w:szCs w:val="20"/>
              </w:rPr>
              <w:t xml:space="preserve">42.369</w:t>
            </w:r>
          </w:p>
        </w:tc>
        <w:tc>
          <w:tcPr>
            <w:tcW w:type="dxa" w:w="1201"/>
            <w:vAlign w:val="center"/>
          </w:tcPr>
          <w:p>
            <w:pPr>
              <w:spacing w:before="20" w:after="20" w:line="260" w:lineRule="auto"/>
              <w:ind w:firstLine="0"/>
              <w:jc w:val="center"/>
            </w:pPr>
            <w:r>
              <w:rPr>
                <w:sz w:val="20"/>
                <w:szCs w:val="20"/>
              </w:rPr>
              <w:t xml:space="preserve">20,55%</w:t>
            </w:r>
          </w:p>
        </w:tc>
        <w:tc>
          <w:tcPr>
            <w:tcW w:type="dxa" w:w="1201"/>
            <w:vAlign w:val="center"/>
          </w:tcPr>
          <w:p>
            <w:pPr>
              <w:spacing w:before="20" w:after="20" w:line="260" w:lineRule="auto"/>
              <w:ind w:firstLine="0"/>
              <w:jc w:val="center"/>
            </w:pPr>
            <w:r>
              <w:rPr>
                <w:sz w:val="20"/>
                <w:szCs w:val="20"/>
              </w:rPr>
              <w:t xml:space="preserve">50,00%</w:t>
            </w:r>
          </w:p>
        </w:tc>
        <w:tc>
          <w:tcPr>
            <w:tcW w:type="dxa" w:w="1531"/>
            <w:vAlign w:val="center"/>
          </w:tcPr>
          <w:p>
            <w:pPr>
              <w:spacing w:before="20" w:after="20" w:line="260" w:lineRule="auto"/>
              <w:ind w:firstLine="0"/>
              <w:jc w:val="center"/>
            </w:pPr>
            <w:r>
              <w:rPr>
                <w:sz w:val="20"/>
                <w:szCs w:val="20"/>
              </w:rPr>
              <w:t xml:space="preserve">20.638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24.271</w:t>
            </w:r>
          </w:p>
        </w:tc>
        <w:tc>
          <w:tcPr>
            <w:tcW w:type="dxa" w:w="1201"/>
            <w:vAlign w:val="center"/>
          </w:tcPr>
          <w:p>
            <w:pPr>
              <w:spacing w:before="20" w:after="20" w:line="260" w:lineRule="auto"/>
              <w:ind w:firstLine="0"/>
              <w:jc w:val="center"/>
            </w:pPr>
            <w:r>
              <w:rPr>
                <w:sz w:val="20"/>
                <w:szCs w:val="20"/>
              </w:rPr>
              <w:t xml:space="preserve">28.278</w:t>
            </w:r>
          </w:p>
        </w:tc>
        <w:tc>
          <w:tcPr>
            <w:tcW w:type="dxa" w:w="1201"/>
            <w:vAlign w:val="center"/>
          </w:tcPr>
          <w:p>
            <w:pPr>
              <w:spacing w:before="20" w:after="20" w:line="260" w:lineRule="auto"/>
              <w:ind w:firstLine="0"/>
              <w:jc w:val="center"/>
            </w:pPr>
            <w:r>
              <w:rPr>
                <w:sz w:val="20"/>
                <w:szCs w:val="20"/>
              </w:rPr>
              <w:t xml:space="preserve">16,94%</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17.820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17.761</w:t>
            </w:r>
          </w:p>
        </w:tc>
        <w:tc>
          <w:tcPr>
            <w:tcW w:type="dxa" w:w="1201"/>
            <w:vAlign w:val="center"/>
          </w:tcPr>
          <w:p>
            <w:pPr>
              <w:spacing w:before="20" w:after="20" w:line="260" w:lineRule="auto"/>
              <w:ind w:firstLine="0"/>
              <w:jc w:val="center"/>
            </w:pPr>
            <w:r>
              <w:rPr>
                <w:sz w:val="20"/>
                <w:szCs w:val="20"/>
              </w:rPr>
              <w:t xml:space="preserve">17.610</w:t>
            </w:r>
          </w:p>
        </w:tc>
        <w:tc>
          <w:tcPr>
            <w:tcW w:type="dxa" w:w="1201"/>
            <w:vAlign w:val="center"/>
          </w:tcPr>
          <w:p>
            <w:pPr>
              <w:spacing w:before="20" w:after="20" w:line="260" w:lineRule="auto"/>
              <w:ind w:firstLine="0"/>
              <w:jc w:val="center"/>
            </w:pPr>
            <w:r>
              <w:rPr>
                <w:sz w:val="20"/>
                <w:szCs w:val="20"/>
              </w:rPr>
              <w:t xml:space="preserve">9,31%</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8.387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14.660</w:t>
            </w:r>
          </w:p>
        </w:tc>
        <w:tc>
          <w:tcPr>
            <w:tcW w:type="dxa" w:w="1201"/>
            <w:vAlign w:val="center"/>
          </w:tcPr>
          <w:p>
            <w:pPr>
              <w:spacing w:before="20" w:after="20" w:line="260" w:lineRule="auto"/>
              <w:ind w:firstLine="0"/>
              <w:jc w:val="center"/>
            </w:pPr>
            <w:r>
              <w:rPr>
                <w:sz w:val="20"/>
                <w:szCs w:val="20"/>
              </w:rPr>
              <w:t xml:space="preserve">16.622</w:t>
            </w:r>
          </w:p>
        </w:tc>
        <w:tc>
          <w:tcPr>
            <w:tcW w:type="dxa" w:w="1201"/>
            <w:vAlign w:val="center"/>
          </w:tcPr>
          <w:p>
            <w:pPr>
              <w:spacing w:before="20" w:after="20" w:line="260" w:lineRule="auto"/>
              <w:ind w:firstLine="0"/>
              <w:jc w:val="center"/>
            </w:pPr>
            <w:r>
              <w:rPr>
                <w:sz w:val="20"/>
                <w:szCs w:val="20"/>
              </w:rPr>
              <w:t xml:space="preserve">15,35%</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7.581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13.500</w:t>
            </w:r>
          </w:p>
        </w:tc>
        <w:tc>
          <w:tcPr>
            <w:tcW w:type="dxa" w:w="1201"/>
            <w:vAlign w:val="center"/>
          </w:tcPr>
          <w:p>
            <w:pPr>
              <w:spacing w:before="20" w:after="20" w:line="260" w:lineRule="auto"/>
              <w:ind w:firstLine="0"/>
              <w:jc w:val="center"/>
            </w:pPr>
            <w:r>
              <w:rPr>
                <w:sz w:val="20"/>
                <w:szCs w:val="20"/>
              </w:rPr>
              <w:t xml:space="preserve">13.699</w:t>
            </w:r>
          </w:p>
        </w:tc>
        <w:tc>
          <w:tcPr>
            <w:tcW w:type="dxa" w:w="1201"/>
            <w:vAlign w:val="center"/>
          </w:tcPr>
          <w:p>
            <w:pPr>
              <w:spacing w:before="20" w:after="20" w:line="260" w:lineRule="auto"/>
              <w:ind w:firstLine="0"/>
              <w:jc w:val="center"/>
            </w:pPr>
            <w:r>
              <w:rPr>
                <w:sz w:val="20"/>
                <w:szCs w:val="20"/>
              </w:rPr>
              <w:t xml:space="preserve">9,51%</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5.780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13.254</w:t>
            </w:r>
          </w:p>
        </w:tc>
        <w:tc>
          <w:tcPr>
            <w:tcW w:type="dxa" w:w="1201"/>
            <w:vAlign w:val="center"/>
          </w:tcPr>
          <w:p>
            <w:pPr>
              <w:spacing w:before="20" w:after="20" w:line="260" w:lineRule="auto"/>
              <w:ind w:firstLine="0"/>
              <w:jc w:val="center"/>
            </w:pPr>
            <w:r>
              <w:rPr>
                <w:sz w:val="20"/>
                <w:szCs w:val="20"/>
              </w:rPr>
              <w:t xml:space="preserve">13.973</w:t>
            </w:r>
          </w:p>
        </w:tc>
        <w:tc>
          <w:tcPr>
            <w:tcW w:type="dxa" w:w="1201"/>
            <w:vAlign w:val="center"/>
          </w:tcPr>
          <w:p>
            <w:pPr>
              <w:spacing w:before="20" w:after="20" w:line="260" w:lineRule="auto"/>
              <w:ind w:firstLine="0"/>
              <w:jc w:val="center"/>
            </w:pPr>
            <w:r>
              <w:rPr>
                <w:sz w:val="20"/>
                <w:szCs w:val="20"/>
              </w:rPr>
              <w:t xml:space="preserve">9,69%</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6.443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12.870</w:t>
            </w:r>
          </w:p>
        </w:tc>
        <w:tc>
          <w:tcPr>
            <w:tcW w:type="dxa" w:w="1201"/>
            <w:vAlign w:val="center"/>
          </w:tcPr>
          <w:p>
            <w:pPr>
              <w:spacing w:before="20" w:after="20" w:line="260" w:lineRule="auto"/>
              <w:ind w:firstLine="0"/>
              <w:jc w:val="center"/>
            </w:pPr>
            <w:r>
              <w:rPr>
                <w:sz w:val="20"/>
                <w:szCs w:val="20"/>
              </w:rPr>
              <w:t xml:space="preserve">12.964</w:t>
            </w:r>
          </w:p>
        </w:tc>
        <w:tc>
          <w:tcPr>
            <w:tcW w:type="dxa" w:w="1201"/>
            <w:vAlign w:val="center"/>
          </w:tcPr>
          <w:p>
            <w:pPr>
              <w:spacing w:before="20" w:after="20" w:line="260" w:lineRule="auto"/>
              <w:ind w:firstLine="0"/>
              <w:jc w:val="center"/>
            </w:pPr>
            <w:r>
              <w:rPr>
                <w:sz w:val="20"/>
                <w:szCs w:val="20"/>
              </w:rPr>
              <w:t xml:space="preserve">9,15%</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5.633</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A.47. Cửa hàng 47 (Quito, Pichincha; loại A, cụm 14)</w:t>
      </w:r>
    </w:p>
    <w:p>
      <w:pPr>
        <w:keepLines w:val="0"/>
        <w:spacing w:after="120"/>
        <w:ind w:firstLine="567"/>
      </w:pPr>
      <w:r>
        <w:t xml:space="preserve">Trong 16 ngày của tập kiểm tra cuối, cửa hàng 47 có tổng doanh số thực tế 581.797 (hạng 3/54 về quy mô) và tổng dự báo 615.662, tức dự báo cao hơn thực tế 5,82%. WAPE của cửa hàng là 12,50% (hạng 16/54 từ thấp đến cao), MAE 137,706, RMSE 368,996 và bias −64,138. Độ bao phủ thực nghiệm của khoảng P10–P90 đạt 75,38% (hạng 28/54), so với mức danh nghĩa 80%. Nhóm có doanh số thực tế lớn nhất là GROCERY I (164.411; WAPE 9,87%; bao phủ 25,00%). Trong các nhóm có quy mô từ trung vị của cửa hàng trở lên, nhóm có WAPE thấp nhất là PRODUCE (5,14%).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556.760, 615.195 và 712.275; tổng lượng bổ sung gợi ý theo giả định là 220.120. Cửa hàng có 18 nhóm mang nhãn HIGH, 12 nhóm MEDIUM và 3 nhóm LOW. Bảng A.49 liệt kê mười nhóm có doanh số thực tế lớn nhất của cửa hàng.</w:t>
      </w:r>
    </w:p>
    <w:p>
      <w:pPr>
        <w:keepNext/>
        <w:spacing w:before="120" w:after="60"/>
        <w:ind w:firstLine="0"/>
        <w:jc w:val="center"/>
      </w:pPr>
      <w:r>
        <w:t xml:space="preserve">Bảng A.49. Mười nhóm sản phẩm có doanh số thực tế lớn nhất của cửa hàng 47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164.411</w:t>
            </w:r>
          </w:p>
        </w:tc>
        <w:tc>
          <w:tcPr>
            <w:tcW w:type="dxa" w:w="1201"/>
            <w:vAlign w:val="center"/>
          </w:tcPr>
          <w:p>
            <w:pPr>
              <w:spacing w:before="20" w:after="20" w:line="260" w:lineRule="auto"/>
              <w:ind w:firstLine="0"/>
              <w:jc w:val="center"/>
            </w:pPr>
            <w:r>
              <w:rPr>
                <w:sz w:val="20"/>
                <w:szCs w:val="20"/>
              </w:rPr>
              <w:t xml:space="preserve">171.278</w:t>
            </w:r>
          </w:p>
        </w:tc>
        <w:tc>
          <w:tcPr>
            <w:tcW w:type="dxa" w:w="1201"/>
            <w:vAlign w:val="center"/>
          </w:tcPr>
          <w:p>
            <w:pPr>
              <w:spacing w:before="20" w:after="20" w:line="260" w:lineRule="auto"/>
              <w:ind w:firstLine="0"/>
              <w:jc w:val="center"/>
            </w:pPr>
            <w:r>
              <w:rPr>
                <w:sz w:val="20"/>
                <w:szCs w:val="20"/>
              </w:rPr>
              <w:t xml:space="preserve">9,87%</w:t>
            </w:r>
          </w:p>
        </w:tc>
        <w:tc>
          <w:tcPr>
            <w:tcW w:type="dxa" w:w="1201"/>
            <w:vAlign w:val="center"/>
          </w:tcPr>
          <w:p>
            <w:pPr>
              <w:spacing w:before="20" w:after="20" w:line="260" w:lineRule="auto"/>
              <w:ind w:firstLine="0"/>
              <w:jc w:val="center"/>
            </w:pPr>
            <w:r>
              <w:rPr>
                <w:sz w:val="20"/>
                <w:szCs w:val="20"/>
              </w:rPr>
              <w:t xml:space="preserve">25,00%</w:t>
            </w:r>
          </w:p>
        </w:tc>
        <w:tc>
          <w:tcPr>
            <w:tcW w:type="dxa" w:w="1531"/>
            <w:vAlign w:val="center"/>
          </w:tcPr>
          <w:p>
            <w:pPr>
              <w:spacing w:before="20" w:after="20" w:line="260" w:lineRule="auto"/>
              <w:ind w:firstLine="0"/>
              <w:jc w:val="center"/>
            </w:pPr>
            <w:r>
              <w:rPr>
                <w:sz w:val="20"/>
                <w:szCs w:val="20"/>
              </w:rPr>
              <w:t xml:space="preserve">46.420</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137.311</w:t>
            </w:r>
          </w:p>
        </w:tc>
        <w:tc>
          <w:tcPr>
            <w:tcW w:type="dxa" w:w="1201"/>
            <w:vAlign w:val="center"/>
          </w:tcPr>
          <w:p>
            <w:pPr>
              <w:spacing w:before="20" w:after="20" w:line="260" w:lineRule="auto"/>
              <w:ind w:firstLine="0"/>
              <w:jc w:val="center"/>
            </w:pPr>
            <w:r>
              <w:rPr>
                <w:sz w:val="20"/>
                <w:szCs w:val="20"/>
              </w:rPr>
              <w:t xml:space="preserve">150.174</w:t>
            </w:r>
          </w:p>
        </w:tc>
        <w:tc>
          <w:tcPr>
            <w:tcW w:type="dxa" w:w="1201"/>
            <w:vAlign w:val="center"/>
          </w:tcPr>
          <w:p>
            <w:pPr>
              <w:spacing w:before="20" w:after="20" w:line="260" w:lineRule="auto"/>
              <w:ind w:firstLine="0"/>
              <w:jc w:val="center"/>
            </w:pPr>
            <w:r>
              <w:rPr>
                <w:sz w:val="20"/>
                <w:szCs w:val="20"/>
              </w:rPr>
              <w:t xml:space="preserve">13,50%</w:t>
            </w:r>
          </w:p>
        </w:tc>
        <w:tc>
          <w:tcPr>
            <w:tcW w:type="dxa" w:w="1201"/>
            <w:vAlign w:val="center"/>
          </w:tcPr>
          <w:p>
            <w:pPr>
              <w:spacing w:before="20" w:after="20" w:line="260" w:lineRule="auto"/>
              <w:ind w:firstLine="0"/>
              <w:jc w:val="center"/>
            </w:pPr>
            <w:r>
              <w:rPr>
                <w:sz w:val="20"/>
                <w:szCs w:val="20"/>
              </w:rPr>
              <w:t xml:space="preserve">18,75%</w:t>
            </w:r>
          </w:p>
        </w:tc>
        <w:tc>
          <w:tcPr>
            <w:tcW w:type="dxa" w:w="1531"/>
            <w:vAlign w:val="center"/>
          </w:tcPr>
          <w:p>
            <w:pPr>
              <w:spacing w:before="20" w:after="20" w:line="260" w:lineRule="auto"/>
              <w:ind w:firstLine="0"/>
              <w:jc w:val="center"/>
            </w:pPr>
            <w:r>
              <w:rPr>
                <w:sz w:val="20"/>
                <w:szCs w:val="20"/>
              </w:rPr>
              <w:t xml:space="preserve">42.199</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91.468</w:t>
            </w:r>
          </w:p>
        </w:tc>
        <w:tc>
          <w:tcPr>
            <w:tcW w:type="dxa" w:w="1201"/>
            <w:vAlign w:val="center"/>
          </w:tcPr>
          <w:p>
            <w:pPr>
              <w:spacing w:before="20" w:after="20" w:line="260" w:lineRule="auto"/>
              <w:ind w:firstLine="0"/>
              <w:jc w:val="center"/>
            </w:pPr>
            <w:r>
              <w:rPr>
                <w:sz w:val="20"/>
                <w:szCs w:val="20"/>
              </w:rPr>
              <w:t xml:space="preserve">94.535</w:t>
            </w:r>
          </w:p>
        </w:tc>
        <w:tc>
          <w:tcPr>
            <w:tcW w:type="dxa" w:w="1201"/>
            <w:vAlign w:val="center"/>
          </w:tcPr>
          <w:p>
            <w:pPr>
              <w:spacing w:before="20" w:after="20" w:line="260" w:lineRule="auto"/>
              <w:ind w:firstLine="0"/>
              <w:jc w:val="center"/>
            </w:pPr>
            <w:r>
              <w:rPr>
                <w:sz w:val="20"/>
                <w:szCs w:val="20"/>
              </w:rPr>
              <w:t xml:space="preserve">5,14%</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31.071</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36.313</w:t>
            </w:r>
          </w:p>
        </w:tc>
        <w:tc>
          <w:tcPr>
            <w:tcW w:type="dxa" w:w="1201"/>
            <w:vAlign w:val="center"/>
          </w:tcPr>
          <w:p>
            <w:pPr>
              <w:spacing w:before="20" w:after="20" w:line="260" w:lineRule="auto"/>
              <w:ind w:firstLine="0"/>
              <w:jc w:val="center"/>
            </w:pPr>
            <w:r>
              <w:rPr>
                <w:sz w:val="20"/>
                <w:szCs w:val="20"/>
              </w:rPr>
              <w:t xml:space="preserve">41.883</w:t>
            </w:r>
          </w:p>
        </w:tc>
        <w:tc>
          <w:tcPr>
            <w:tcW w:type="dxa" w:w="1201"/>
            <w:vAlign w:val="center"/>
          </w:tcPr>
          <w:p>
            <w:pPr>
              <w:spacing w:before="20" w:after="20" w:line="260" w:lineRule="auto"/>
              <w:ind w:firstLine="0"/>
              <w:jc w:val="center"/>
            </w:pPr>
            <w:r>
              <w:rPr>
                <w:sz w:val="20"/>
                <w:szCs w:val="20"/>
              </w:rPr>
              <w:t xml:space="preserve">15,70%</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20.541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32.874</w:t>
            </w:r>
          </w:p>
        </w:tc>
        <w:tc>
          <w:tcPr>
            <w:tcW w:type="dxa" w:w="1201"/>
            <w:vAlign w:val="center"/>
          </w:tcPr>
          <w:p>
            <w:pPr>
              <w:spacing w:before="20" w:after="20" w:line="260" w:lineRule="auto"/>
              <w:ind w:firstLine="0"/>
              <w:jc w:val="center"/>
            </w:pPr>
            <w:r>
              <w:rPr>
                <w:sz w:val="20"/>
                <w:szCs w:val="20"/>
              </w:rPr>
              <w:t xml:space="preserve">38.046</w:t>
            </w:r>
          </w:p>
        </w:tc>
        <w:tc>
          <w:tcPr>
            <w:tcW w:type="dxa" w:w="1201"/>
            <w:vAlign w:val="center"/>
          </w:tcPr>
          <w:p>
            <w:pPr>
              <w:spacing w:before="20" w:after="20" w:line="260" w:lineRule="auto"/>
              <w:ind w:firstLine="0"/>
              <w:jc w:val="center"/>
            </w:pPr>
            <w:r>
              <w:rPr>
                <w:sz w:val="20"/>
                <w:szCs w:val="20"/>
              </w:rPr>
              <w:t xml:space="preserve">15,73%</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19.774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19.302</w:t>
            </w:r>
          </w:p>
        </w:tc>
        <w:tc>
          <w:tcPr>
            <w:tcW w:type="dxa" w:w="1201"/>
            <w:vAlign w:val="center"/>
          </w:tcPr>
          <w:p>
            <w:pPr>
              <w:spacing w:before="20" w:after="20" w:line="260" w:lineRule="auto"/>
              <w:ind w:firstLine="0"/>
              <w:jc w:val="center"/>
            </w:pPr>
            <w:r>
              <w:rPr>
                <w:sz w:val="20"/>
                <w:szCs w:val="20"/>
              </w:rPr>
              <w:t xml:space="preserve">19.290</w:t>
            </w:r>
          </w:p>
        </w:tc>
        <w:tc>
          <w:tcPr>
            <w:tcW w:type="dxa" w:w="1201"/>
            <w:vAlign w:val="center"/>
          </w:tcPr>
          <w:p>
            <w:pPr>
              <w:spacing w:before="20" w:after="20" w:line="260" w:lineRule="auto"/>
              <w:ind w:firstLine="0"/>
              <w:jc w:val="center"/>
            </w:pPr>
            <w:r>
              <w:rPr>
                <w:sz w:val="20"/>
                <w:szCs w:val="20"/>
              </w:rPr>
              <w:t xml:space="preserve">7,44%</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10.548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18.746</w:t>
            </w:r>
          </w:p>
        </w:tc>
        <w:tc>
          <w:tcPr>
            <w:tcW w:type="dxa" w:w="1201"/>
            <w:vAlign w:val="center"/>
          </w:tcPr>
          <w:p>
            <w:pPr>
              <w:spacing w:before="20" w:after="20" w:line="260" w:lineRule="auto"/>
              <w:ind w:firstLine="0"/>
              <w:jc w:val="center"/>
            </w:pPr>
            <w:r>
              <w:rPr>
                <w:sz w:val="20"/>
                <w:szCs w:val="20"/>
              </w:rPr>
              <w:t xml:space="preserve">20.306</w:t>
            </w:r>
          </w:p>
        </w:tc>
        <w:tc>
          <w:tcPr>
            <w:tcW w:type="dxa" w:w="1201"/>
            <w:vAlign w:val="center"/>
          </w:tcPr>
          <w:p>
            <w:pPr>
              <w:spacing w:before="20" w:after="20" w:line="260" w:lineRule="auto"/>
              <w:ind w:firstLine="0"/>
              <w:jc w:val="center"/>
            </w:pPr>
            <w:r>
              <w:rPr>
                <w:sz w:val="20"/>
                <w:szCs w:val="20"/>
              </w:rPr>
              <w:t xml:space="preserve">11,52%</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11.968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15.298</w:t>
            </w:r>
          </w:p>
        </w:tc>
        <w:tc>
          <w:tcPr>
            <w:tcW w:type="dxa" w:w="1201"/>
            <w:vAlign w:val="center"/>
          </w:tcPr>
          <w:p>
            <w:pPr>
              <w:spacing w:before="20" w:after="20" w:line="260" w:lineRule="auto"/>
              <w:ind w:firstLine="0"/>
              <w:jc w:val="center"/>
            </w:pPr>
            <w:r>
              <w:rPr>
                <w:sz w:val="20"/>
                <w:szCs w:val="20"/>
              </w:rPr>
              <w:t xml:space="preserve">16.488</w:t>
            </w:r>
          </w:p>
        </w:tc>
        <w:tc>
          <w:tcPr>
            <w:tcW w:type="dxa" w:w="1201"/>
            <w:vAlign w:val="center"/>
          </w:tcPr>
          <w:p>
            <w:pPr>
              <w:spacing w:before="20" w:after="20" w:line="260" w:lineRule="auto"/>
              <w:ind w:firstLine="0"/>
              <w:jc w:val="center"/>
            </w:pPr>
            <w:r>
              <w:rPr>
                <w:sz w:val="20"/>
                <w:szCs w:val="20"/>
              </w:rPr>
              <w:t xml:space="preserve">11,18%</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6.946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12.224</w:t>
            </w:r>
          </w:p>
        </w:tc>
        <w:tc>
          <w:tcPr>
            <w:tcW w:type="dxa" w:w="1201"/>
            <w:vAlign w:val="center"/>
          </w:tcPr>
          <w:p>
            <w:pPr>
              <w:spacing w:before="20" w:after="20" w:line="260" w:lineRule="auto"/>
              <w:ind w:firstLine="0"/>
              <w:jc w:val="center"/>
            </w:pPr>
            <w:r>
              <w:rPr>
                <w:sz w:val="20"/>
                <w:szCs w:val="20"/>
              </w:rPr>
              <w:t xml:space="preserve">12.624</w:t>
            </w:r>
          </w:p>
        </w:tc>
        <w:tc>
          <w:tcPr>
            <w:tcW w:type="dxa" w:w="1201"/>
            <w:vAlign w:val="center"/>
          </w:tcPr>
          <w:p>
            <w:pPr>
              <w:spacing w:before="20" w:after="20" w:line="260" w:lineRule="auto"/>
              <w:ind w:firstLine="0"/>
              <w:jc w:val="center"/>
            </w:pPr>
            <w:r>
              <w:rPr>
                <w:sz w:val="20"/>
                <w:szCs w:val="20"/>
              </w:rPr>
              <w:t xml:space="preserve">11,04%</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5.565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10.704</w:t>
            </w:r>
          </w:p>
        </w:tc>
        <w:tc>
          <w:tcPr>
            <w:tcW w:type="dxa" w:w="1201"/>
            <w:vAlign w:val="center"/>
          </w:tcPr>
          <w:p>
            <w:pPr>
              <w:spacing w:before="20" w:after="20" w:line="260" w:lineRule="auto"/>
              <w:ind w:firstLine="0"/>
              <w:jc w:val="center"/>
            </w:pPr>
            <w:r>
              <w:rPr>
                <w:sz w:val="20"/>
                <w:szCs w:val="20"/>
              </w:rPr>
              <w:t xml:space="preserve">11.939</w:t>
            </w:r>
          </w:p>
        </w:tc>
        <w:tc>
          <w:tcPr>
            <w:tcW w:type="dxa" w:w="1201"/>
            <w:vAlign w:val="center"/>
          </w:tcPr>
          <w:p>
            <w:pPr>
              <w:spacing w:before="20" w:after="20" w:line="260" w:lineRule="auto"/>
              <w:ind w:firstLine="0"/>
              <w:jc w:val="center"/>
            </w:pPr>
            <w:r>
              <w:rPr>
                <w:sz w:val="20"/>
                <w:szCs w:val="20"/>
              </w:rPr>
              <w:t xml:space="preserve">13,61%</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4.820</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A.48. Cửa hàng 48 (Quito, Pichincha; loại A, cụm 14)</w:t>
      </w:r>
    </w:p>
    <w:p>
      <w:pPr>
        <w:keepLines w:val="0"/>
        <w:spacing w:after="120"/>
        <w:ind w:firstLine="567"/>
      </w:pPr>
      <w:r>
        <w:t xml:space="preserve">Trong 16 ngày của tập kiểm tra cuối, cửa hàng 48 có tổng doanh số thực tế 403.741 (hạng 7/54 về quy mô) và tổng dự báo 408.444, tức dự báo cao hơn thực tế 1,16%. WAPE của cửa hàng là 12,54% (hạng 17/54 từ thấp đến cao), MAE 95,907, RMSE 253,702 và bias −8,907. Độ bao phủ thực nghiệm của khoảng P10–P90 đạt 74,81% (hạng 32/54), so với mức danh nghĩa 80%. Nhóm có doanh số thực tế lớn nhất là GROCERY I (137.940; WAPE 9,61%; bao phủ 43,75%). Trong các nhóm có quy mô từ trung vị của cửa hàng trở lên, nhóm có WAPE thấp nhất là BREAD/BAKERY (6,12%).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356.615, 407.751 và 491.432; tổng lượng bổ sung gợi ý theo giả định là 165.231. Cửa hàng có 18 nhóm mang nhãn HIGH, 13 nhóm MEDIUM và 2 nhóm LOW. Bảng A.50 liệt kê mười nhóm có doanh số thực tế lớn nhất của cửa hàng.</w:t>
      </w:r>
    </w:p>
    <w:p>
      <w:pPr>
        <w:keepNext/>
        <w:spacing w:before="120" w:after="60"/>
        <w:ind w:firstLine="0"/>
        <w:jc w:val="center"/>
      </w:pPr>
      <w:r>
        <w:t xml:space="preserve">Bảng A.50. Mười nhóm sản phẩm có doanh số thực tế lớn nhất của cửa hàng 48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137.940</w:t>
            </w:r>
          </w:p>
        </w:tc>
        <w:tc>
          <w:tcPr>
            <w:tcW w:type="dxa" w:w="1201"/>
            <w:vAlign w:val="center"/>
          </w:tcPr>
          <w:p>
            <w:pPr>
              <w:spacing w:before="20" w:after="20" w:line="260" w:lineRule="auto"/>
              <w:ind w:firstLine="0"/>
              <w:jc w:val="center"/>
            </w:pPr>
            <w:r>
              <w:rPr>
                <w:sz w:val="20"/>
                <w:szCs w:val="20"/>
              </w:rPr>
              <w:t xml:space="preserve">141.601</w:t>
            </w:r>
          </w:p>
        </w:tc>
        <w:tc>
          <w:tcPr>
            <w:tcW w:type="dxa" w:w="1201"/>
            <w:vAlign w:val="center"/>
          </w:tcPr>
          <w:p>
            <w:pPr>
              <w:spacing w:before="20" w:after="20" w:line="260" w:lineRule="auto"/>
              <w:ind w:firstLine="0"/>
              <w:jc w:val="center"/>
            </w:pPr>
            <w:r>
              <w:rPr>
                <w:sz w:val="20"/>
                <w:szCs w:val="20"/>
              </w:rPr>
              <w:t xml:space="preserve">9,61%</w:t>
            </w:r>
          </w:p>
        </w:tc>
        <w:tc>
          <w:tcPr>
            <w:tcW w:type="dxa" w:w="1201"/>
            <w:vAlign w:val="center"/>
          </w:tcPr>
          <w:p>
            <w:pPr>
              <w:spacing w:before="20" w:after="20" w:line="260" w:lineRule="auto"/>
              <w:ind w:firstLine="0"/>
              <w:jc w:val="center"/>
            </w:pPr>
            <w:r>
              <w:rPr>
                <w:sz w:val="20"/>
                <w:szCs w:val="20"/>
              </w:rPr>
              <w:t xml:space="preserve">43,75%</w:t>
            </w:r>
          </w:p>
        </w:tc>
        <w:tc>
          <w:tcPr>
            <w:tcW w:type="dxa" w:w="1531"/>
            <w:vAlign w:val="center"/>
          </w:tcPr>
          <w:p>
            <w:pPr>
              <w:spacing w:before="20" w:after="20" w:line="260" w:lineRule="auto"/>
              <w:ind w:firstLine="0"/>
              <w:jc w:val="center"/>
            </w:pPr>
            <w:r>
              <w:rPr>
                <w:sz w:val="20"/>
                <w:szCs w:val="20"/>
              </w:rPr>
              <w:t xml:space="preserve">40.485</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77.442</w:t>
            </w:r>
          </w:p>
        </w:tc>
        <w:tc>
          <w:tcPr>
            <w:tcW w:type="dxa" w:w="1201"/>
            <w:vAlign w:val="center"/>
          </w:tcPr>
          <w:p>
            <w:pPr>
              <w:spacing w:before="20" w:after="20" w:line="260" w:lineRule="auto"/>
              <w:ind w:firstLine="0"/>
              <w:jc w:val="center"/>
            </w:pPr>
            <w:r>
              <w:rPr>
                <w:sz w:val="20"/>
                <w:szCs w:val="20"/>
              </w:rPr>
              <w:t xml:space="preserve">80.991</w:t>
            </w:r>
          </w:p>
        </w:tc>
        <w:tc>
          <w:tcPr>
            <w:tcW w:type="dxa" w:w="1201"/>
            <w:vAlign w:val="center"/>
          </w:tcPr>
          <w:p>
            <w:pPr>
              <w:spacing w:before="20" w:after="20" w:line="260" w:lineRule="auto"/>
              <w:ind w:firstLine="0"/>
              <w:jc w:val="center"/>
            </w:pPr>
            <w:r>
              <w:rPr>
                <w:sz w:val="20"/>
                <w:szCs w:val="20"/>
              </w:rPr>
              <w:t xml:space="preserve">8,98%</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28.363</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34.726</w:t>
            </w:r>
          </w:p>
        </w:tc>
        <w:tc>
          <w:tcPr>
            <w:tcW w:type="dxa" w:w="1201"/>
            <w:vAlign w:val="center"/>
          </w:tcPr>
          <w:p>
            <w:pPr>
              <w:spacing w:before="20" w:after="20" w:line="260" w:lineRule="auto"/>
              <w:ind w:firstLine="0"/>
              <w:jc w:val="center"/>
            </w:pPr>
            <w:r>
              <w:rPr>
                <w:sz w:val="20"/>
                <w:szCs w:val="20"/>
              </w:rPr>
              <w:t xml:space="preserve">37.102</w:t>
            </w:r>
          </w:p>
        </w:tc>
        <w:tc>
          <w:tcPr>
            <w:tcW w:type="dxa" w:w="1201"/>
            <w:vAlign w:val="center"/>
          </w:tcPr>
          <w:p>
            <w:pPr>
              <w:spacing w:before="20" w:after="20" w:line="260" w:lineRule="auto"/>
              <w:ind w:firstLine="0"/>
              <w:jc w:val="center"/>
            </w:pPr>
            <w:r>
              <w:rPr>
                <w:sz w:val="20"/>
                <w:szCs w:val="20"/>
              </w:rPr>
              <w:t xml:space="preserve">16,56%</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19.585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34.184</w:t>
            </w:r>
          </w:p>
        </w:tc>
        <w:tc>
          <w:tcPr>
            <w:tcW w:type="dxa" w:w="1201"/>
            <w:vAlign w:val="center"/>
          </w:tcPr>
          <w:p>
            <w:pPr>
              <w:spacing w:before="20" w:after="20" w:line="260" w:lineRule="auto"/>
              <w:ind w:firstLine="0"/>
              <w:jc w:val="center"/>
            </w:pPr>
            <w:r>
              <w:rPr>
                <w:sz w:val="20"/>
                <w:szCs w:val="20"/>
              </w:rPr>
              <w:t xml:space="preserve">33.228</w:t>
            </w:r>
          </w:p>
        </w:tc>
        <w:tc>
          <w:tcPr>
            <w:tcW w:type="dxa" w:w="1201"/>
            <w:vAlign w:val="center"/>
          </w:tcPr>
          <w:p>
            <w:pPr>
              <w:spacing w:before="20" w:after="20" w:line="260" w:lineRule="auto"/>
              <w:ind w:firstLine="0"/>
              <w:jc w:val="center"/>
            </w:pPr>
            <w:r>
              <w:rPr>
                <w:sz w:val="20"/>
                <w:szCs w:val="20"/>
              </w:rPr>
              <w:t xml:space="preserve">8,17%</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18.810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20.917</w:t>
            </w:r>
          </w:p>
        </w:tc>
        <w:tc>
          <w:tcPr>
            <w:tcW w:type="dxa" w:w="1201"/>
            <w:vAlign w:val="center"/>
          </w:tcPr>
          <w:p>
            <w:pPr>
              <w:spacing w:before="20" w:after="20" w:line="260" w:lineRule="auto"/>
              <w:ind w:firstLine="0"/>
              <w:jc w:val="center"/>
            </w:pPr>
            <w:r>
              <w:rPr>
                <w:sz w:val="20"/>
                <w:szCs w:val="20"/>
              </w:rPr>
              <w:t xml:space="preserve">22.218</w:t>
            </w:r>
          </w:p>
        </w:tc>
        <w:tc>
          <w:tcPr>
            <w:tcW w:type="dxa" w:w="1201"/>
            <w:vAlign w:val="center"/>
          </w:tcPr>
          <w:p>
            <w:pPr>
              <w:spacing w:before="20" w:after="20" w:line="260" w:lineRule="auto"/>
              <w:ind w:firstLine="0"/>
              <w:jc w:val="center"/>
            </w:pPr>
            <w:r>
              <w:rPr>
                <w:sz w:val="20"/>
                <w:szCs w:val="20"/>
              </w:rPr>
              <w:t xml:space="preserve">11,99%</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12.958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15.152</w:t>
            </w:r>
          </w:p>
        </w:tc>
        <w:tc>
          <w:tcPr>
            <w:tcW w:type="dxa" w:w="1201"/>
            <w:vAlign w:val="center"/>
          </w:tcPr>
          <w:p>
            <w:pPr>
              <w:spacing w:before="20" w:after="20" w:line="260" w:lineRule="auto"/>
              <w:ind w:firstLine="0"/>
              <w:jc w:val="center"/>
            </w:pPr>
            <w:r>
              <w:rPr>
                <w:sz w:val="20"/>
                <w:szCs w:val="20"/>
              </w:rPr>
              <w:t xml:space="preserve">15.507</w:t>
            </w:r>
          </w:p>
        </w:tc>
        <w:tc>
          <w:tcPr>
            <w:tcW w:type="dxa" w:w="1201"/>
            <w:vAlign w:val="center"/>
          </w:tcPr>
          <w:p>
            <w:pPr>
              <w:spacing w:before="20" w:after="20" w:line="260" w:lineRule="auto"/>
              <w:ind w:firstLine="0"/>
              <w:jc w:val="center"/>
            </w:pPr>
            <w:r>
              <w:rPr>
                <w:sz w:val="20"/>
                <w:szCs w:val="20"/>
              </w:rPr>
              <w:t xml:space="preserve">12,60%</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7.358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14.620</w:t>
            </w:r>
          </w:p>
        </w:tc>
        <w:tc>
          <w:tcPr>
            <w:tcW w:type="dxa" w:w="1201"/>
            <w:vAlign w:val="center"/>
          </w:tcPr>
          <w:p>
            <w:pPr>
              <w:spacing w:before="20" w:after="20" w:line="260" w:lineRule="auto"/>
              <w:ind w:firstLine="0"/>
              <w:jc w:val="center"/>
            </w:pPr>
            <w:r>
              <w:rPr>
                <w:sz w:val="20"/>
                <w:szCs w:val="20"/>
              </w:rPr>
              <w:t xml:space="preserve">14.072</w:t>
            </w:r>
          </w:p>
        </w:tc>
        <w:tc>
          <w:tcPr>
            <w:tcW w:type="dxa" w:w="1201"/>
            <w:vAlign w:val="center"/>
          </w:tcPr>
          <w:p>
            <w:pPr>
              <w:spacing w:before="20" w:after="20" w:line="260" w:lineRule="auto"/>
              <w:ind w:firstLine="0"/>
              <w:jc w:val="center"/>
            </w:pPr>
            <w:r>
              <w:rPr>
                <w:sz w:val="20"/>
                <w:szCs w:val="20"/>
              </w:rPr>
              <w:t xml:space="preserve">13,76%</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6.463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13.994</w:t>
            </w:r>
          </w:p>
        </w:tc>
        <w:tc>
          <w:tcPr>
            <w:tcW w:type="dxa" w:w="1201"/>
            <w:vAlign w:val="center"/>
          </w:tcPr>
          <w:p>
            <w:pPr>
              <w:spacing w:before="20" w:after="20" w:line="260" w:lineRule="auto"/>
              <w:ind w:firstLine="0"/>
              <w:jc w:val="center"/>
            </w:pPr>
            <w:r>
              <w:rPr>
                <w:sz w:val="20"/>
                <w:szCs w:val="20"/>
              </w:rPr>
              <w:t xml:space="preserve">12.631</w:t>
            </w:r>
          </w:p>
        </w:tc>
        <w:tc>
          <w:tcPr>
            <w:tcW w:type="dxa" w:w="1201"/>
            <w:vAlign w:val="center"/>
          </w:tcPr>
          <w:p>
            <w:pPr>
              <w:spacing w:before="20" w:after="20" w:line="260" w:lineRule="auto"/>
              <w:ind w:firstLine="0"/>
              <w:jc w:val="center"/>
            </w:pPr>
            <w:r>
              <w:rPr>
                <w:sz w:val="20"/>
                <w:szCs w:val="20"/>
              </w:rPr>
              <w:t xml:space="preserve">17,98%</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5.566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13.980</w:t>
            </w:r>
          </w:p>
        </w:tc>
        <w:tc>
          <w:tcPr>
            <w:tcW w:type="dxa" w:w="1201"/>
            <w:vAlign w:val="center"/>
          </w:tcPr>
          <w:p>
            <w:pPr>
              <w:spacing w:before="20" w:after="20" w:line="260" w:lineRule="auto"/>
              <w:ind w:firstLine="0"/>
              <w:jc w:val="center"/>
            </w:pPr>
            <w:r>
              <w:rPr>
                <w:sz w:val="20"/>
                <w:szCs w:val="20"/>
              </w:rPr>
              <w:t xml:space="preserve">13.927</w:t>
            </w:r>
          </w:p>
        </w:tc>
        <w:tc>
          <w:tcPr>
            <w:tcW w:type="dxa" w:w="1201"/>
            <w:vAlign w:val="center"/>
          </w:tcPr>
          <w:p>
            <w:pPr>
              <w:spacing w:before="20" w:after="20" w:line="260" w:lineRule="auto"/>
              <w:ind w:firstLine="0"/>
              <w:jc w:val="center"/>
            </w:pPr>
            <w:r>
              <w:rPr>
                <w:sz w:val="20"/>
                <w:szCs w:val="20"/>
              </w:rPr>
              <w:t xml:space="preserve">6,12%</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5.826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10.874</w:t>
            </w:r>
          </w:p>
        </w:tc>
        <w:tc>
          <w:tcPr>
            <w:tcW w:type="dxa" w:w="1201"/>
            <w:vAlign w:val="center"/>
          </w:tcPr>
          <w:p>
            <w:pPr>
              <w:spacing w:before="20" w:after="20" w:line="260" w:lineRule="auto"/>
              <w:ind w:firstLine="0"/>
              <w:jc w:val="center"/>
            </w:pPr>
            <w:r>
              <w:rPr>
                <w:sz w:val="20"/>
                <w:szCs w:val="20"/>
              </w:rPr>
              <w:t xml:space="preserve">11.016</w:t>
            </w:r>
          </w:p>
        </w:tc>
        <w:tc>
          <w:tcPr>
            <w:tcW w:type="dxa" w:w="1201"/>
            <w:vAlign w:val="center"/>
          </w:tcPr>
          <w:p>
            <w:pPr>
              <w:spacing w:before="20" w:after="20" w:line="260" w:lineRule="auto"/>
              <w:ind w:firstLine="0"/>
              <w:jc w:val="center"/>
            </w:pPr>
            <w:r>
              <w:rPr>
                <w:sz w:val="20"/>
                <w:szCs w:val="20"/>
              </w:rPr>
              <w:t xml:space="preserve">10,70%</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4.635</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A.49. Cửa hàng 49 (Quito, Pichincha; loại A, cụm 11)</w:t>
      </w:r>
    </w:p>
    <w:p>
      <w:pPr>
        <w:keepLines w:val="0"/>
        <w:spacing w:after="120"/>
        <w:ind w:firstLine="567"/>
      </w:pPr>
      <w:r>
        <w:t xml:space="preserve">Trong 16 ngày của tập kiểm tra cuối, cửa hàng 49 có tổng doanh số thực tế 518.239 (hạng 5/54 về quy mô) và tổng dự báo 568.033, tức dự báo cao hơn thực tế 9,61%. WAPE của cửa hàng là 12,58% (hạng 18/54 từ thấp đến cao), MAE 123,472, RMSE 316,062 và bias −94,307. Độ bao phủ thực nghiệm của khoảng P10–P90 đạt 69,70% (hạng 53/54), so với mức danh nghĩa 80%. Nhóm có doanh số thực tế lớn nhất là GROCERY I (123.873; WAPE 9,46%; bao phủ 43,75%). Trong các nhóm có quy mô từ trung vị của cửa hàng trở lên, nhóm có WAPE thấp nhất là GROCERY I (9,46%).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508.341, 567.382 và 665.039; tổng lượng bổ sung gợi ý theo giả định là 211.133. Cửa hàng có 17 nhóm mang nhãn HIGH, 13 nhóm MEDIUM và 3 nhóm LOW. Bảng A.51 liệt kê mười nhóm có doanh số thực tế lớn nhất của cửa hàng.</w:t>
      </w:r>
    </w:p>
    <w:p>
      <w:pPr>
        <w:keepNext/>
        <w:spacing w:before="120" w:after="60"/>
        <w:ind w:firstLine="0"/>
        <w:jc w:val="center"/>
      </w:pPr>
      <w:r>
        <w:t xml:space="preserve">Bảng A.51. Mười nhóm sản phẩm có doanh số thực tế lớn nhất của cửa hàng 49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123.873</w:t>
            </w:r>
          </w:p>
        </w:tc>
        <w:tc>
          <w:tcPr>
            <w:tcW w:type="dxa" w:w="1201"/>
            <w:vAlign w:val="center"/>
          </w:tcPr>
          <w:p>
            <w:pPr>
              <w:spacing w:before="20" w:after="20" w:line="260" w:lineRule="auto"/>
              <w:ind w:firstLine="0"/>
              <w:jc w:val="center"/>
            </w:pPr>
            <w:r>
              <w:rPr>
                <w:sz w:val="20"/>
                <w:szCs w:val="20"/>
              </w:rPr>
              <w:t xml:space="preserve">133.777</w:t>
            </w:r>
          </w:p>
        </w:tc>
        <w:tc>
          <w:tcPr>
            <w:tcW w:type="dxa" w:w="1201"/>
            <w:vAlign w:val="center"/>
          </w:tcPr>
          <w:p>
            <w:pPr>
              <w:spacing w:before="20" w:after="20" w:line="260" w:lineRule="auto"/>
              <w:ind w:firstLine="0"/>
              <w:jc w:val="center"/>
            </w:pPr>
            <w:r>
              <w:rPr>
                <w:sz w:val="20"/>
                <w:szCs w:val="20"/>
              </w:rPr>
              <w:t xml:space="preserve">9,46%</w:t>
            </w:r>
          </w:p>
        </w:tc>
        <w:tc>
          <w:tcPr>
            <w:tcW w:type="dxa" w:w="1201"/>
            <w:vAlign w:val="center"/>
          </w:tcPr>
          <w:p>
            <w:pPr>
              <w:spacing w:before="20" w:after="20" w:line="260" w:lineRule="auto"/>
              <w:ind w:firstLine="0"/>
              <w:jc w:val="center"/>
            </w:pPr>
            <w:r>
              <w:rPr>
                <w:sz w:val="20"/>
                <w:szCs w:val="20"/>
              </w:rPr>
              <w:t xml:space="preserve">43,75%</w:t>
            </w:r>
          </w:p>
        </w:tc>
        <w:tc>
          <w:tcPr>
            <w:tcW w:type="dxa" w:w="1531"/>
            <w:vAlign w:val="center"/>
          </w:tcPr>
          <w:p>
            <w:pPr>
              <w:spacing w:before="20" w:after="20" w:line="260" w:lineRule="auto"/>
              <w:ind w:firstLine="0"/>
              <w:jc w:val="center"/>
            </w:pPr>
            <w:r>
              <w:rPr>
                <w:sz w:val="20"/>
                <w:szCs w:val="20"/>
              </w:rPr>
              <w:t xml:space="preserve">38.920</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119.538</w:t>
            </w:r>
          </w:p>
        </w:tc>
        <w:tc>
          <w:tcPr>
            <w:tcW w:type="dxa" w:w="1201"/>
            <w:vAlign w:val="center"/>
          </w:tcPr>
          <w:p>
            <w:pPr>
              <w:spacing w:before="20" w:after="20" w:line="260" w:lineRule="auto"/>
              <w:ind w:firstLine="0"/>
              <w:jc w:val="center"/>
            </w:pPr>
            <w:r>
              <w:rPr>
                <w:sz w:val="20"/>
                <w:szCs w:val="20"/>
              </w:rPr>
              <w:t xml:space="preserve">130.286</w:t>
            </w:r>
          </w:p>
        </w:tc>
        <w:tc>
          <w:tcPr>
            <w:tcW w:type="dxa" w:w="1201"/>
            <w:vAlign w:val="center"/>
          </w:tcPr>
          <w:p>
            <w:pPr>
              <w:spacing w:before="20" w:after="20" w:line="260" w:lineRule="auto"/>
              <w:ind w:firstLine="0"/>
              <w:jc w:val="center"/>
            </w:pPr>
            <w:r>
              <w:rPr>
                <w:sz w:val="20"/>
                <w:szCs w:val="20"/>
              </w:rPr>
              <w:t xml:space="preserve">9,60%</w:t>
            </w:r>
          </w:p>
        </w:tc>
        <w:tc>
          <w:tcPr>
            <w:tcW w:type="dxa" w:w="1201"/>
            <w:vAlign w:val="center"/>
          </w:tcPr>
          <w:p>
            <w:pPr>
              <w:spacing w:before="20" w:after="20" w:line="260" w:lineRule="auto"/>
              <w:ind w:firstLine="0"/>
              <w:jc w:val="center"/>
            </w:pPr>
            <w:r>
              <w:rPr>
                <w:sz w:val="20"/>
                <w:szCs w:val="20"/>
              </w:rPr>
              <w:t xml:space="preserve">37,50%</w:t>
            </w:r>
          </w:p>
        </w:tc>
        <w:tc>
          <w:tcPr>
            <w:tcW w:type="dxa" w:w="1531"/>
            <w:vAlign w:val="center"/>
          </w:tcPr>
          <w:p>
            <w:pPr>
              <w:spacing w:before="20" w:after="20" w:line="260" w:lineRule="auto"/>
              <w:ind w:firstLine="0"/>
              <w:jc w:val="center"/>
            </w:pPr>
            <w:r>
              <w:rPr>
                <w:sz w:val="20"/>
                <w:szCs w:val="20"/>
              </w:rPr>
              <w:t xml:space="preserve">38.221</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105.172</w:t>
            </w:r>
          </w:p>
        </w:tc>
        <w:tc>
          <w:tcPr>
            <w:tcW w:type="dxa" w:w="1201"/>
            <w:vAlign w:val="center"/>
          </w:tcPr>
          <w:p>
            <w:pPr>
              <w:spacing w:before="20" w:after="20" w:line="260" w:lineRule="auto"/>
              <w:ind w:firstLine="0"/>
              <w:jc w:val="center"/>
            </w:pPr>
            <w:r>
              <w:rPr>
                <w:sz w:val="20"/>
                <w:szCs w:val="20"/>
              </w:rPr>
              <w:t xml:space="preserve">119.909</w:t>
            </w:r>
          </w:p>
        </w:tc>
        <w:tc>
          <w:tcPr>
            <w:tcW w:type="dxa" w:w="1201"/>
            <w:vAlign w:val="center"/>
          </w:tcPr>
          <w:p>
            <w:pPr>
              <w:spacing w:before="20" w:after="20" w:line="260" w:lineRule="auto"/>
              <w:ind w:firstLine="0"/>
              <w:jc w:val="center"/>
            </w:pPr>
            <w:r>
              <w:rPr>
                <w:sz w:val="20"/>
                <w:szCs w:val="20"/>
              </w:rPr>
              <w:t xml:space="preserve">14,01%</w:t>
            </w:r>
          </w:p>
        </w:tc>
        <w:tc>
          <w:tcPr>
            <w:tcW w:type="dxa" w:w="1201"/>
            <w:vAlign w:val="center"/>
          </w:tcPr>
          <w:p>
            <w:pPr>
              <w:spacing w:before="20" w:after="20" w:line="260" w:lineRule="auto"/>
              <w:ind w:firstLine="0"/>
              <w:jc w:val="center"/>
            </w:pPr>
            <w:r>
              <w:rPr>
                <w:sz w:val="20"/>
                <w:szCs w:val="20"/>
              </w:rPr>
              <w:t xml:space="preserve">31,25%</w:t>
            </w:r>
          </w:p>
        </w:tc>
        <w:tc>
          <w:tcPr>
            <w:tcW w:type="dxa" w:w="1531"/>
            <w:vAlign w:val="center"/>
          </w:tcPr>
          <w:p>
            <w:pPr>
              <w:spacing w:before="20" w:after="20" w:line="260" w:lineRule="auto"/>
              <w:ind w:firstLine="0"/>
              <w:jc w:val="center"/>
            </w:pPr>
            <w:r>
              <w:rPr>
                <w:sz w:val="20"/>
                <w:szCs w:val="20"/>
              </w:rPr>
              <w:t xml:space="preserve">36.146</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33.949</w:t>
            </w:r>
          </w:p>
        </w:tc>
        <w:tc>
          <w:tcPr>
            <w:tcW w:type="dxa" w:w="1201"/>
            <w:vAlign w:val="center"/>
          </w:tcPr>
          <w:p>
            <w:pPr>
              <w:spacing w:before="20" w:after="20" w:line="260" w:lineRule="auto"/>
              <w:ind w:firstLine="0"/>
              <w:jc w:val="center"/>
            </w:pPr>
            <w:r>
              <w:rPr>
                <w:sz w:val="20"/>
                <w:szCs w:val="20"/>
              </w:rPr>
              <w:t xml:space="preserve">38.432</w:t>
            </w:r>
          </w:p>
        </w:tc>
        <w:tc>
          <w:tcPr>
            <w:tcW w:type="dxa" w:w="1201"/>
            <w:vAlign w:val="center"/>
          </w:tcPr>
          <w:p>
            <w:pPr>
              <w:spacing w:before="20" w:after="20" w:line="260" w:lineRule="auto"/>
              <w:ind w:firstLine="0"/>
              <w:jc w:val="center"/>
            </w:pPr>
            <w:r>
              <w:rPr>
                <w:sz w:val="20"/>
                <w:szCs w:val="20"/>
              </w:rPr>
              <w:t xml:space="preserve">13,41%</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19.851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30.133</w:t>
            </w:r>
          </w:p>
        </w:tc>
        <w:tc>
          <w:tcPr>
            <w:tcW w:type="dxa" w:w="1201"/>
            <w:vAlign w:val="center"/>
          </w:tcPr>
          <w:p>
            <w:pPr>
              <w:spacing w:before="20" w:after="20" w:line="260" w:lineRule="auto"/>
              <w:ind w:firstLine="0"/>
              <w:jc w:val="center"/>
            </w:pPr>
            <w:r>
              <w:rPr>
                <w:sz w:val="20"/>
                <w:szCs w:val="20"/>
              </w:rPr>
              <w:t xml:space="preserve">34.021</w:t>
            </w:r>
          </w:p>
        </w:tc>
        <w:tc>
          <w:tcPr>
            <w:tcW w:type="dxa" w:w="1201"/>
            <w:vAlign w:val="center"/>
          </w:tcPr>
          <w:p>
            <w:pPr>
              <w:spacing w:before="20" w:after="20" w:line="260" w:lineRule="auto"/>
              <w:ind w:firstLine="0"/>
              <w:jc w:val="center"/>
            </w:pPr>
            <w:r>
              <w:rPr>
                <w:sz w:val="20"/>
                <w:szCs w:val="20"/>
              </w:rPr>
              <w:t xml:space="preserve">13,91%</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18.968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18.942</w:t>
            </w:r>
          </w:p>
        </w:tc>
        <w:tc>
          <w:tcPr>
            <w:tcW w:type="dxa" w:w="1201"/>
            <w:vAlign w:val="center"/>
          </w:tcPr>
          <w:p>
            <w:pPr>
              <w:spacing w:before="20" w:after="20" w:line="260" w:lineRule="auto"/>
              <w:ind w:firstLine="0"/>
              <w:jc w:val="center"/>
            </w:pPr>
            <w:r>
              <w:rPr>
                <w:sz w:val="20"/>
                <w:szCs w:val="20"/>
              </w:rPr>
              <w:t xml:space="preserve">20.503</w:t>
            </w:r>
          </w:p>
        </w:tc>
        <w:tc>
          <w:tcPr>
            <w:tcW w:type="dxa" w:w="1201"/>
            <w:vAlign w:val="center"/>
          </w:tcPr>
          <w:p>
            <w:pPr>
              <w:spacing w:before="20" w:after="20" w:line="260" w:lineRule="auto"/>
              <w:ind w:firstLine="0"/>
              <w:jc w:val="center"/>
            </w:pPr>
            <w:r>
              <w:rPr>
                <w:sz w:val="20"/>
                <w:szCs w:val="20"/>
              </w:rPr>
              <w:t xml:space="preserve">10,30%</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13.224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16.517</w:t>
            </w:r>
          </w:p>
        </w:tc>
        <w:tc>
          <w:tcPr>
            <w:tcW w:type="dxa" w:w="1201"/>
            <w:vAlign w:val="center"/>
          </w:tcPr>
          <w:p>
            <w:pPr>
              <w:spacing w:before="20" w:after="20" w:line="260" w:lineRule="auto"/>
              <w:ind w:firstLine="0"/>
              <w:jc w:val="center"/>
            </w:pPr>
            <w:r>
              <w:rPr>
                <w:sz w:val="20"/>
                <w:szCs w:val="20"/>
              </w:rPr>
              <w:t xml:space="preserve">18.407</w:t>
            </w:r>
          </w:p>
        </w:tc>
        <w:tc>
          <w:tcPr>
            <w:tcW w:type="dxa" w:w="1201"/>
            <w:vAlign w:val="center"/>
          </w:tcPr>
          <w:p>
            <w:pPr>
              <w:spacing w:before="20" w:after="20" w:line="260" w:lineRule="auto"/>
              <w:ind w:firstLine="0"/>
              <w:jc w:val="center"/>
            </w:pPr>
            <w:r>
              <w:rPr>
                <w:sz w:val="20"/>
                <w:szCs w:val="20"/>
              </w:rPr>
              <w:t xml:space="preserve">13,76%</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9.155</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13.545</w:t>
            </w:r>
          </w:p>
        </w:tc>
        <w:tc>
          <w:tcPr>
            <w:tcW w:type="dxa" w:w="1201"/>
            <w:vAlign w:val="center"/>
          </w:tcPr>
          <w:p>
            <w:pPr>
              <w:spacing w:before="20" w:after="20" w:line="260" w:lineRule="auto"/>
              <w:ind w:firstLine="0"/>
              <w:jc w:val="center"/>
            </w:pPr>
            <w:r>
              <w:rPr>
                <w:sz w:val="20"/>
                <w:szCs w:val="20"/>
              </w:rPr>
              <w:t xml:space="preserve">14.408</w:t>
            </w:r>
          </w:p>
        </w:tc>
        <w:tc>
          <w:tcPr>
            <w:tcW w:type="dxa" w:w="1201"/>
            <w:vAlign w:val="center"/>
          </w:tcPr>
          <w:p>
            <w:pPr>
              <w:spacing w:before="20" w:after="20" w:line="260" w:lineRule="auto"/>
              <w:ind w:firstLine="0"/>
              <w:jc w:val="center"/>
            </w:pPr>
            <w:r>
              <w:rPr>
                <w:sz w:val="20"/>
                <w:szCs w:val="20"/>
              </w:rPr>
              <w:t xml:space="preserve">11,85%</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6.530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9.090</w:t>
            </w:r>
          </w:p>
        </w:tc>
        <w:tc>
          <w:tcPr>
            <w:tcW w:type="dxa" w:w="1201"/>
            <w:vAlign w:val="center"/>
          </w:tcPr>
          <w:p>
            <w:pPr>
              <w:spacing w:before="20" w:after="20" w:line="260" w:lineRule="auto"/>
              <w:ind w:firstLine="0"/>
              <w:jc w:val="center"/>
            </w:pPr>
            <w:r>
              <w:rPr>
                <w:sz w:val="20"/>
                <w:szCs w:val="20"/>
              </w:rPr>
              <w:t xml:space="preserve">8.871</w:t>
            </w:r>
          </w:p>
        </w:tc>
        <w:tc>
          <w:tcPr>
            <w:tcW w:type="dxa" w:w="1201"/>
            <w:vAlign w:val="center"/>
          </w:tcPr>
          <w:p>
            <w:pPr>
              <w:spacing w:before="20" w:after="20" w:line="260" w:lineRule="auto"/>
              <w:ind w:firstLine="0"/>
              <w:jc w:val="center"/>
            </w:pPr>
            <w:r>
              <w:rPr>
                <w:sz w:val="20"/>
                <w:szCs w:val="20"/>
              </w:rPr>
              <w:t xml:space="preserve">10,10%</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4.126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7.817</w:t>
            </w:r>
          </w:p>
        </w:tc>
        <w:tc>
          <w:tcPr>
            <w:tcW w:type="dxa" w:w="1201"/>
            <w:vAlign w:val="center"/>
          </w:tcPr>
          <w:p>
            <w:pPr>
              <w:spacing w:before="20" w:after="20" w:line="260" w:lineRule="auto"/>
              <w:ind w:firstLine="0"/>
              <w:jc w:val="center"/>
            </w:pPr>
            <w:r>
              <w:rPr>
                <w:sz w:val="20"/>
                <w:szCs w:val="20"/>
              </w:rPr>
              <w:t xml:space="preserve">8.817</w:t>
            </w:r>
          </w:p>
        </w:tc>
        <w:tc>
          <w:tcPr>
            <w:tcW w:type="dxa" w:w="1201"/>
            <w:vAlign w:val="center"/>
          </w:tcPr>
          <w:p>
            <w:pPr>
              <w:spacing w:before="20" w:after="20" w:line="260" w:lineRule="auto"/>
              <w:ind w:firstLine="0"/>
              <w:jc w:val="center"/>
            </w:pPr>
            <w:r>
              <w:rPr>
                <w:sz w:val="20"/>
                <w:szCs w:val="20"/>
              </w:rPr>
              <w:t xml:space="preserve">18,71%</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4.115</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A.50. Cửa hàng 50 (Ambato, Tungurahua; loại A, cụm 14)</w:t>
      </w:r>
    </w:p>
    <w:p>
      <w:pPr>
        <w:keepLines w:val="0"/>
        <w:spacing w:after="120"/>
        <w:ind w:firstLine="567"/>
      </w:pPr>
      <w:r>
        <w:t xml:space="preserve">Trong 16 ngày của tập kiểm tra cuối, cửa hàng 50 có tổng doanh số thực tế 326.493 (hạng 11/54 về quy mô) và tổng dự báo 345.824, tức dự báo cao hơn thực tế 5,92%. WAPE của cửa hàng là 13,66% (hạng 23/54 từ thấp đến cao), MAE 84,486, RMSE 191,983 và bias −36,611. Độ bao phủ thực nghiệm của khoảng P10–P90 đạt 70,64% (hạng 50/54), so với mức danh nghĩa 80%. Nhóm có doanh số thực tế lớn nhất là GROCERY I (108.582; WAPE 6,64%; bao phủ 62,50%). Trong các nhóm có quy mô từ trung vị của cửa hàng trở lên, nhóm có WAPE thấp nhất là GROCERY I (6,64%).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298.153, 345.275 và 421.503; tổng lượng bổ sung gợi ý theo giả định là 145.282. Cửa hàng có 18 nhóm mang nhãn HIGH, 13 nhóm MEDIUM và 2 nhóm LOW. Bảng A.52 liệt kê mười nhóm có doanh số thực tế lớn nhất của cửa hàng.</w:t>
      </w:r>
    </w:p>
    <w:p>
      <w:pPr>
        <w:keepNext/>
        <w:spacing w:before="120" w:after="60"/>
        <w:ind w:firstLine="0"/>
        <w:jc w:val="center"/>
      </w:pPr>
      <w:r>
        <w:t xml:space="preserve">Bảng A.52. Mười nhóm sản phẩm có doanh số thực tế lớn nhất của cửa hàng 50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108.582</w:t>
            </w:r>
          </w:p>
        </w:tc>
        <w:tc>
          <w:tcPr>
            <w:tcW w:type="dxa" w:w="1201"/>
            <w:vAlign w:val="center"/>
          </w:tcPr>
          <w:p>
            <w:pPr>
              <w:spacing w:before="20" w:after="20" w:line="260" w:lineRule="auto"/>
              <w:ind w:firstLine="0"/>
              <w:jc w:val="center"/>
            </w:pPr>
            <w:r>
              <w:rPr>
                <w:sz w:val="20"/>
                <w:szCs w:val="20"/>
              </w:rPr>
              <w:t xml:space="preserve">111.091</w:t>
            </w:r>
          </w:p>
        </w:tc>
        <w:tc>
          <w:tcPr>
            <w:tcW w:type="dxa" w:w="1201"/>
            <w:vAlign w:val="center"/>
          </w:tcPr>
          <w:p>
            <w:pPr>
              <w:spacing w:before="20" w:after="20" w:line="260" w:lineRule="auto"/>
              <w:ind w:firstLine="0"/>
              <w:jc w:val="center"/>
            </w:pPr>
            <w:r>
              <w:rPr>
                <w:sz w:val="20"/>
                <w:szCs w:val="20"/>
              </w:rPr>
              <w:t xml:space="preserve">6,64%</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34.383</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69.833</w:t>
            </w:r>
          </w:p>
        </w:tc>
        <w:tc>
          <w:tcPr>
            <w:tcW w:type="dxa" w:w="1201"/>
            <w:vAlign w:val="center"/>
          </w:tcPr>
          <w:p>
            <w:pPr>
              <w:spacing w:before="20" w:after="20" w:line="260" w:lineRule="auto"/>
              <w:ind w:firstLine="0"/>
              <w:jc w:val="center"/>
            </w:pPr>
            <w:r>
              <w:rPr>
                <w:sz w:val="20"/>
                <w:szCs w:val="20"/>
              </w:rPr>
              <w:t xml:space="preserve">77.021</w:t>
            </w:r>
          </w:p>
        </w:tc>
        <w:tc>
          <w:tcPr>
            <w:tcW w:type="dxa" w:w="1201"/>
            <w:vAlign w:val="center"/>
          </w:tcPr>
          <w:p>
            <w:pPr>
              <w:spacing w:before="20" w:after="20" w:line="260" w:lineRule="auto"/>
              <w:ind w:firstLine="0"/>
              <w:jc w:val="center"/>
            </w:pPr>
            <w:r>
              <w:rPr>
                <w:sz w:val="20"/>
                <w:szCs w:val="20"/>
              </w:rPr>
              <w:t xml:space="preserve">12,66%</w:t>
            </w:r>
          </w:p>
        </w:tc>
        <w:tc>
          <w:tcPr>
            <w:tcW w:type="dxa" w:w="1201"/>
            <w:vAlign w:val="center"/>
          </w:tcPr>
          <w:p>
            <w:pPr>
              <w:spacing w:before="20" w:after="20" w:line="260" w:lineRule="auto"/>
              <w:ind w:firstLine="0"/>
              <w:jc w:val="center"/>
            </w:pPr>
            <w:r>
              <w:rPr>
                <w:sz w:val="20"/>
                <w:szCs w:val="20"/>
              </w:rPr>
              <w:t xml:space="preserve">50,00%</w:t>
            </w:r>
          </w:p>
        </w:tc>
        <w:tc>
          <w:tcPr>
            <w:tcW w:type="dxa" w:w="1531"/>
            <w:vAlign w:val="center"/>
          </w:tcPr>
          <w:p>
            <w:pPr>
              <w:spacing w:before="20" w:after="20" w:line="260" w:lineRule="auto"/>
              <w:ind w:firstLine="0"/>
              <w:jc w:val="center"/>
            </w:pPr>
            <w:r>
              <w:rPr>
                <w:sz w:val="20"/>
                <w:szCs w:val="20"/>
              </w:rPr>
              <w:t xml:space="preserve">27.568</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35.376</w:t>
            </w:r>
          </w:p>
        </w:tc>
        <w:tc>
          <w:tcPr>
            <w:tcW w:type="dxa" w:w="1201"/>
            <w:vAlign w:val="center"/>
          </w:tcPr>
          <w:p>
            <w:pPr>
              <w:spacing w:before="20" w:after="20" w:line="260" w:lineRule="auto"/>
              <w:ind w:firstLine="0"/>
              <w:jc w:val="center"/>
            </w:pPr>
            <w:r>
              <w:rPr>
                <w:sz w:val="20"/>
                <w:szCs w:val="20"/>
              </w:rPr>
              <w:t xml:space="preserve">37.643</w:t>
            </w:r>
          </w:p>
        </w:tc>
        <w:tc>
          <w:tcPr>
            <w:tcW w:type="dxa" w:w="1201"/>
            <w:vAlign w:val="center"/>
          </w:tcPr>
          <w:p>
            <w:pPr>
              <w:spacing w:before="20" w:after="20" w:line="260" w:lineRule="auto"/>
              <w:ind w:firstLine="0"/>
              <w:jc w:val="center"/>
            </w:pPr>
            <w:r>
              <w:rPr>
                <w:sz w:val="20"/>
                <w:szCs w:val="20"/>
              </w:rPr>
              <w:t xml:space="preserve">10,35%</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19.693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26.697</w:t>
            </w:r>
          </w:p>
        </w:tc>
        <w:tc>
          <w:tcPr>
            <w:tcW w:type="dxa" w:w="1201"/>
            <w:vAlign w:val="center"/>
          </w:tcPr>
          <w:p>
            <w:pPr>
              <w:spacing w:before="20" w:after="20" w:line="260" w:lineRule="auto"/>
              <w:ind w:firstLine="0"/>
              <w:jc w:val="center"/>
            </w:pPr>
            <w:r>
              <w:rPr>
                <w:sz w:val="20"/>
                <w:szCs w:val="20"/>
              </w:rPr>
              <w:t xml:space="preserve">30.651</w:t>
            </w:r>
          </w:p>
        </w:tc>
        <w:tc>
          <w:tcPr>
            <w:tcW w:type="dxa" w:w="1201"/>
            <w:vAlign w:val="center"/>
          </w:tcPr>
          <w:p>
            <w:pPr>
              <w:spacing w:before="20" w:after="20" w:line="260" w:lineRule="auto"/>
              <w:ind w:firstLine="0"/>
              <w:jc w:val="center"/>
            </w:pPr>
            <w:r>
              <w:rPr>
                <w:sz w:val="20"/>
                <w:szCs w:val="20"/>
              </w:rPr>
              <w:t xml:space="preserve">19,42%</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18.294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17.683</w:t>
            </w:r>
          </w:p>
        </w:tc>
        <w:tc>
          <w:tcPr>
            <w:tcW w:type="dxa" w:w="1201"/>
            <w:vAlign w:val="center"/>
          </w:tcPr>
          <w:p>
            <w:pPr>
              <w:spacing w:before="20" w:after="20" w:line="260" w:lineRule="auto"/>
              <w:ind w:firstLine="0"/>
              <w:jc w:val="center"/>
            </w:pPr>
            <w:r>
              <w:rPr>
                <w:sz w:val="20"/>
                <w:szCs w:val="20"/>
              </w:rPr>
              <w:t xml:space="preserve">20.542</w:t>
            </w:r>
          </w:p>
        </w:tc>
        <w:tc>
          <w:tcPr>
            <w:tcW w:type="dxa" w:w="1201"/>
            <w:vAlign w:val="center"/>
          </w:tcPr>
          <w:p>
            <w:pPr>
              <w:spacing w:before="20" w:after="20" w:line="260" w:lineRule="auto"/>
              <w:ind w:firstLine="0"/>
              <w:jc w:val="center"/>
            </w:pPr>
            <w:r>
              <w:rPr>
                <w:sz w:val="20"/>
                <w:szCs w:val="20"/>
              </w:rPr>
              <w:t xml:space="preserve">16,95%</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10.798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9.738</w:t>
            </w:r>
          </w:p>
        </w:tc>
        <w:tc>
          <w:tcPr>
            <w:tcW w:type="dxa" w:w="1201"/>
            <w:vAlign w:val="center"/>
          </w:tcPr>
          <w:p>
            <w:pPr>
              <w:spacing w:before="20" w:after="20" w:line="260" w:lineRule="auto"/>
              <w:ind w:firstLine="0"/>
              <w:jc w:val="center"/>
            </w:pPr>
            <w:r>
              <w:rPr>
                <w:sz w:val="20"/>
                <w:szCs w:val="20"/>
              </w:rPr>
              <w:t xml:space="preserve">10.396</w:t>
            </w:r>
          </w:p>
        </w:tc>
        <w:tc>
          <w:tcPr>
            <w:tcW w:type="dxa" w:w="1201"/>
            <w:vAlign w:val="center"/>
          </w:tcPr>
          <w:p>
            <w:pPr>
              <w:spacing w:before="20" w:after="20" w:line="260" w:lineRule="auto"/>
              <w:ind w:firstLine="0"/>
              <w:jc w:val="center"/>
            </w:pPr>
            <w:r>
              <w:rPr>
                <w:sz w:val="20"/>
                <w:szCs w:val="20"/>
              </w:rPr>
              <w:t xml:space="preserve">11,13%</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4.511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9.422</w:t>
            </w:r>
          </w:p>
        </w:tc>
        <w:tc>
          <w:tcPr>
            <w:tcW w:type="dxa" w:w="1201"/>
            <w:vAlign w:val="center"/>
          </w:tcPr>
          <w:p>
            <w:pPr>
              <w:spacing w:before="20" w:after="20" w:line="260" w:lineRule="auto"/>
              <w:ind w:firstLine="0"/>
              <w:jc w:val="center"/>
            </w:pPr>
            <w:r>
              <w:rPr>
                <w:sz w:val="20"/>
                <w:szCs w:val="20"/>
              </w:rPr>
              <w:t xml:space="preserve">9.846</w:t>
            </w:r>
          </w:p>
        </w:tc>
        <w:tc>
          <w:tcPr>
            <w:tcW w:type="dxa" w:w="1201"/>
            <w:vAlign w:val="center"/>
          </w:tcPr>
          <w:p>
            <w:pPr>
              <w:spacing w:before="20" w:after="20" w:line="260" w:lineRule="auto"/>
              <w:ind w:firstLine="0"/>
              <w:jc w:val="center"/>
            </w:pPr>
            <w:r>
              <w:rPr>
                <w:sz w:val="20"/>
                <w:szCs w:val="20"/>
              </w:rPr>
              <w:t xml:space="preserve">13,01%</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4.321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8.921</w:t>
            </w:r>
          </w:p>
        </w:tc>
        <w:tc>
          <w:tcPr>
            <w:tcW w:type="dxa" w:w="1201"/>
            <w:vAlign w:val="center"/>
          </w:tcPr>
          <w:p>
            <w:pPr>
              <w:spacing w:before="20" w:after="20" w:line="260" w:lineRule="auto"/>
              <w:ind w:firstLine="0"/>
              <w:jc w:val="center"/>
            </w:pPr>
            <w:r>
              <w:rPr>
                <w:sz w:val="20"/>
                <w:szCs w:val="20"/>
              </w:rPr>
              <w:t xml:space="preserve">9.014</w:t>
            </w:r>
          </w:p>
        </w:tc>
        <w:tc>
          <w:tcPr>
            <w:tcW w:type="dxa" w:w="1201"/>
            <w:vAlign w:val="center"/>
          </w:tcPr>
          <w:p>
            <w:pPr>
              <w:spacing w:before="20" w:after="20" w:line="260" w:lineRule="auto"/>
              <w:ind w:firstLine="0"/>
              <w:jc w:val="center"/>
            </w:pPr>
            <w:r>
              <w:rPr>
                <w:sz w:val="20"/>
                <w:szCs w:val="20"/>
              </w:rPr>
              <w:t xml:space="preserve">12,19%</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4.154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7.627</w:t>
            </w:r>
          </w:p>
        </w:tc>
        <w:tc>
          <w:tcPr>
            <w:tcW w:type="dxa" w:w="1201"/>
            <w:vAlign w:val="center"/>
          </w:tcPr>
          <w:p>
            <w:pPr>
              <w:spacing w:before="20" w:after="20" w:line="260" w:lineRule="auto"/>
              <w:ind w:firstLine="0"/>
              <w:jc w:val="center"/>
            </w:pPr>
            <w:r>
              <w:rPr>
                <w:sz w:val="20"/>
                <w:szCs w:val="20"/>
              </w:rPr>
              <w:t xml:space="preserve">8.562</w:t>
            </w:r>
          </w:p>
        </w:tc>
        <w:tc>
          <w:tcPr>
            <w:tcW w:type="dxa" w:w="1201"/>
            <w:vAlign w:val="center"/>
          </w:tcPr>
          <w:p>
            <w:pPr>
              <w:spacing w:before="20" w:after="20" w:line="260" w:lineRule="auto"/>
              <w:ind w:firstLine="0"/>
              <w:jc w:val="center"/>
            </w:pPr>
            <w:r>
              <w:rPr>
                <w:sz w:val="20"/>
                <w:szCs w:val="20"/>
              </w:rPr>
              <w:t xml:space="preserve">14,36%</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3.903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6.757</w:t>
            </w:r>
          </w:p>
        </w:tc>
        <w:tc>
          <w:tcPr>
            <w:tcW w:type="dxa" w:w="1201"/>
            <w:vAlign w:val="center"/>
          </w:tcPr>
          <w:p>
            <w:pPr>
              <w:spacing w:before="20" w:after="20" w:line="260" w:lineRule="auto"/>
              <w:ind w:firstLine="0"/>
              <w:jc w:val="center"/>
            </w:pPr>
            <w:r>
              <w:rPr>
                <w:sz w:val="20"/>
                <w:szCs w:val="20"/>
              </w:rPr>
              <w:t xml:space="preserve">7.203</w:t>
            </w:r>
          </w:p>
        </w:tc>
        <w:tc>
          <w:tcPr>
            <w:tcW w:type="dxa" w:w="1201"/>
            <w:vAlign w:val="center"/>
          </w:tcPr>
          <w:p>
            <w:pPr>
              <w:spacing w:before="20" w:after="20" w:line="260" w:lineRule="auto"/>
              <w:ind w:firstLine="0"/>
              <w:jc w:val="center"/>
            </w:pPr>
            <w:r>
              <w:rPr>
                <w:sz w:val="20"/>
                <w:szCs w:val="20"/>
              </w:rPr>
              <w:t xml:space="preserve">14,16%</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3.230</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A.51. Cửa hàng 51 (Guayaquil, Guayas; loại A, cụm 17)</w:t>
      </w:r>
    </w:p>
    <w:p>
      <w:pPr>
        <w:keepLines w:val="0"/>
        <w:spacing w:after="120"/>
        <w:ind w:firstLine="567"/>
      </w:pPr>
      <w:r>
        <w:t xml:space="preserve">Trong 16 ngày của tập kiểm tra cuối, cửa hàng 51 có tổng doanh số thực tế 364.629 (hạng 9/54 về quy mô) và tổng dự báo 380.308, tức dự báo cao hơn thực tế 4,30%. WAPE của cửa hàng là 9,94% (hạng 5/54 từ thấp đến cao), MAE 68,648, RMSE 197,720 và bias −29,696. Độ bao phủ thực nghiệm của khoảng P10–P90 đạt 77,08% (hạng 19/54), so với mức danh nghĩa 80%. Nhóm có doanh số thực tế lớn nhất là PRODUCE (89.971; WAPE 6,53%; bao phủ 87,50%). Trong các nhóm có quy mô từ trung vị của cửa hàng trở lên, nhóm có WAPE thấp nhất là DAIRY (6,37%).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331.967, 380.231 và 460.477; tổng lượng bổ sung gợi ý theo giả định là 156.292. Cửa hàng có 18 nhóm mang nhãn HIGH, 12 nhóm MEDIUM và 3 nhóm LOW. Bảng A.53 liệt kê mười nhóm có doanh số thực tế lớn nhất của cửa hàng.</w:t>
      </w:r>
    </w:p>
    <w:p>
      <w:pPr>
        <w:keepNext/>
        <w:spacing w:before="120" w:after="60"/>
        <w:ind w:firstLine="0"/>
        <w:jc w:val="center"/>
      </w:pPr>
      <w:r>
        <w:t xml:space="preserve">Bảng A.53. Mười nhóm sản phẩm có doanh số thực tế lớn nhất của cửa hàng 51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89.971</w:t>
            </w:r>
          </w:p>
        </w:tc>
        <w:tc>
          <w:tcPr>
            <w:tcW w:type="dxa" w:w="1201"/>
            <w:vAlign w:val="center"/>
          </w:tcPr>
          <w:p>
            <w:pPr>
              <w:spacing w:before="20" w:after="20" w:line="260" w:lineRule="auto"/>
              <w:ind w:firstLine="0"/>
              <w:jc w:val="center"/>
            </w:pPr>
            <w:r>
              <w:rPr>
                <w:sz w:val="20"/>
                <w:szCs w:val="20"/>
              </w:rPr>
              <w:t xml:space="preserve">88.306</w:t>
            </w:r>
          </w:p>
        </w:tc>
        <w:tc>
          <w:tcPr>
            <w:tcW w:type="dxa" w:w="1201"/>
            <w:vAlign w:val="center"/>
          </w:tcPr>
          <w:p>
            <w:pPr>
              <w:spacing w:before="20" w:after="20" w:line="260" w:lineRule="auto"/>
              <w:ind w:firstLine="0"/>
              <w:jc w:val="center"/>
            </w:pPr>
            <w:r>
              <w:rPr>
                <w:sz w:val="20"/>
                <w:szCs w:val="20"/>
              </w:rPr>
              <w:t xml:space="preserve">6,53%</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29.826</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82.056</w:t>
            </w:r>
          </w:p>
        </w:tc>
        <w:tc>
          <w:tcPr>
            <w:tcW w:type="dxa" w:w="1201"/>
            <w:vAlign w:val="center"/>
          </w:tcPr>
          <w:p>
            <w:pPr>
              <w:spacing w:before="20" w:after="20" w:line="260" w:lineRule="auto"/>
              <w:ind w:firstLine="0"/>
              <w:jc w:val="center"/>
            </w:pPr>
            <w:r>
              <w:rPr>
                <w:sz w:val="20"/>
                <w:szCs w:val="20"/>
              </w:rPr>
              <w:t xml:space="preserve">86.107</w:t>
            </w:r>
          </w:p>
        </w:tc>
        <w:tc>
          <w:tcPr>
            <w:tcW w:type="dxa" w:w="1201"/>
            <w:vAlign w:val="center"/>
          </w:tcPr>
          <w:p>
            <w:pPr>
              <w:spacing w:before="20" w:after="20" w:line="260" w:lineRule="auto"/>
              <w:ind w:firstLine="0"/>
              <w:jc w:val="center"/>
            </w:pPr>
            <w:r>
              <w:rPr>
                <w:sz w:val="20"/>
                <w:szCs w:val="20"/>
              </w:rPr>
              <w:t xml:space="preserve">8,43%</w:t>
            </w:r>
          </w:p>
        </w:tc>
        <w:tc>
          <w:tcPr>
            <w:tcW w:type="dxa" w:w="1201"/>
            <w:vAlign w:val="center"/>
          </w:tcPr>
          <w:p>
            <w:pPr>
              <w:spacing w:before="20" w:after="20" w:line="260" w:lineRule="auto"/>
              <w:ind w:firstLine="0"/>
              <w:jc w:val="center"/>
            </w:pPr>
            <w:r>
              <w:rPr>
                <w:sz w:val="20"/>
                <w:szCs w:val="20"/>
              </w:rPr>
              <w:t xml:space="preserve">50,00%</w:t>
            </w:r>
          </w:p>
        </w:tc>
        <w:tc>
          <w:tcPr>
            <w:tcW w:type="dxa" w:w="1531"/>
            <w:vAlign w:val="center"/>
          </w:tcPr>
          <w:p>
            <w:pPr>
              <w:spacing w:before="20" w:after="20" w:line="260" w:lineRule="auto"/>
              <w:ind w:firstLine="0"/>
              <w:jc w:val="center"/>
            </w:pPr>
            <w:r>
              <w:rPr>
                <w:sz w:val="20"/>
                <w:szCs w:val="20"/>
              </w:rPr>
              <w:t xml:space="preserve">29.386</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72.057</w:t>
            </w:r>
          </w:p>
        </w:tc>
        <w:tc>
          <w:tcPr>
            <w:tcW w:type="dxa" w:w="1201"/>
            <w:vAlign w:val="center"/>
          </w:tcPr>
          <w:p>
            <w:pPr>
              <w:spacing w:before="20" w:after="20" w:line="260" w:lineRule="auto"/>
              <w:ind w:firstLine="0"/>
              <w:jc w:val="center"/>
            </w:pPr>
            <w:r>
              <w:rPr>
                <w:sz w:val="20"/>
                <w:szCs w:val="20"/>
              </w:rPr>
              <w:t xml:space="preserve">76.159</w:t>
            </w:r>
          </w:p>
        </w:tc>
        <w:tc>
          <w:tcPr>
            <w:tcW w:type="dxa" w:w="1201"/>
            <w:vAlign w:val="center"/>
          </w:tcPr>
          <w:p>
            <w:pPr>
              <w:spacing w:before="20" w:after="20" w:line="260" w:lineRule="auto"/>
              <w:ind w:firstLine="0"/>
              <w:jc w:val="center"/>
            </w:pPr>
            <w:r>
              <w:rPr>
                <w:sz w:val="20"/>
                <w:szCs w:val="20"/>
              </w:rPr>
              <w:t xml:space="preserve">8,62%</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27.396</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25.557</w:t>
            </w:r>
          </w:p>
        </w:tc>
        <w:tc>
          <w:tcPr>
            <w:tcW w:type="dxa" w:w="1201"/>
            <w:vAlign w:val="center"/>
          </w:tcPr>
          <w:p>
            <w:pPr>
              <w:spacing w:before="20" w:after="20" w:line="260" w:lineRule="auto"/>
              <w:ind w:firstLine="0"/>
              <w:jc w:val="center"/>
            </w:pPr>
            <w:r>
              <w:rPr>
                <w:sz w:val="20"/>
                <w:szCs w:val="20"/>
              </w:rPr>
              <w:t xml:space="preserve">26.868</w:t>
            </w:r>
          </w:p>
        </w:tc>
        <w:tc>
          <w:tcPr>
            <w:tcW w:type="dxa" w:w="1201"/>
            <w:vAlign w:val="center"/>
          </w:tcPr>
          <w:p>
            <w:pPr>
              <w:spacing w:before="20" w:after="20" w:line="260" w:lineRule="auto"/>
              <w:ind w:firstLine="0"/>
              <w:jc w:val="center"/>
            </w:pPr>
            <w:r>
              <w:rPr>
                <w:sz w:val="20"/>
                <w:szCs w:val="20"/>
              </w:rPr>
              <w:t xml:space="preserve">6,37%</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16.930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22.265</w:t>
            </w:r>
          </w:p>
        </w:tc>
        <w:tc>
          <w:tcPr>
            <w:tcW w:type="dxa" w:w="1201"/>
            <w:vAlign w:val="center"/>
          </w:tcPr>
          <w:p>
            <w:pPr>
              <w:spacing w:before="20" w:after="20" w:line="260" w:lineRule="auto"/>
              <w:ind w:firstLine="0"/>
              <w:jc w:val="center"/>
            </w:pPr>
            <w:r>
              <w:rPr>
                <w:sz w:val="20"/>
                <w:szCs w:val="20"/>
              </w:rPr>
              <w:t xml:space="preserve">24.968</w:t>
            </w:r>
          </w:p>
        </w:tc>
        <w:tc>
          <w:tcPr>
            <w:tcW w:type="dxa" w:w="1201"/>
            <w:vAlign w:val="center"/>
          </w:tcPr>
          <w:p>
            <w:pPr>
              <w:spacing w:before="20" w:after="20" w:line="260" w:lineRule="auto"/>
              <w:ind w:firstLine="0"/>
              <w:jc w:val="center"/>
            </w:pPr>
            <w:r>
              <w:rPr>
                <w:sz w:val="20"/>
                <w:szCs w:val="20"/>
              </w:rPr>
              <w:t xml:space="preserve">12,15%</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15.941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14.144</w:t>
            </w:r>
          </w:p>
        </w:tc>
        <w:tc>
          <w:tcPr>
            <w:tcW w:type="dxa" w:w="1201"/>
            <w:vAlign w:val="center"/>
          </w:tcPr>
          <w:p>
            <w:pPr>
              <w:spacing w:before="20" w:after="20" w:line="260" w:lineRule="auto"/>
              <w:ind w:firstLine="0"/>
              <w:jc w:val="center"/>
            </w:pPr>
            <w:r>
              <w:rPr>
                <w:sz w:val="20"/>
                <w:szCs w:val="20"/>
              </w:rPr>
              <w:t xml:space="preserve">17.652</w:t>
            </w:r>
          </w:p>
        </w:tc>
        <w:tc>
          <w:tcPr>
            <w:tcW w:type="dxa" w:w="1201"/>
            <w:vAlign w:val="center"/>
          </w:tcPr>
          <w:p>
            <w:pPr>
              <w:spacing w:before="20" w:after="20" w:line="260" w:lineRule="auto"/>
              <w:ind w:firstLine="0"/>
              <w:jc w:val="center"/>
            </w:pPr>
            <w:r>
              <w:rPr>
                <w:sz w:val="20"/>
                <w:szCs w:val="20"/>
              </w:rPr>
              <w:t xml:space="preserve">33,41%</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7.179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14.099</w:t>
            </w:r>
          </w:p>
        </w:tc>
        <w:tc>
          <w:tcPr>
            <w:tcW w:type="dxa" w:w="1201"/>
            <w:vAlign w:val="center"/>
          </w:tcPr>
          <w:p>
            <w:pPr>
              <w:spacing w:before="20" w:after="20" w:line="260" w:lineRule="auto"/>
              <w:ind w:firstLine="0"/>
              <w:jc w:val="center"/>
            </w:pPr>
            <w:r>
              <w:rPr>
                <w:sz w:val="20"/>
                <w:szCs w:val="20"/>
              </w:rPr>
              <w:t xml:space="preserve">14.701</w:t>
            </w:r>
          </w:p>
        </w:tc>
        <w:tc>
          <w:tcPr>
            <w:tcW w:type="dxa" w:w="1201"/>
            <w:vAlign w:val="center"/>
          </w:tcPr>
          <w:p>
            <w:pPr>
              <w:spacing w:before="20" w:after="20" w:line="260" w:lineRule="auto"/>
              <w:ind w:firstLine="0"/>
              <w:jc w:val="center"/>
            </w:pPr>
            <w:r>
              <w:rPr>
                <w:sz w:val="20"/>
                <w:szCs w:val="20"/>
              </w:rPr>
              <w:t xml:space="preserve">6,88%</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5.980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10.840</w:t>
            </w:r>
          </w:p>
        </w:tc>
        <w:tc>
          <w:tcPr>
            <w:tcW w:type="dxa" w:w="1201"/>
            <w:vAlign w:val="center"/>
          </w:tcPr>
          <w:p>
            <w:pPr>
              <w:spacing w:before="20" w:after="20" w:line="260" w:lineRule="auto"/>
              <w:ind w:firstLine="0"/>
              <w:jc w:val="center"/>
            </w:pPr>
            <w:r>
              <w:rPr>
                <w:sz w:val="20"/>
                <w:szCs w:val="20"/>
              </w:rPr>
              <w:t xml:space="preserve">10.700</w:t>
            </w:r>
          </w:p>
        </w:tc>
        <w:tc>
          <w:tcPr>
            <w:tcW w:type="dxa" w:w="1201"/>
            <w:vAlign w:val="center"/>
          </w:tcPr>
          <w:p>
            <w:pPr>
              <w:spacing w:before="20" w:after="20" w:line="260" w:lineRule="auto"/>
              <w:ind w:firstLine="0"/>
              <w:jc w:val="center"/>
            </w:pPr>
            <w:r>
              <w:rPr>
                <w:sz w:val="20"/>
                <w:szCs w:val="20"/>
              </w:rPr>
              <w:t xml:space="preserve">7,18%</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5.180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EGGS</w:t>
            </w:r>
          </w:p>
        </w:tc>
        <w:tc>
          <w:tcPr>
            <w:tcW w:type="dxa" w:w="1201"/>
            <w:vAlign w:val="center"/>
          </w:tcPr>
          <w:p>
            <w:pPr>
              <w:spacing w:before="20" w:after="20" w:line="260" w:lineRule="auto"/>
              <w:ind w:firstLine="0"/>
              <w:jc w:val="center"/>
            </w:pPr>
            <w:r>
              <w:rPr>
                <w:sz w:val="20"/>
                <w:szCs w:val="20"/>
              </w:rPr>
              <w:t xml:space="preserve">5.669</w:t>
            </w:r>
          </w:p>
        </w:tc>
        <w:tc>
          <w:tcPr>
            <w:tcW w:type="dxa" w:w="1201"/>
            <w:vAlign w:val="center"/>
          </w:tcPr>
          <w:p>
            <w:pPr>
              <w:spacing w:before="20" w:after="20" w:line="260" w:lineRule="auto"/>
              <w:ind w:firstLine="0"/>
              <w:jc w:val="center"/>
            </w:pPr>
            <w:r>
              <w:rPr>
                <w:sz w:val="20"/>
                <w:szCs w:val="20"/>
              </w:rPr>
              <w:t xml:space="preserve">5.864</w:t>
            </w:r>
          </w:p>
        </w:tc>
        <w:tc>
          <w:tcPr>
            <w:tcW w:type="dxa" w:w="1201"/>
            <w:vAlign w:val="center"/>
          </w:tcPr>
          <w:p>
            <w:pPr>
              <w:spacing w:before="20" w:after="20" w:line="260" w:lineRule="auto"/>
              <w:ind w:firstLine="0"/>
              <w:jc w:val="center"/>
            </w:pPr>
            <w:r>
              <w:rPr>
                <w:sz w:val="20"/>
                <w:szCs w:val="20"/>
              </w:rPr>
              <w:t xml:space="preserve">7,31%</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2.560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5.004</w:t>
            </w:r>
          </w:p>
        </w:tc>
        <w:tc>
          <w:tcPr>
            <w:tcW w:type="dxa" w:w="1201"/>
            <w:vAlign w:val="center"/>
          </w:tcPr>
          <w:p>
            <w:pPr>
              <w:spacing w:before="20" w:after="20" w:line="260" w:lineRule="auto"/>
              <w:ind w:firstLine="0"/>
              <w:jc w:val="center"/>
            </w:pPr>
            <w:r>
              <w:rPr>
                <w:sz w:val="20"/>
                <w:szCs w:val="20"/>
              </w:rPr>
              <w:t xml:space="preserve">5.958</w:t>
            </w:r>
          </w:p>
        </w:tc>
        <w:tc>
          <w:tcPr>
            <w:tcW w:type="dxa" w:w="1201"/>
            <w:vAlign w:val="center"/>
          </w:tcPr>
          <w:p>
            <w:pPr>
              <w:spacing w:before="20" w:after="20" w:line="260" w:lineRule="auto"/>
              <w:ind w:firstLine="0"/>
              <w:jc w:val="center"/>
            </w:pPr>
            <w:r>
              <w:rPr>
                <w:sz w:val="20"/>
                <w:szCs w:val="20"/>
              </w:rPr>
              <w:t xml:space="preserve">26,23%</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2.579</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A.52. Cửa hàng 52 (Manta, Manabi; loại A, cụm 11)</w:t>
      </w:r>
    </w:p>
    <w:p>
      <w:pPr>
        <w:keepLines w:val="0"/>
        <w:spacing w:after="120"/>
        <w:ind w:firstLine="567"/>
      </w:pPr>
      <w:r>
        <w:t xml:space="preserve">Trong 16 ngày của tập kiểm tra cuối, cửa hàng 52 có tổng doanh số thực tế 365.488 (hạng 8/54 về quy mô) và tổng dự báo 357.418, tức dự báo thấp hơn thực tế 2,21%. WAPE của cửa hàng là 8,81% (hạng 1/54 từ thấp đến cao), MAE 60,962, RMSE 172,611 và bias 15,285. Độ bao phủ thực nghiệm của khoảng P10–P90 đạt 76,33% (hạng 24/54), so với mức danh nghĩa 80%. Nhóm có doanh số thực tế lớn nhất là GROCERY I (100.396; WAPE 7,20%; bao phủ 75,00%). Trong các nhóm có quy mô từ trung vị của cửa hàng trở lên, nhóm có WAPE thấp nhất là PRODUCE (5,31%).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312.200, 357.179 và 430.401; tổng lượng bổ sung gợi ý theo giả định là 144.658. Cửa hàng có 18 nhóm mang nhãn HIGH, 11 nhóm MEDIUM và 4 nhóm LOW. Bảng A.54 liệt kê mười nhóm có doanh số thực tế lớn nhất của cửa hàng.</w:t>
      </w:r>
    </w:p>
    <w:p>
      <w:pPr>
        <w:keepNext/>
        <w:spacing w:before="120" w:after="60"/>
        <w:ind w:firstLine="0"/>
        <w:jc w:val="center"/>
      </w:pPr>
      <w:r>
        <w:t xml:space="preserve">Bảng A.54. Mười nhóm sản phẩm có doanh số thực tế lớn nhất của cửa hàng 52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100.396</w:t>
            </w:r>
          </w:p>
        </w:tc>
        <w:tc>
          <w:tcPr>
            <w:tcW w:type="dxa" w:w="1201"/>
            <w:vAlign w:val="center"/>
          </w:tcPr>
          <w:p>
            <w:pPr>
              <w:spacing w:before="20" w:after="20" w:line="260" w:lineRule="auto"/>
              <w:ind w:firstLine="0"/>
              <w:jc w:val="center"/>
            </w:pPr>
            <w:r>
              <w:rPr>
                <w:sz w:val="20"/>
                <w:szCs w:val="20"/>
              </w:rPr>
              <w:t xml:space="preserve">96.077</w:t>
            </w:r>
          </w:p>
        </w:tc>
        <w:tc>
          <w:tcPr>
            <w:tcW w:type="dxa" w:w="1201"/>
            <w:vAlign w:val="center"/>
          </w:tcPr>
          <w:p>
            <w:pPr>
              <w:spacing w:before="20" w:after="20" w:line="260" w:lineRule="auto"/>
              <w:ind w:firstLine="0"/>
              <w:jc w:val="center"/>
            </w:pPr>
            <w:r>
              <w:rPr>
                <w:sz w:val="20"/>
                <w:szCs w:val="20"/>
              </w:rPr>
              <w:t xml:space="preserve">7,20%</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31.380</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78.833</w:t>
            </w:r>
          </w:p>
        </w:tc>
        <w:tc>
          <w:tcPr>
            <w:tcW w:type="dxa" w:w="1201"/>
            <w:vAlign w:val="center"/>
          </w:tcPr>
          <w:p>
            <w:pPr>
              <w:spacing w:before="20" w:after="20" w:line="260" w:lineRule="auto"/>
              <w:ind w:firstLine="0"/>
              <w:jc w:val="center"/>
            </w:pPr>
            <w:r>
              <w:rPr>
                <w:sz w:val="20"/>
                <w:szCs w:val="20"/>
              </w:rPr>
              <w:t xml:space="preserve">76.952</w:t>
            </w:r>
          </w:p>
        </w:tc>
        <w:tc>
          <w:tcPr>
            <w:tcW w:type="dxa" w:w="1201"/>
            <w:vAlign w:val="center"/>
          </w:tcPr>
          <w:p>
            <w:pPr>
              <w:spacing w:before="20" w:after="20" w:line="260" w:lineRule="auto"/>
              <w:ind w:firstLine="0"/>
              <w:jc w:val="center"/>
            </w:pPr>
            <w:r>
              <w:rPr>
                <w:sz w:val="20"/>
                <w:szCs w:val="20"/>
              </w:rPr>
              <w:t xml:space="preserve">5,31%</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27.555</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71.692</w:t>
            </w:r>
          </w:p>
        </w:tc>
        <w:tc>
          <w:tcPr>
            <w:tcW w:type="dxa" w:w="1201"/>
            <w:vAlign w:val="center"/>
          </w:tcPr>
          <w:p>
            <w:pPr>
              <w:spacing w:before="20" w:after="20" w:line="260" w:lineRule="auto"/>
              <w:ind w:firstLine="0"/>
              <w:jc w:val="center"/>
            </w:pPr>
            <w:r>
              <w:rPr>
                <w:sz w:val="20"/>
                <w:szCs w:val="20"/>
              </w:rPr>
              <w:t xml:space="preserve">72.038</w:t>
            </w:r>
          </w:p>
        </w:tc>
        <w:tc>
          <w:tcPr>
            <w:tcW w:type="dxa" w:w="1201"/>
            <w:vAlign w:val="center"/>
          </w:tcPr>
          <w:p>
            <w:pPr>
              <w:spacing w:before="20" w:after="20" w:line="260" w:lineRule="auto"/>
              <w:ind w:firstLine="0"/>
              <w:jc w:val="center"/>
            </w:pPr>
            <w:r>
              <w:rPr>
                <w:sz w:val="20"/>
                <w:szCs w:val="20"/>
              </w:rPr>
              <w:t xml:space="preserve">8,40%</w:t>
            </w:r>
          </w:p>
        </w:tc>
        <w:tc>
          <w:tcPr>
            <w:tcW w:type="dxa" w:w="1201"/>
            <w:vAlign w:val="center"/>
          </w:tcPr>
          <w:p>
            <w:pPr>
              <w:spacing w:before="20" w:after="20" w:line="260" w:lineRule="auto"/>
              <w:ind w:firstLine="0"/>
              <w:jc w:val="center"/>
            </w:pPr>
            <w:r>
              <w:rPr>
                <w:sz w:val="20"/>
                <w:szCs w:val="20"/>
              </w:rPr>
              <w:t xml:space="preserve">68,75%</w:t>
            </w:r>
          </w:p>
        </w:tc>
        <w:tc>
          <w:tcPr>
            <w:tcW w:type="dxa" w:w="1531"/>
            <w:vAlign w:val="center"/>
          </w:tcPr>
          <w:p>
            <w:pPr>
              <w:spacing w:before="20" w:after="20" w:line="260" w:lineRule="auto"/>
              <w:ind w:firstLine="0"/>
              <w:jc w:val="center"/>
            </w:pPr>
            <w:r>
              <w:rPr>
                <w:sz w:val="20"/>
                <w:szCs w:val="20"/>
              </w:rPr>
              <w:t xml:space="preserve">26.572</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25.178</w:t>
            </w:r>
          </w:p>
        </w:tc>
        <w:tc>
          <w:tcPr>
            <w:tcW w:type="dxa" w:w="1201"/>
            <w:vAlign w:val="center"/>
          </w:tcPr>
          <w:p>
            <w:pPr>
              <w:spacing w:before="20" w:after="20" w:line="260" w:lineRule="auto"/>
              <w:ind w:firstLine="0"/>
              <w:jc w:val="center"/>
            </w:pPr>
            <w:r>
              <w:rPr>
                <w:sz w:val="20"/>
                <w:szCs w:val="20"/>
              </w:rPr>
              <w:t xml:space="preserve">27.285</w:t>
            </w:r>
          </w:p>
        </w:tc>
        <w:tc>
          <w:tcPr>
            <w:tcW w:type="dxa" w:w="1201"/>
            <w:vAlign w:val="center"/>
          </w:tcPr>
          <w:p>
            <w:pPr>
              <w:spacing w:before="20" w:after="20" w:line="260" w:lineRule="auto"/>
              <w:ind w:firstLine="0"/>
              <w:jc w:val="center"/>
            </w:pPr>
            <w:r>
              <w:rPr>
                <w:sz w:val="20"/>
                <w:szCs w:val="20"/>
              </w:rPr>
              <w:t xml:space="preserve">11,61%</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17.621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19.400</w:t>
            </w:r>
          </w:p>
        </w:tc>
        <w:tc>
          <w:tcPr>
            <w:tcW w:type="dxa" w:w="1201"/>
            <w:vAlign w:val="center"/>
          </w:tcPr>
          <w:p>
            <w:pPr>
              <w:spacing w:before="20" w:after="20" w:line="260" w:lineRule="auto"/>
              <w:ind w:firstLine="0"/>
              <w:jc w:val="center"/>
            </w:pPr>
            <w:r>
              <w:rPr>
                <w:sz w:val="20"/>
                <w:szCs w:val="20"/>
              </w:rPr>
              <w:t xml:space="preserve">18.719</w:t>
            </w:r>
          </w:p>
        </w:tc>
        <w:tc>
          <w:tcPr>
            <w:tcW w:type="dxa" w:w="1201"/>
            <w:vAlign w:val="center"/>
          </w:tcPr>
          <w:p>
            <w:pPr>
              <w:spacing w:before="20" w:after="20" w:line="260" w:lineRule="auto"/>
              <w:ind w:firstLine="0"/>
              <w:jc w:val="center"/>
            </w:pPr>
            <w:r>
              <w:rPr>
                <w:sz w:val="20"/>
                <w:szCs w:val="20"/>
              </w:rPr>
              <w:t xml:space="preserve">7,90%</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9.217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14.330</w:t>
            </w:r>
          </w:p>
        </w:tc>
        <w:tc>
          <w:tcPr>
            <w:tcW w:type="dxa" w:w="1201"/>
            <w:vAlign w:val="center"/>
          </w:tcPr>
          <w:p>
            <w:pPr>
              <w:spacing w:before="20" w:after="20" w:line="260" w:lineRule="auto"/>
              <w:ind w:firstLine="0"/>
              <w:jc w:val="center"/>
            </w:pPr>
            <w:r>
              <w:rPr>
                <w:sz w:val="20"/>
                <w:szCs w:val="20"/>
              </w:rPr>
              <w:t xml:space="preserve">12.942</w:t>
            </w:r>
          </w:p>
        </w:tc>
        <w:tc>
          <w:tcPr>
            <w:tcW w:type="dxa" w:w="1201"/>
            <w:vAlign w:val="center"/>
          </w:tcPr>
          <w:p>
            <w:pPr>
              <w:spacing w:before="20" w:after="20" w:line="260" w:lineRule="auto"/>
              <w:ind w:firstLine="0"/>
              <w:jc w:val="center"/>
            </w:pPr>
            <w:r>
              <w:rPr>
                <w:sz w:val="20"/>
                <w:szCs w:val="20"/>
              </w:rPr>
              <w:t xml:space="preserve">9,86%</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5.020</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8.223</w:t>
            </w:r>
          </w:p>
        </w:tc>
        <w:tc>
          <w:tcPr>
            <w:tcW w:type="dxa" w:w="1201"/>
            <w:vAlign w:val="center"/>
          </w:tcPr>
          <w:p>
            <w:pPr>
              <w:spacing w:before="20" w:after="20" w:line="260" w:lineRule="auto"/>
              <w:ind w:firstLine="0"/>
              <w:jc w:val="center"/>
            </w:pPr>
            <w:r>
              <w:rPr>
                <w:sz w:val="20"/>
                <w:szCs w:val="20"/>
              </w:rPr>
              <w:t xml:space="preserve">8.119</w:t>
            </w:r>
          </w:p>
        </w:tc>
        <w:tc>
          <w:tcPr>
            <w:tcW w:type="dxa" w:w="1201"/>
            <w:vAlign w:val="center"/>
          </w:tcPr>
          <w:p>
            <w:pPr>
              <w:spacing w:before="20" w:after="20" w:line="260" w:lineRule="auto"/>
              <w:ind w:firstLine="0"/>
              <w:jc w:val="center"/>
            </w:pPr>
            <w:r>
              <w:rPr>
                <w:sz w:val="20"/>
                <w:szCs w:val="20"/>
              </w:rPr>
              <w:t xml:space="preserve">9,91%</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3.734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POULTRY</w:t>
            </w:r>
          </w:p>
        </w:tc>
        <w:tc>
          <w:tcPr>
            <w:tcW w:type="dxa" w:w="1201"/>
            <w:vAlign w:val="center"/>
          </w:tcPr>
          <w:p>
            <w:pPr>
              <w:spacing w:before="20" w:after="20" w:line="260" w:lineRule="auto"/>
              <w:ind w:firstLine="0"/>
              <w:jc w:val="center"/>
            </w:pPr>
            <w:r>
              <w:rPr>
                <w:sz w:val="20"/>
                <w:szCs w:val="20"/>
              </w:rPr>
              <w:t xml:space="preserve">8.129</w:t>
            </w:r>
          </w:p>
        </w:tc>
        <w:tc>
          <w:tcPr>
            <w:tcW w:type="dxa" w:w="1201"/>
            <w:vAlign w:val="center"/>
          </w:tcPr>
          <w:p>
            <w:pPr>
              <w:spacing w:before="20" w:after="20" w:line="260" w:lineRule="auto"/>
              <w:ind w:firstLine="0"/>
              <w:jc w:val="center"/>
            </w:pPr>
            <w:r>
              <w:rPr>
                <w:sz w:val="20"/>
                <w:szCs w:val="20"/>
              </w:rPr>
              <w:t xml:space="preserve">7.987</w:t>
            </w:r>
          </w:p>
        </w:tc>
        <w:tc>
          <w:tcPr>
            <w:tcW w:type="dxa" w:w="1201"/>
            <w:vAlign w:val="center"/>
          </w:tcPr>
          <w:p>
            <w:pPr>
              <w:spacing w:before="20" w:after="20" w:line="260" w:lineRule="auto"/>
              <w:ind w:firstLine="0"/>
              <w:jc w:val="center"/>
            </w:pPr>
            <w:r>
              <w:rPr>
                <w:sz w:val="20"/>
                <w:szCs w:val="20"/>
              </w:rPr>
              <w:t xml:space="preserve">7,72%</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3.708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6.040</w:t>
            </w:r>
          </w:p>
        </w:tc>
        <w:tc>
          <w:tcPr>
            <w:tcW w:type="dxa" w:w="1201"/>
            <w:vAlign w:val="center"/>
          </w:tcPr>
          <w:p>
            <w:pPr>
              <w:spacing w:before="20" w:after="20" w:line="260" w:lineRule="auto"/>
              <w:ind w:firstLine="0"/>
              <w:jc w:val="center"/>
            </w:pPr>
            <w:r>
              <w:rPr>
                <w:sz w:val="20"/>
                <w:szCs w:val="20"/>
              </w:rPr>
              <w:t xml:space="preserve">5.800</w:t>
            </w:r>
          </w:p>
        </w:tc>
        <w:tc>
          <w:tcPr>
            <w:tcW w:type="dxa" w:w="1201"/>
            <w:vAlign w:val="center"/>
          </w:tcPr>
          <w:p>
            <w:pPr>
              <w:spacing w:before="20" w:after="20" w:line="260" w:lineRule="auto"/>
              <w:ind w:firstLine="0"/>
              <w:jc w:val="center"/>
            </w:pPr>
            <w:r>
              <w:rPr>
                <w:sz w:val="20"/>
                <w:szCs w:val="20"/>
              </w:rPr>
              <w:t xml:space="preserve">14,41%</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2.628</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5.929</w:t>
            </w:r>
          </w:p>
        </w:tc>
        <w:tc>
          <w:tcPr>
            <w:tcW w:type="dxa" w:w="1201"/>
            <w:vAlign w:val="center"/>
          </w:tcPr>
          <w:p>
            <w:pPr>
              <w:spacing w:before="20" w:after="20" w:line="260" w:lineRule="auto"/>
              <w:ind w:firstLine="0"/>
              <w:jc w:val="center"/>
            </w:pPr>
            <w:r>
              <w:rPr>
                <w:sz w:val="20"/>
                <w:szCs w:val="20"/>
              </w:rPr>
              <w:t xml:space="preserve">6.293</w:t>
            </w:r>
          </w:p>
        </w:tc>
        <w:tc>
          <w:tcPr>
            <w:tcW w:type="dxa" w:w="1201"/>
            <w:vAlign w:val="center"/>
          </w:tcPr>
          <w:p>
            <w:pPr>
              <w:spacing w:before="20" w:after="20" w:line="260" w:lineRule="auto"/>
              <w:ind w:firstLine="0"/>
              <w:jc w:val="center"/>
            </w:pPr>
            <w:r>
              <w:rPr>
                <w:sz w:val="20"/>
                <w:szCs w:val="20"/>
              </w:rPr>
              <w:t xml:space="preserve">12,17%</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2.967</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A.53. Cửa hàng 53 (Manta, Manabi; loại D, cụm 13)</w:t>
      </w:r>
    </w:p>
    <w:p>
      <w:pPr>
        <w:keepLines w:val="0"/>
        <w:spacing w:after="120"/>
        <w:ind w:firstLine="567"/>
      </w:pPr>
      <w:r>
        <w:t xml:space="preserve">Trong 16 ngày của tập kiểm tra cuối, cửa hàng 53 có tổng doanh số thực tế 178.777 (hạng 35/54 về quy mô) và tổng dự báo 190.869, tức dự báo cao hơn thực tế 6,76%. WAPE của cửa hàng là 13,14% (hạng 21/54 từ thấp đến cao), MAE 44,507, RMSE 106,945 và bias −22,902. Độ bao phủ thực nghiệm của khoảng P10–P90 đạt 78,41% (hạng 13/54), so với mức danh nghĩa 80%. Nhóm có doanh số thực tế lớn nhất là GROCERY I (50.699; WAPE 10,22%; bao phủ 75,00%). Trong các nhóm có quy mô từ trung vị của cửa hàng trở lên, nhóm có WAPE thấp nhất là PRODUCE (7,61%). Có 2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156.178, 190.859 và 247.279; tổng lượng bổ sung gợi ý theo giả định là 94.592. Cửa hàng có 19 nhóm mang nhãn HIGH, 13 nhóm MEDIUM và 1 nhóm LOW. Bảng A.55 liệt kê mười nhóm có doanh số thực tế lớn nhất của cửa hàng.</w:t>
      </w:r>
    </w:p>
    <w:p>
      <w:pPr>
        <w:keepNext/>
        <w:spacing w:before="120" w:after="60"/>
        <w:ind w:firstLine="0"/>
        <w:jc w:val="center"/>
      </w:pPr>
      <w:r>
        <w:t xml:space="preserve">Bảng A.55. Mười nhóm sản phẩm có doanh số thực tế lớn nhất của cửa hàng 53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31"/>
        <w:gridCol w:w="1201"/>
        <w:gridCol w:w="1201"/>
        <w:gridCol w:w="1201"/>
        <w:gridCol w:w="1201"/>
        <w:gridCol w:w="1531"/>
        <w:gridCol w:w="1205"/>
      </w:tblGrid>
      <w:tr>
        <w:trPr>
          <w:tblHeader/>
          <w:cantSplit/>
        </w:trPr>
        <w:tc>
          <w:tcPr>
            <w:tcW w:type="dxa" w:w="1531"/>
            <w:shd w:val="clear" w:color="auto" w:fill="D9E2F3"/>
            <w:vAlign w:val="center"/>
          </w:tcPr>
          <w:p>
            <w:pPr>
              <w:spacing w:before="20" w:after="20" w:line="260" w:lineRule="auto"/>
              <w:ind w:firstLine="0"/>
              <w:jc w:val="center"/>
            </w:pPr>
            <w:r>
              <w:rPr>
                <w:b/>
                <w:sz w:val="20"/>
                <w:szCs w:val="20"/>
              </w:rPr>
              <w:t xml:space="preserve">Nhóm sản phẩm</w:t>
            </w:r>
          </w:p>
        </w:tc>
        <w:tc>
          <w:tcPr>
            <w:tcW w:type="dxa" w:w="1201"/>
            <w:shd w:val="clear" w:color="auto" w:fill="D9E2F3"/>
            <w:vAlign w:val="center"/>
          </w:tcPr>
          <w:p>
            <w:pPr>
              <w:spacing w:before="20" w:after="20" w:line="260" w:lineRule="auto"/>
              <w:ind w:firstLine="0"/>
              <w:jc w:val="center"/>
            </w:pPr>
            <w:r>
              <w:rPr>
                <w:b/>
                <w:sz w:val="20"/>
                <w:szCs w:val="20"/>
              </w:rPr>
              <w:t xml:space="preserve">Thực tế</w:t>
            </w:r>
          </w:p>
        </w:tc>
        <w:tc>
          <w:tcPr>
            <w:tcW w:type="dxa" w:w="1201"/>
            <w:shd w:val="clear" w:color="auto" w:fill="D9E2F3"/>
            <w:vAlign w:val="center"/>
          </w:tcPr>
          <w:p>
            <w:pPr>
              <w:spacing w:before="20" w:after="20" w:line="260" w:lineRule="auto"/>
              <w:ind w:firstLine="0"/>
              <w:jc w:val="center"/>
            </w:pPr>
            <w:r>
              <w:rPr>
                <w:b/>
                <w:sz w:val="20"/>
                <w:szCs w:val="20"/>
              </w:rPr>
              <w:t xml:space="preserve">Dự báo</w:t>
            </w:r>
          </w:p>
        </w:tc>
        <w:tc>
          <w:tcPr>
            <w:tcW w:type="dxa" w:w="1201"/>
            <w:shd w:val="clear" w:color="auto" w:fill="D9E2F3"/>
            <w:vAlign w:val="center"/>
          </w:tcPr>
          <w:p>
            <w:pPr>
              <w:spacing w:before="20" w:after="20" w:line="260" w:lineRule="auto"/>
              <w:ind w:firstLine="0"/>
              <w:jc w:val="center"/>
            </w:pPr>
            <w:r>
              <w:rPr>
                <w:b/>
                <w:sz w:val="20"/>
                <w:szCs w:val="20"/>
              </w:rPr>
              <w:t xml:space="preserve">WAPE</w:t>
            </w:r>
          </w:p>
        </w:tc>
        <w:tc>
          <w:tcPr>
            <w:tcW w:type="dxa" w:w="1201"/>
            <w:shd w:val="clear" w:color="auto" w:fill="D9E2F3"/>
            <w:vAlign w:val="center"/>
          </w:tcPr>
          <w:p>
            <w:pPr>
              <w:spacing w:before="20" w:after="20" w:line="260" w:lineRule="auto"/>
              <w:ind w:firstLine="0"/>
              <w:jc w:val="center"/>
            </w:pPr>
            <w:r>
              <w:rPr>
                <w:b/>
                <w:sz w:val="20"/>
                <w:szCs w:val="20"/>
              </w:rPr>
              <w:t xml:space="preserve">Bao phủ</w:t>
            </w:r>
          </w:p>
        </w:tc>
        <w:tc>
          <w:tcPr>
            <w:tcW w:type="dxa" w:w="1531"/>
            <w:shd w:val="clear" w:color="auto" w:fill="D9E2F3"/>
            <w:vAlign w:val="center"/>
          </w:tcPr>
          <w:p>
            <w:pPr>
              <w:spacing w:before="20" w:after="20" w:line="260" w:lineRule="auto"/>
              <w:ind w:firstLine="0"/>
              <w:jc w:val="center"/>
            </w:pPr>
            <w:r>
              <w:rPr>
                <w:b/>
                <w:sz w:val="20"/>
                <w:szCs w:val="20"/>
              </w:rPr>
              <w:t xml:space="preserve">Bổ sung gợi ý</w:t>
            </w:r>
          </w:p>
        </w:tc>
        <w:tc>
          <w:tcPr>
            <w:tcW w:type="dxa" w:w="1205"/>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31"/>
            <w:vAlign w:val="center"/>
          </w:tcPr>
          <w:p>
            <w:pPr>
              <w:spacing w:before="20" w:after="20" w:line="260" w:lineRule="auto"/>
              <w:ind w:firstLine="0"/>
              <w:jc w:val="left"/>
            </w:pPr>
            <w:r>
              <w:rPr>
                <w:sz w:val="20"/>
                <w:szCs w:val="20"/>
              </w:rPr>
              <w:t xml:space="preserve">GROCERY I</w:t>
            </w:r>
          </w:p>
        </w:tc>
        <w:tc>
          <w:tcPr>
            <w:tcW w:type="dxa" w:w="1201"/>
            <w:vAlign w:val="center"/>
          </w:tcPr>
          <w:p>
            <w:pPr>
              <w:spacing w:before="20" w:after="20" w:line="260" w:lineRule="auto"/>
              <w:ind w:firstLine="0"/>
              <w:jc w:val="center"/>
            </w:pPr>
            <w:r>
              <w:rPr>
                <w:sz w:val="20"/>
                <w:szCs w:val="20"/>
              </w:rPr>
              <w:t xml:space="preserve">50.699</w:t>
            </w:r>
          </w:p>
        </w:tc>
        <w:tc>
          <w:tcPr>
            <w:tcW w:type="dxa" w:w="1201"/>
            <w:vAlign w:val="center"/>
          </w:tcPr>
          <w:p>
            <w:pPr>
              <w:spacing w:before="20" w:after="20" w:line="260" w:lineRule="auto"/>
              <w:ind w:firstLine="0"/>
              <w:jc w:val="center"/>
            </w:pPr>
            <w:r>
              <w:rPr>
                <w:sz w:val="20"/>
                <w:szCs w:val="20"/>
              </w:rPr>
              <w:t xml:space="preserve">54.330</w:t>
            </w:r>
          </w:p>
        </w:tc>
        <w:tc>
          <w:tcPr>
            <w:tcW w:type="dxa" w:w="1201"/>
            <w:vAlign w:val="center"/>
          </w:tcPr>
          <w:p>
            <w:pPr>
              <w:spacing w:before="20" w:after="20" w:line="260" w:lineRule="auto"/>
              <w:ind w:firstLine="0"/>
              <w:jc w:val="center"/>
            </w:pPr>
            <w:r>
              <w:rPr>
                <w:sz w:val="20"/>
                <w:szCs w:val="20"/>
              </w:rPr>
              <w:t xml:space="preserve">10,22%</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23.030</w:t>
            </w:r>
          </w:p>
        </w:tc>
        <w:tc>
          <w:tcPr>
            <w:tcW w:type="dxa" w:w="1205"/>
            <w:vAlign w:val="center"/>
          </w:tcPr>
          <w:p>
            <w:pPr>
              <w:spacing w:before="20" w:after="20" w:line="260" w:lineRule="auto"/>
              <w:ind w:firstLine="0"/>
              <w:jc w:val="left"/>
            </w:pPr>
            <w:r>
              <w:rPr>
                <w:sz w:val="20"/>
                <w:szCs w:val="20"/>
              </w:rPr>
              <w:t xml:space="preserve">LOW</w:t>
            </w:r>
          </w:p>
        </w:tc>
      </w:tr>
      <w:tr>
        <w:trPr>
          <w:cantSplit/>
        </w:trPr>
        <w:tc>
          <w:tcPr>
            <w:tcW w:type="dxa" w:w="1531"/>
            <w:vAlign w:val="center"/>
          </w:tcPr>
          <w:p>
            <w:pPr>
              <w:spacing w:before="20" w:after="20" w:line="260" w:lineRule="auto"/>
              <w:ind w:firstLine="0"/>
              <w:jc w:val="left"/>
            </w:pPr>
            <w:r>
              <w:rPr>
                <w:sz w:val="20"/>
                <w:szCs w:val="20"/>
              </w:rPr>
              <w:t xml:space="preserve">BEVERAGES</w:t>
            </w:r>
          </w:p>
        </w:tc>
        <w:tc>
          <w:tcPr>
            <w:tcW w:type="dxa" w:w="1201"/>
            <w:vAlign w:val="center"/>
          </w:tcPr>
          <w:p>
            <w:pPr>
              <w:spacing w:before="20" w:after="20" w:line="260" w:lineRule="auto"/>
              <w:ind w:firstLine="0"/>
              <w:jc w:val="center"/>
            </w:pPr>
            <w:r>
              <w:rPr>
                <w:sz w:val="20"/>
                <w:szCs w:val="20"/>
              </w:rPr>
              <w:t xml:space="preserve">35.896</w:t>
            </w:r>
          </w:p>
        </w:tc>
        <w:tc>
          <w:tcPr>
            <w:tcW w:type="dxa" w:w="1201"/>
            <w:vAlign w:val="center"/>
          </w:tcPr>
          <w:p>
            <w:pPr>
              <w:spacing w:before="20" w:after="20" w:line="260" w:lineRule="auto"/>
              <w:ind w:firstLine="0"/>
              <w:jc w:val="center"/>
            </w:pPr>
            <w:r>
              <w:rPr>
                <w:sz w:val="20"/>
                <w:szCs w:val="20"/>
              </w:rPr>
              <w:t xml:space="preserve">38.358</w:t>
            </w:r>
          </w:p>
        </w:tc>
        <w:tc>
          <w:tcPr>
            <w:tcW w:type="dxa" w:w="1201"/>
            <w:vAlign w:val="center"/>
          </w:tcPr>
          <w:p>
            <w:pPr>
              <w:spacing w:before="20" w:after="20" w:line="260" w:lineRule="auto"/>
              <w:ind w:firstLine="0"/>
              <w:jc w:val="center"/>
            </w:pPr>
            <w:r>
              <w:rPr>
                <w:sz w:val="20"/>
                <w:szCs w:val="20"/>
              </w:rPr>
              <w:t xml:space="preserve">13,86%</w:t>
            </w:r>
          </w:p>
        </w:tc>
        <w:tc>
          <w:tcPr>
            <w:tcW w:type="dxa" w:w="1201"/>
            <w:vAlign w:val="center"/>
          </w:tcPr>
          <w:p>
            <w:pPr>
              <w:spacing w:before="20" w:after="20" w:line="260" w:lineRule="auto"/>
              <w:ind w:firstLine="0"/>
              <w:jc w:val="center"/>
            </w:pPr>
            <w:r>
              <w:rPr>
                <w:sz w:val="20"/>
                <w:szCs w:val="20"/>
              </w:rPr>
              <w:t xml:space="preserve">75,00%</w:t>
            </w:r>
          </w:p>
        </w:tc>
        <w:tc>
          <w:tcPr>
            <w:tcW w:type="dxa" w:w="1531"/>
            <w:vAlign w:val="center"/>
          </w:tcPr>
          <w:p>
            <w:pPr>
              <w:spacing w:before="20" w:after="20" w:line="260" w:lineRule="auto"/>
              <w:ind w:firstLine="0"/>
              <w:jc w:val="center"/>
            </w:pPr>
            <w:r>
              <w:rPr>
                <w:sz w:val="20"/>
                <w:szCs w:val="20"/>
              </w:rPr>
              <w:t xml:space="preserve">19.836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PRODUCE</w:t>
            </w:r>
          </w:p>
        </w:tc>
        <w:tc>
          <w:tcPr>
            <w:tcW w:type="dxa" w:w="1201"/>
            <w:vAlign w:val="center"/>
          </w:tcPr>
          <w:p>
            <w:pPr>
              <w:spacing w:before="20" w:after="20" w:line="260" w:lineRule="auto"/>
              <w:ind w:firstLine="0"/>
              <w:jc w:val="center"/>
            </w:pPr>
            <w:r>
              <w:rPr>
                <w:sz w:val="20"/>
                <w:szCs w:val="20"/>
              </w:rPr>
              <w:t xml:space="preserve">33.545</w:t>
            </w:r>
          </w:p>
        </w:tc>
        <w:tc>
          <w:tcPr>
            <w:tcW w:type="dxa" w:w="1201"/>
            <w:vAlign w:val="center"/>
          </w:tcPr>
          <w:p>
            <w:pPr>
              <w:spacing w:before="20" w:after="20" w:line="260" w:lineRule="auto"/>
              <w:ind w:firstLine="0"/>
              <w:jc w:val="center"/>
            </w:pPr>
            <w:r>
              <w:rPr>
                <w:sz w:val="20"/>
                <w:szCs w:val="20"/>
              </w:rPr>
              <w:t xml:space="preserve">34.177</w:t>
            </w:r>
          </w:p>
        </w:tc>
        <w:tc>
          <w:tcPr>
            <w:tcW w:type="dxa" w:w="1201"/>
            <w:vAlign w:val="center"/>
          </w:tcPr>
          <w:p>
            <w:pPr>
              <w:spacing w:before="20" w:after="20" w:line="260" w:lineRule="auto"/>
              <w:ind w:firstLine="0"/>
              <w:jc w:val="center"/>
            </w:pPr>
            <w:r>
              <w:rPr>
                <w:sz w:val="20"/>
                <w:szCs w:val="20"/>
              </w:rPr>
              <w:t xml:space="preserve">7,61%</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19.000</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CLEANING</w:t>
            </w:r>
          </w:p>
        </w:tc>
        <w:tc>
          <w:tcPr>
            <w:tcW w:type="dxa" w:w="1201"/>
            <w:vAlign w:val="center"/>
          </w:tcPr>
          <w:p>
            <w:pPr>
              <w:spacing w:before="20" w:after="20" w:line="260" w:lineRule="auto"/>
              <w:ind w:firstLine="0"/>
              <w:jc w:val="center"/>
            </w:pPr>
            <w:r>
              <w:rPr>
                <w:sz w:val="20"/>
                <w:szCs w:val="20"/>
              </w:rPr>
              <w:t xml:space="preserve">15.371</w:t>
            </w:r>
          </w:p>
        </w:tc>
        <w:tc>
          <w:tcPr>
            <w:tcW w:type="dxa" w:w="1201"/>
            <w:vAlign w:val="center"/>
          </w:tcPr>
          <w:p>
            <w:pPr>
              <w:spacing w:before="20" w:after="20" w:line="260" w:lineRule="auto"/>
              <w:ind w:firstLine="0"/>
              <w:jc w:val="center"/>
            </w:pPr>
            <w:r>
              <w:rPr>
                <w:sz w:val="20"/>
                <w:szCs w:val="20"/>
              </w:rPr>
              <w:t xml:space="preserve">17.182</w:t>
            </w:r>
          </w:p>
        </w:tc>
        <w:tc>
          <w:tcPr>
            <w:tcW w:type="dxa" w:w="1201"/>
            <w:vAlign w:val="center"/>
          </w:tcPr>
          <w:p>
            <w:pPr>
              <w:spacing w:before="20" w:after="20" w:line="260" w:lineRule="auto"/>
              <w:ind w:firstLine="0"/>
              <w:jc w:val="center"/>
            </w:pPr>
            <w:r>
              <w:rPr>
                <w:sz w:val="20"/>
                <w:szCs w:val="20"/>
              </w:rPr>
              <w:t xml:space="preserve">18,07%</w:t>
            </w:r>
          </w:p>
        </w:tc>
        <w:tc>
          <w:tcPr>
            <w:tcW w:type="dxa" w:w="1201"/>
            <w:vAlign w:val="center"/>
          </w:tcPr>
          <w:p>
            <w:pPr>
              <w:spacing w:before="20" w:after="20" w:line="260" w:lineRule="auto"/>
              <w:ind w:firstLine="0"/>
              <w:jc w:val="center"/>
            </w:pPr>
            <w:r>
              <w:rPr>
                <w:sz w:val="20"/>
                <w:szCs w:val="20"/>
              </w:rPr>
              <w:t xml:space="preserve">62,50%</w:t>
            </w:r>
          </w:p>
        </w:tc>
        <w:tc>
          <w:tcPr>
            <w:tcW w:type="dxa" w:w="1531"/>
            <w:vAlign w:val="center"/>
          </w:tcPr>
          <w:p>
            <w:pPr>
              <w:spacing w:before="20" w:after="20" w:line="260" w:lineRule="auto"/>
              <w:ind w:firstLine="0"/>
              <w:jc w:val="center"/>
            </w:pPr>
            <w:r>
              <w:rPr>
                <w:sz w:val="20"/>
                <w:szCs w:val="20"/>
              </w:rPr>
              <w:t xml:space="preserve">8.301</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DAIRY</w:t>
            </w:r>
          </w:p>
        </w:tc>
        <w:tc>
          <w:tcPr>
            <w:tcW w:type="dxa" w:w="1201"/>
            <w:vAlign w:val="center"/>
          </w:tcPr>
          <w:p>
            <w:pPr>
              <w:spacing w:before="20" w:after="20" w:line="260" w:lineRule="auto"/>
              <w:ind w:firstLine="0"/>
              <w:jc w:val="center"/>
            </w:pPr>
            <w:r>
              <w:rPr>
                <w:sz w:val="20"/>
                <w:szCs w:val="20"/>
              </w:rPr>
              <w:t xml:space="preserve">8.391</w:t>
            </w:r>
          </w:p>
        </w:tc>
        <w:tc>
          <w:tcPr>
            <w:tcW w:type="dxa" w:w="1201"/>
            <w:vAlign w:val="center"/>
          </w:tcPr>
          <w:p>
            <w:pPr>
              <w:spacing w:before="20" w:after="20" w:line="260" w:lineRule="auto"/>
              <w:ind w:firstLine="0"/>
              <w:jc w:val="center"/>
            </w:pPr>
            <w:r>
              <w:rPr>
                <w:sz w:val="20"/>
                <w:szCs w:val="20"/>
              </w:rPr>
              <w:t xml:space="preserve">9.558</w:t>
            </w:r>
          </w:p>
        </w:tc>
        <w:tc>
          <w:tcPr>
            <w:tcW w:type="dxa" w:w="1201"/>
            <w:vAlign w:val="center"/>
          </w:tcPr>
          <w:p>
            <w:pPr>
              <w:spacing w:before="20" w:after="20" w:line="260" w:lineRule="auto"/>
              <w:ind w:firstLine="0"/>
              <w:jc w:val="center"/>
            </w:pPr>
            <w:r>
              <w:rPr>
                <w:sz w:val="20"/>
                <w:szCs w:val="20"/>
              </w:rPr>
              <w:t xml:space="preserve">16,33%</w:t>
            </w:r>
          </w:p>
        </w:tc>
        <w:tc>
          <w:tcPr>
            <w:tcW w:type="dxa" w:w="1201"/>
            <w:vAlign w:val="center"/>
          </w:tcPr>
          <w:p>
            <w:pPr>
              <w:spacing w:before="20" w:after="20" w:line="260" w:lineRule="auto"/>
              <w:ind w:firstLine="0"/>
              <w:jc w:val="center"/>
            </w:pPr>
            <w:r>
              <w:rPr>
                <w:sz w:val="20"/>
                <w:szCs w:val="20"/>
              </w:rPr>
              <w:t xml:space="preserve">81,25%</w:t>
            </w:r>
          </w:p>
        </w:tc>
        <w:tc>
          <w:tcPr>
            <w:tcW w:type="dxa" w:w="1531"/>
            <w:vAlign w:val="center"/>
          </w:tcPr>
          <w:p>
            <w:pPr>
              <w:spacing w:before="20" w:after="20" w:line="260" w:lineRule="auto"/>
              <w:ind w:firstLine="0"/>
              <w:jc w:val="center"/>
            </w:pPr>
            <w:r>
              <w:rPr>
                <w:sz w:val="20"/>
                <w:szCs w:val="20"/>
              </w:rPr>
              <w:t xml:space="preserve">4.344</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BREAD/BAKERY</w:t>
            </w:r>
          </w:p>
        </w:tc>
        <w:tc>
          <w:tcPr>
            <w:tcW w:type="dxa" w:w="1201"/>
            <w:vAlign w:val="center"/>
          </w:tcPr>
          <w:p>
            <w:pPr>
              <w:spacing w:before="20" w:after="20" w:line="260" w:lineRule="auto"/>
              <w:ind w:firstLine="0"/>
              <w:jc w:val="center"/>
            </w:pPr>
            <w:r>
              <w:rPr>
                <w:sz w:val="20"/>
                <w:szCs w:val="20"/>
              </w:rPr>
              <w:t xml:space="preserve">7.726</w:t>
            </w:r>
          </w:p>
        </w:tc>
        <w:tc>
          <w:tcPr>
            <w:tcW w:type="dxa" w:w="1201"/>
            <w:vAlign w:val="center"/>
          </w:tcPr>
          <w:p>
            <w:pPr>
              <w:spacing w:before="20" w:after="20" w:line="260" w:lineRule="auto"/>
              <w:ind w:firstLine="0"/>
              <w:jc w:val="center"/>
            </w:pPr>
            <w:r>
              <w:rPr>
                <w:sz w:val="20"/>
                <w:szCs w:val="20"/>
              </w:rPr>
              <w:t xml:space="preserve">8.327</w:t>
            </w:r>
          </w:p>
        </w:tc>
        <w:tc>
          <w:tcPr>
            <w:tcW w:type="dxa" w:w="1201"/>
            <w:vAlign w:val="center"/>
          </w:tcPr>
          <w:p>
            <w:pPr>
              <w:spacing w:before="20" w:after="20" w:line="260" w:lineRule="auto"/>
              <w:ind w:firstLine="0"/>
              <w:jc w:val="center"/>
            </w:pPr>
            <w:r>
              <w:rPr>
                <w:sz w:val="20"/>
                <w:szCs w:val="20"/>
              </w:rPr>
              <w:t xml:space="preserve">10,08%</w:t>
            </w:r>
          </w:p>
        </w:tc>
        <w:tc>
          <w:tcPr>
            <w:tcW w:type="dxa" w:w="1201"/>
            <w:vAlign w:val="center"/>
          </w:tcPr>
          <w:p>
            <w:pPr>
              <w:spacing w:before="20" w:after="20" w:line="260" w:lineRule="auto"/>
              <w:ind w:firstLine="0"/>
              <w:jc w:val="center"/>
            </w:pPr>
            <w:r>
              <w:rPr>
                <w:sz w:val="20"/>
                <w:szCs w:val="20"/>
              </w:rPr>
              <w:t xml:space="preserve">100,00%</w:t>
            </w:r>
          </w:p>
        </w:tc>
        <w:tc>
          <w:tcPr>
            <w:tcW w:type="dxa" w:w="1531"/>
            <w:vAlign w:val="center"/>
          </w:tcPr>
          <w:p>
            <w:pPr>
              <w:spacing w:before="20" w:after="20" w:line="260" w:lineRule="auto"/>
              <w:ind w:firstLine="0"/>
              <w:jc w:val="center"/>
            </w:pPr>
            <w:r>
              <w:rPr>
                <w:sz w:val="20"/>
                <w:szCs w:val="20"/>
              </w:rPr>
              <w:t xml:space="preserve">4.017</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MEATS</w:t>
            </w:r>
          </w:p>
        </w:tc>
        <w:tc>
          <w:tcPr>
            <w:tcW w:type="dxa" w:w="1201"/>
            <w:vAlign w:val="center"/>
          </w:tcPr>
          <w:p>
            <w:pPr>
              <w:spacing w:before="20" w:after="20" w:line="260" w:lineRule="auto"/>
              <w:ind w:firstLine="0"/>
              <w:jc w:val="center"/>
            </w:pPr>
            <w:r>
              <w:rPr>
                <w:sz w:val="20"/>
                <w:szCs w:val="20"/>
              </w:rPr>
              <w:t xml:space="preserve">4.806</w:t>
            </w:r>
          </w:p>
        </w:tc>
        <w:tc>
          <w:tcPr>
            <w:tcW w:type="dxa" w:w="1201"/>
            <w:vAlign w:val="center"/>
          </w:tcPr>
          <w:p>
            <w:pPr>
              <w:spacing w:before="20" w:after="20" w:line="260" w:lineRule="auto"/>
              <w:ind w:firstLine="0"/>
              <w:jc w:val="center"/>
            </w:pPr>
            <w:r>
              <w:rPr>
                <w:sz w:val="20"/>
                <w:szCs w:val="20"/>
              </w:rPr>
              <w:t xml:space="preserve">4.829</w:t>
            </w:r>
          </w:p>
        </w:tc>
        <w:tc>
          <w:tcPr>
            <w:tcW w:type="dxa" w:w="1201"/>
            <w:vAlign w:val="center"/>
          </w:tcPr>
          <w:p>
            <w:pPr>
              <w:spacing w:before="20" w:after="20" w:line="260" w:lineRule="auto"/>
              <w:ind w:firstLine="0"/>
              <w:jc w:val="center"/>
            </w:pPr>
            <w:r>
              <w:rPr>
                <w:sz w:val="20"/>
                <w:szCs w:val="20"/>
              </w:rPr>
              <w:t xml:space="preserve">9,77%</w:t>
            </w:r>
          </w:p>
        </w:tc>
        <w:tc>
          <w:tcPr>
            <w:tcW w:type="dxa" w:w="1201"/>
            <w:vAlign w:val="center"/>
          </w:tcPr>
          <w:p>
            <w:pPr>
              <w:spacing w:before="20" w:after="20" w:line="260" w:lineRule="auto"/>
              <w:ind w:firstLine="0"/>
              <w:jc w:val="center"/>
            </w:pPr>
            <w:r>
              <w:rPr>
                <w:sz w:val="20"/>
                <w:szCs w:val="20"/>
              </w:rPr>
              <w:t xml:space="preserve">93,75%</w:t>
            </w:r>
          </w:p>
        </w:tc>
        <w:tc>
          <w:tcPr>
            <w:tcW w:type="dxa" w:w="1531"/>
            <w:vAlign w:val="center"/>
          </w:tcPr>
          <w:p>
            <w:pPr>
              <w:spacing w:before="20" w:after="20" w:line="260" w:lineRule="auto"/>
              <w:ind w:firstLine="0"/>
              <w:jc w:val="center"/>
            </w:pPr>
            <w:r>
              <w:rPr>
                <w:sz w:val="20"/>
                <w:szCs w:val="20"/>
              </w:rPr>
              <w:t xml:space="preserve">2.273</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PERSONAL CARE</w:t>
            </w:r>
          </w:p>
        </w:tc>
        <w:tc>
          <w:tcPr>
            <w:tcW w:type="dxa" w:w="1201"/>
            <w:vAlign w:val="center"/>
          </w:tcPr>
          <w:p>
            <w:pPr>
              <w:spacing w:before="20" w:after="20" w:line="260" w:lineRule="auto"/>
              <w:ind w:firstLine="0"/>
              <w:jc w:val="center"/>
            </w:pPr>
            <w:r>
              <w:rPr>
                <w:sz w:val="20"/>
                <w:szCs w:val="20"/>
              </w:rPr>
              <w:t xml:space="preserve">3.841</w:t>
            </w:r>
          </w:p>
        </w:tc>
        <w:tc>
          <w:tcPr>
            <w:tcW w:type="dxa" w:w="1201"/>
            <w:vAlign w:val="center"/>
          </w:tcPr>
          <w:p>
            <w:pPr>
              <w:spacing w:before="20" w:after="20" w:line="260" w:lineRule="auto"/>
              <w:ind w:firstLine="0"/>
              <w:jc w:val="center"/>
            </w:pPr>
            <w:r>
              <w:rPr>
                <w:sz w:val="20"/>
                <w:szCs w:val="20"/>
              </w:rPr>
              <w:t xml:space="preserve">4.143</w:t>
            </w:r>
          </w:p>
        </w:tc>
        <w:tc>
          <w:tcPr>
            <w:tcW w:type="dxa" w:w="1201"/>
            <w:vAlign w:val="center"/>
          </w:tcPr>
          <w:p>
            <w:pPr>
              <w:spacing w:before="20" w:after="20" w:line="260" w:lineRule="auto"/>
              <w:ind w:firstLine="0"/>
              <w:jc w:val="center"/>
            </w:pPr>
            <w:r>
              <w:rPr>
                <w:sz w:val="20"/>
                <w:szCs w:val="20"/>
              </w:rPr>
              <w:t xml:space="preserve">13,61%</w:t>
            </w:r>
          </w:p>
        </w:tc>
        <w:tc>
          <w:tcPr>
            <w:tcW w:type="dxa" w:w="1201"/>
            <w:vAlign w:val="center"/>
          </w:tcPr>
          <w:p>
            <w:pPr>
              <w:spacing w:before="20" w:after="20" w:line="260" w:lineRule="auto"/>
              <w:ind w:firstLine="0"/>
              <w:jc w:val="center"/>
            </w:pPr>
            <w:r>
              <w:rPr>
                <w:sz w:val="20"/>
                <w:szCs w:val="20"/>
              </w:rPr>
              <w:t xml:space="preserve">87,50%</w:t>
            </w:r>
          </w:p>
        </w:tc>
        <w:tc>
          <w:tcPr>
            <w:tcW w:type="dxa" w:w="1531"/>
            <w:vAlign w:val="center"/>
          </w:tcPr>
          <w:p>
            <w:pPr>
              <w:spacing w:before="20" w:after="20" w:line="260" w:lineRule="auto"/>
              <w:ind w:firstLine="0"/>
              <w:jc w:val="center"/>
            </w:pPr>
            <w:r>
              <w:rPr>
                <w:sz w:val="20"/>
                <w:szCs w:val="20"/>
              </w:rPr>
              <w:t xml:space="preserve">1.919</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DELI</w:t>
            </w:r>
          </w:p>
        </w:tc>
        <w:tc>
          <w:tcPr>
            <w:tcW w:type="dxa" w:w="1201"/>
            <w:vAlign w:val="center"/>
          </w:tcPr>
          <w:p>
            <w:pPr>
              <w:spacing w:before="20" w:after="20" w:line="260" w:lineRule="auto"/>
              <w:ind w:firstLine="0"/>
              <w:jc w:val="center"/>
            </w:pPr>
            <w:r>
              <w:rPr>
                <w:sz w:val="20"/>
                <w:szCs w:val="20"/>
              </w:rPr>
              <w:t xml:space="preserve">3.516</w:t>
            </w:r>
          </w:p>
        </w:tc>
        <w:tc>
          <w:tcPr>
            <w:tcW w:type="dxa" w:w="1201"/>
            <w:vAlign w:val="center"/>
          </w:tcPr>
          <w:p>
            <w:pPr>
              <w:spacing w:before="20" w:after="20" w:line="260" w:lineRule="auto"/>
              <w:ind w:firstLine="0"/>
              <w:jc w:val="center"/>
            </w:pPr>
            <w:r>
              <w:rPr>
                <w:sz w:val="20"/>
                <w:szCs w:val="20"/>
              </w:rPr>
              <w:t xml:space="preserve">4.275</w:t>
            </w:r>
          </w:p>
        </w:tc>
        <w:tc>
          <w:tcPr>
            <w:tcW w:type="dxa" w:w="1201"/>
            <w:vAlign w:val="center"/>
          </w:tcPr>
          <w:p>
            <w:pPr>
              <w:spacing w:before="20" w:after="20" w:line="260" w:lineRule="auto"/>
              <w:ind w:firstLine="0"/>
              <w:jc w:val="center"/>
            </w:pPr>
            <w:r>
              <w:rPr>
                <w:sz w:val="20"/>
                <w:szCs w:val="20"/>
              </w:rPr>
              <w:t xml:space="preserve">24,71%</w:t>
            </w:r>
          </w:p>
        </w:tc>
        <w:tc>
          <w:tcPr>
            <w:tcW w:type="dxa" w:w="1201"/>
            <w:vAlign w:val="center"/>
          </w:tcPr>
          <w:p>
            <w:pPr>
              <w:spacing w:before="20" w:after="20" w:line="260" w:lineRule="auto"/>
              <w:ind w:firstLine="0"/>
              <w:jc w:val="center"/>
            </w:pPr>
            <w:r>
              <w:rPr>
                <w:sz w:val="20"/>
                <w:szCs w:val="20"/>
              </w:rPr>
              <w:t xml:space="preserve">50,00%</w:t>
            </w:r>
          </w:p>
        </w:tc>
        <w:tc>
          <w:tcPr>
            <w:tcW w:type="dxa" w:w="1531"/>
            <w:vAlign w:val="center"/>
          </w:tcPr>
          <w:p>
            <w:pPr>
              <w:spacing w:before="20" w:after="20" w:line="260" w:lineRule="auto"/>
              <w:ind w:firstLine="0"/>
              <w:jc w:val="center"/>
            </w:pPr>
            <w:r>
              <w:rPr>
                <w:sz w:val="20"/>
                <w:szCs w:val="20"/>
              </w:rPr>
              <w:t xml:space="preserve">1.946</w:t>
            </w:r>
          </w:p>
        </w:tc>
        <w:tc>
          <w:tcPr>
            <w:tcW w:type="dxa" w:w="1205"/>
            <w:vAlign w:val="center"/>
          </w:tcPr>
          <w:p>
            <w:pPr>
              <w:spacing w:before="20" w:after="20" w:line="260" w:lineRule="auto"/>
              <w:ind w:firstLine="0"/>
              <w:jc w:val="left"/>
            </w:pPr>
            <w:r>
              <w:rPr>
                <w:sz w:val="20"/>
                <w:szCs w:val="20"/>
              </w:rPr>
              <w:t xml:space="preserve">MEDIUM</w:t>
            </w:r>
          </w:p>
        </w:tc>
      </w:tr>
      <w:tr>
        <w:trPr>
          <w:cantSplit/>
        </w:trPr>
        <w:tc>
          <w:tcPr>
            <w:tcW w:type="dxa" w:w="1531"/>
            <w:vAlign w:val="center"/>
          </w:tcPr>
          <w:p>
            <w:pPr>
              <w:spacing w:before="20" w:after="20" w:line="260" w:lineRule="auto"/>
              <w:ind w:firstLine="0"/>
              <w:jc w:val="left"/>
            </w:pPr>
            <w:r>
              <w:rPr>
                <w:sz w:val="20"/>
                <w:szCs w:val="20"/>
              </w:rPr>
              <w:t xml:space="preserve">HOME CARE</w:t>
            </w:r>
          </w:p>
        </w:tc>
        <w:tc>
          <w:tcPr>
            <w:tcW w:type="dxa" w:w="1201"/>
            <w:vAlign w:val="center"/>
          </w:tcPr>
          <w:p>
            <w:pPr>
              <w:spacing w:before="20" w:after="20" w:line="260" w:lineRule="auto"/>
              <w:ind w:firstLine="0"/>
              <w:jc w:val="center"/>
            </w:pPr>
            <w:r>
              <w:rPr>
                <w:sz w:val="20"/>
                <w:szCs w:val="20"/>
              </w:rPr>
              <w:t xml:space="preserve">3.267</w:t>
            </w:r>
          </w:p>
        </w:tc>
        <w:tc>
          <w:tcPr>
            <w:tcW w:type="dxa" w:w="1201"/>
            <w:vAlign w:val="center"/>
          </w:tcPr>
          <w:p>
            <w:pPr>
              <w:spacing w:before="20" w:after="20" w:line="260" w:lineRule="auto"/>
              <w:ind w:firstLine="0"/>
              <w:jc w:val="center"/>
            </w:pPr>
            <w:r>
              <w:rPr>
                <w:sz w:val="20"/>
                <w:szCs w:val="20"/>
              </w:rPr>
              <w:t xml:space="preserve">3.738</w:t>
            </w:r>
          </w:p>
        </w:tc>
        <w:tc>
          <w:tcPr>
            <w:tcW w:type="dxa" w:w="1201"/>
            <w:vAlign w:val="center"/>
          </w:tcPr>
          <w:p>
            <w:pPr>
              <w:spacing w:before="20" w:after="20" w:line="260" w:lineRule="auto"/>
              <w:ind w:firstLine="0"/>
              <w:jc w:val="center"/>
            </w:pPr>
            <w:r>
              <w:rPr>
                <w:sz w:val="20"/>
                <w:szCs w:val="20"/>
              </w:rPr>
              <w:t xml:space="preserve">26,66%</w:t>
            </w:r>
          </w:p>
        </w:tc>
        <w:tc>
          <w:tcPr>
            <w:tcW w:type="dxa" w:w="1201"/>
            <w:vAlign w:val="center"/>
          </w:tcPr>
          <w:p>
            <w:pPr>
              <w:spacing w:before="20" w:after="20" w:line="260" w:lineRule="auto"/>
              <w:ind w:firstLine="0"/>
              <w:jc w:val="center"/>
            </w:pPr>
            <w:r>
              <w:rPr>
                <w:sz w:val="20"/>
                <w:szCs w:val="20"/>
              </w:rPr>
              <w:t xml:space="preserve">56,25%</w:t>
            </w:r>
          </w:p>
        </w:tc>
        <w:tc>
          <w:tcPr>
            <w:tcW w:type="dxa" w:w="1531"/>
            <w:vAlign w:val="center"/>
          </w:tcPr>
          <w:p>
            <w:pPr>
              <w:spacing w:before="20" w:after="20" w:line="260" w:lineRule="auto"/>
              <w:ind w:firstLine="0"/>
              <w:jc w:val="center"/>
            </w:pPr>
            <w:r>
              <w:rPr>
                <w:sz w:val="20"/>
                <w:szCs w:val="20"/>
              </w:rPr>
              <w:t xml:space="preserve">1.810</w:t>
            </w:r>
          </w:p>
        </w:tc>
        <w:tc>
          <w:tcPr>
            <w:tcW w:type="dxa" w:w="1205"/>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3"/>
        <w:keepNext/>
      </w:pPr>
      <w:r>
        <w:t xml:space="preserve">A.54. Cửa hàng 54 (El Carmen, Manabi; loại C, cụm 3)</w:t>
      </w:r>
    </w:p>
    <w:p>
      <w:pPr>
        <w:keepLines w:val="0"/>
        <w:spacing w:after="120"/>
        <w:ind w:firstLine="567"/>
      </w:pPr>
      <w:r>
        <w:t xml:space="preserve">Trong 16 ngày của tập kiểm tra cuối, cửa hàng 54 có tổng doanh số thực tế 176.572 (hạng 36/54 về quy mô) và tổng dự báo 164.001, tức dự báo thấp hơn thực tế 7,12%. WAPE của cửa hàng là 20,96% (hạng 47/54 từ thấp đến cao), MAE 70,082, RMSE 297,211 và bias 23,809. Độ bao phủ thực nghiệm của khoảng P10–P90 đạt 76,52% (hạng 22/54), so với mức danh nghĩa 80%. Nhóm có doanh số thực tế lớn nhất là BEVERAGES (62.539; WAPE 31,15%; bao phủ 37,50%). Trong các nhóm có quy mô từ trung vị của cửa hàng trở lên, nhóm có WAPE thấp nhất là PRODUCE (9,46%). Có 5 nhóm sản phẩm với tổng doanh số thực tế bằng 0 trong 16 ngày; WAPE của các chuỗi này không xác định.</w:t>
      </w:r>
    </w:p>
    <w:p>
      <w:pPr>
        <w:keepLines w:val="0"/>
        <w:spacing w:after="120"/>
        <w:ind w:firstLine="567"/>
      </w:pPr>
      <w:r>
        <w:t xml:space="preserve">Ở lớp hỗ trợ quyết định tồn kho, tổng P10, P50 và P90 cộng theo 33 nhóm lần lượt là 137.637, 163.687 và 206.406; tổng lượng bổ sung gợi ý theo giả định là 75.456. Cửa hàng có 23 nhóm mang nhãn HIGH, 9 nhóm MEDIUM và 1 nhóm LOW. Bảng A.56 liệt kê mười nhóm có doanh số thực tế lớn nhất của cửa hàng.</w:t>
      </w:r>
    </w:p>
    <w:p>
      <w:pPr>
        <w:keepNext/>
        <w:spacing w:before="120" w:after="60"/>
        <w:ind w:firstLine="0"/>
        <w:jc w:val="center"/>
      </w:pPr>
      <w:r>
        <w:t xml:space="preserve">Bảng A.56. Mười nhóm sản phẩm có doanh số thực tế lớn nhất của cửa hàng 54 trên tập kiểm tra cuối</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79"/>
        <w:gridCol w:w="1193"/>
        <w:gridCol w:w="1193"/>
        <w:gridCol w:w="1193"/>
        <w:gridCol w:w="1193"/>
        <w:gridCol w:w="1521"/>
        <w:gridCol w:w="1199"/>
      </w:tblGrid>
      <w:tr>
        <w:trPr>
          <w:tblHeader/>
          <w:cantSplit/>
        </w:trPr>
        <w:tc>
          <w:tcPr>
            <w:tcW w:type="dxa" w:w="1579"/>
            <w:shd w:val="clear" w:color="auto" w:fill="D9E2F3"/>
            <w:vAlign w:val="center"/>
          </w:tcPr>
          <w:p>
            <w:pPr>
              <w:spacing w:before="20" w:after="20" w:line="260" w:lineRule="auto"/>
              <w:ind w:firstLine="0"/>
              <w:jc w:val="center"/>
            </w:pPr>
            <w:r>
              <w:rPr>
                <w:b/>
                <w:sz w:val="20"/>
                <w:szCs w:val="20"/>
              </w:rPr>
              <w:t xml:space="preserve">Nhóm sản phẩm</w:t>
            </w:r>
          </w:p>
        </w:tc>
        <w:tc>
          <w:tcPr>
            <w:tcW w:type="dxa" w:w="1193"/>
            <w:shd w:val="clear" w:color="auto" w:fill="D9E2F3"/>
            <w:vAlign w:val="center"/>
          </w:tcPr>
          <w:p>
            <w:pPr>
              <w:spacing w:before="20" w:after="20" w:line="260" w:lineRule="auto"/>
              <w:ind w:firstLine="0"/>
              <w:jc w:val="center"/>
            </w:pPr>
            <w:r>
              <w:rPr>
                <w:b/>
                <w:sz w:val="20"/>
                <w:szCs w:val="20"/>
              </w:rPr>
              <w:t xml:space="preserve">Thực tế</w:t>
            </w:r>
          </w:p>
        </w:tc>
        <w:tc>
          <w:tcPr>
            <w:tcW w:type="dxa" w:w="1193"/>
            <w:shd w:val="clear" w:color="auto" w:fill="D9E2F3"/>
            <w:vAlign w:val="center"/>
          </w:tcPr>
          <w:p>
            <w:pPr>
              <w:spacing w:before="20" w:after="20" w:line="260" w:lineRule="auto"/>
              <w:ind w:firstLine="0"/>
              <w:jc w:val="center"/>
            </w:pPr>
            <w:r>
              <w:rPr>
                <w:b/>
                <w:sz w:val="20"/>
                <w:szCs w:val="20"/>
              </w:rPr>
              <w:t xml:space="preserve">Dự báo</w:t>
            </w:r>
          </w:p>
        </w:tc>
        <w:tc>
          <w:tcPr>
            <w:tcW w:type="dxa" w:w="1193"/>
            <w:shd w:val="clear" w:color="auto" w:fill="D9E2F3"/>
            <w:vAlign w:val="center"/>
          </w:tcPr>
          <w:p>
            <w:pPr>
              <w:spacing w:before="20" w:after="20" w:line="260" w:lineRule="auto"/>
              <w:ind w:firstLine="0"/>
              <w:jc w:val="center"/>
            </w:pPr>
            <w:r>
              <w:rPr>
                <w:b/>
                <w:sz w:val="20"/>
                <w:szCs w:val="20"/>
              </w:rPr>
              <w:t xml:space="preserve">WAPE</w:t>
            </w:r>
          </w:p>
        </w:tc>
        <w:tc>
          <w:tcPr>
            <w:tcW w:type="dxa" w:w="1193"/>
            <w:shd w:val="clear" w:color="auto" w:fill="D9E2F3"/>
            <w:vAlign w:val="center"/>
          </w:tcPr>
          <w:p>
            <w:pPr>
              <w:spacing w:before="20" w:after="20" w:line="260" w:lineRule="auto"/>
              <w:ind w:firstLine="0"/>
              <w:jc w:val="center"/>
            </w:pPr>
            <w:r>
              <w:rPr>
                <w:b/>
                <w:sz w:val="20"/>
                <w:szCs w:val="20"/>
              </w:rPr>
              <w:t xml:space="preserve">Bao phủ</w:t>
            </w:r>
          </w:p>
        </w:tc>
        <w:tc>
          <w:tcPr>
            <w:tcW w:type="dxa" w:w="1521"/>
            <w:shd w:val="clear" w:color="auto" w:fill="D9E2F3"/>
            <w:vAlign w:val="center"/>
          </w:tcPr>
          <w:p>
            <w:pPr>
              <w:spacing w:before="20" w:after="20" w:line="260" w:lineRule="auto"/>
              <w:ind w:firstLine="0"/>
              <w:jc w:val="center"/>
            </w:pPr>
            <w:r>
              <w:rPr>
                <w:b/>
                <w:sz w:val="20"/>
                <w:szCs w:val="20"/>
              </w:rPr>
              <w:t xml:space="preserve">Bổ sung gợi ý</w:t>
            </w:r>
          </w:p>
        </w:tc>
        <w:tc>
          <w:tcPr>
            <w:tcW w:type="dxa" w:w="1199"/>
            <w:shd w:val="clear" w:color="auto" w:fill="D9E2F3"/>
            <w:vAlign w:val="center"/>
          </w:tcPr>
          <w:p>
            <w:pPr>
              <w:spacing w:before="20" w:after="20" w:line="260" w:lineRule="auto"/>
              <w:ind w:firstLine="0"/>
              <w:jc w:val="center"/>
            </w:pPr>
            <w:r>
              <w:rPr>
                <w:b/>
                <w:sz w:val="20"/>
                <w:szCs w:val="20"/>
              </w:rPr>
              <w:t xml:space="preserve">Nhãn</w:t>
            </w:r>
          </w:p>
        </w:tc>
      </w:tr>
      <w:tr>
        <w:trPr>
          <w:cantSplit/>
        </w:trPr>
        <w:tc>
          <w:tcPr>
            <w:tcW w:type="dxa" w:w="1579"/>
            <w:vAlign w:val="center"/>
          </w:tcPr>
          <w:p>
            <w:pPr>
              <w:spacing w:before="20" w:after="20" w:line="260" w:lineRule="auto"/>
              <w:ind w:firstLine="0"/>
              <w:jc w:val="left"/>
            </w:pPr>
            <w:r>
              <w:rPr>
                <w:sz w:val="20"/>
                <w:szCs w:val="20"/>
              </w:rPr>
              <w:t xml:space="preserve">BEVERAGES</w:t>
            </w:r>
          </w:p>
        </w:tc>
        <w:tc>
          <w:tcPr>
            <w:tcW w:type="dxa" w:w="1193"/>
            <w:vAlign w:val="center"/>
          </w:tcPr>
          <w:p>
            <w:pPr>
              <w:spacing w:before="20" w:after="20" w:line="260" w:lineRule="auto"/>
              <w:ind w:firstLine="0"/>
              <w:jc w:val="center"/>
            </w:pPr>
            <w:r>
              <w:rPr>
                <w:sz w:val="20"/>
                <w:szCs w:val="20"/>
              </w:rPr>
              <w:t xml:space="preserve">62.539</w:t>
            </w:r>
          </w:p>
        </w:tc>
        <w:tc>
          <w:tcPr>
            <w:tcW w:type="dxa" w:w="1193"/>
            <w:vAlign w:val="center"/>
          </w:tcPr>
          <w:p>
            <w:pPr>
              <w:spacing w:before="20" w:after="20" w:line="260" w:lineRule="auto"/>
              <w:ind w:firstLine="0"/>
              <w:jc w:val="center"/>
            </w:pPr>
            <w:r>
              <w:rPr>
                <w:sz w:val="20"/>
                <w:szCs w:val="20"/>
              </w:rPr>
              <w:t xml:space="preserve">54.800</w:t>
            </w:r>
          </w:p>
        </w:tc>
        <w:tc>
          <w:tcPr>
            <w:tcW w:type="dxa" w:w="1193"/>
            <w:vAlign w:val="center"/>
          </w:tcPr>
          <w:p>
            <w:pPr>
              <w:spacing w:before="20" w:after="20" w:line="260" w:lineRule="auto"/>
              <w:ind w:firstLine="0"/>
              <w:jc w:val="center"/>
            </w:pPr>
            <w:r>
              <w:rPr>
                <w:sz w:val="20"/>
                <w:szCs w:val="20"/>
              </w:rPr>
              <w:t xml:space="preserve">31,15%</w:t>
            </w:r>
          </w:p>
        </w:tc>
        <w:tc>
          <w:tcPr>
            <w:tcW w:type="dxa" w:w="1193"/>
            <w:vAlign w:val="center"/>
          </w:tcPr>
          <w:p>
            <w:pPr>
              <w:spacing w:before="20" w:after="20" w:line="260" w:lineRule="auto"/>
              <w:ind w:firstLine="0"/>
              <w:jc w:val="center"/>
            </w:pPr>
            <w:r>
              <w:rPr>
                <w:sz w:val="20"/>
                <w:szCs w:val="20"/>
              </w:rPr>
              <w:t xml:space="preserve">37,50%</w:t>
            </w:r>
          </w:p>
        </w:tc>
        <w:tc>
          <w:tcPr>
            <w:tcW w:type="dxa" w:w="1521"/>
            <w:vAlign w:val="center"/>
          </w:tcPr>
          <w:p>
            <w:pPr>
              <w:spacing w:before="20" w:after="20" w:line="260" w:lineRule="auto"/>
              <w:ind w:firstLine="0"/>
              <w:jc w:val="center"/>
            </w:pPr>
            <w:r>
              <w:rPr>
                <w:sz w:val="20"/>
                <w:szCs w:val="20"/>
              </w:rPr>
              <w:t xml:space="preserve">23.124</w:t>
            </w:r>
          </w:p>
        </w:tc>
        <w:tc>
          <w:tcPr>
            <w:tcW w:type="dxa" w:w="1199"/>
            <w:vAlign w:val="center"/>
          </w:tcPr>
          <w:p>
            <w:pPr>
              <w:spacing w:before="20" w:after="20" w:line="260" w:lineRule="auto"/>
              <w:ind w:firstLine="0"/>
              <w:jc w:val="left"/>
            </w:pPr>
            <w:r>
              <w:rPr>
                <w:sz w:val="20"/>
                <w:szCs w:val="20"/>
              </w:rPr>
              <w:t xml:space="preserve">LOW</w:t>
            </w:r>
          </w:p>
        </w:tc>
      </w:tr>
      <w:tr>
        <w:trPr>
          <w:cantSplit/>
        </w:trPr>
        <w:tc>
          <w:tcPr>
            <w:tcW w:type="dxa" w:w="1579"/>
            <w:vAlign w:val="center"/>
          </w:tcPr>
          <w:p>
            <w:pPr>
              <w:spacing w:before="20" w:after="20" w:line="260" w:lineRule="auto"/>
              <w:ind w:firstLine="0"/>
              <w:jc w:val="left"/>
            </w:pPr>
            <w:r>
              <w:rPr>
                <w:sz w:val="20"/>
                <w:szCs w:val="20"/>
              </w:rPr>
              <w:t xml:space="preserve">GROCERY I</w:t>
            </w:r>
          </w:p>
        </w:tc>
        <w:tc>
          <w:tcPr>
            <w:tcW w:type="dxa" w:w="1193"/>
            <w:vAlign w:val="center"/>
          </w:tcPr>
          <w:p>
            <w:pPr>
              <w:spacing w:before="20" w:after="20" w:line="260" w:lineRule="auto"/>
              <w:ind w:firstLine="0"/>
              <w:jc w:val="center"/>
            </w:pPr>
            <w:r>
              <w:rPr>
                <w:sz w:val="20"/>
                <w:szCs w:val="20"/>
              </w:rPr>
              <w:t xml:space="preserve">58.367</w:t>
            </w:r>
          </w:p>
        </w:tc>
        <w:tc>
          <w:tcPr>
            <w:tcW w:type="dxa" w:w="1193"/>
            <w:vAlign w:val="center"/>
          </w:tcPr>
          <w:p>
            <w:pPr>
              <w:spacing w:before="20" w:after="20" w:line="260" w:lineRule="auto"/>
              <w:ind w:firstLine="0"/>
              <w:jc w:val="center"/>
            </w:pPr>
            <w:r>
              <w:rPr>
                <w:sz w:val="20"/>
                <w:szCs w:val="20"/>
              </w:rPr>
              <w:t xml:space="preserve">52.830</w:t>
            </w:r>
          </w:p>
        </w:tc>
        <w:tc>
          <w:tcPr>
            <w:tcW w:type="dxa" w:w="1193"/>
            <w:vAlign w:val="center"/>
          </w:tcPr>
          <w:p>
            <w:pPr>
              <w:spacing w:before="20" w:after="20" w:line="260" w:lineRule="auto"/>
              <w:ind w:firstLine="0"/>
              <w:jc w:val="center"/>
            </w:pPr>
            <w:r>
              <w:rPr>
                <w:sz w:val="20"/>
                <w:szCs w:val="20"/>
              </w:rPr>
              <w:t xml:space="preserve">12,55%</w:t>
            </w:r>
          </w:p>
        </w:tc>
        <w:tc>
          <w:tcPr>
            <w:tcW w:type="dxa" w:w="1193"/>
            <w:vAlign w:val="center"/>
          </w:tcPr>
          <w:p>
            <w:pPr>
              <w:spacing w:before="20" w:after="20" w:line="260" w:lineRule="auto"/>
              <w:ind w:firstLine="0"/>
              <w:jc w:val="center"/>
            </w:pPr>
            <w:r>
              <w:rPr>
                <w:sz w:val="20"/>
                <w:szCs w:val="20"/>
              </w:rPr>
              <w:t xml:space="preserve">62,50%</w:t>
            </w:r>
          </w:p>
        </w:tc>
        <w:tc>
          <w:tcPr>
            <w:tcW w:type="dxa" w:w="1521"/>
            <w:vAlign w:val="center"/>
          </w:tcPr>
          <w:p>
            <w:pPr>
              <w:spacing w:before="20" w:after="20" w:line="260" w:lineRule="auto"/>
              <w:ind w:firstLine="0"/>
              <w:jc w:val="center"/>
            </w:pPr>
            <w:r>
              <w:rPr>
                <w:sz w:val="20"/>
                <w:szCs w:val="20"/>
              </w:rPr>
              <w:t xml:space="preserve">22.730</w:t>
            </w:r>
          </w:p>
        </w:tc>
        <w:tc>
          <w:tcPr>
            <w:tcW w:type="dxa" w:w="1199"/>
            <w:vAlign w:val="center"/>
          </w:tcPr>
          <w:p>
            <w:pPr>
              <w:spacing w:before="20" w:after="20" w:line="260" w:lineRule="auto"/>
              <w:ind w:firstLine="0"/>
              <w:jc w:val="left"/>
            </w:pPr>
            <w:r>
              <w:rPr>
                <w:sz w:val="20"/>
                <w:szCs w:val="20"/>
              </w:rPr>
              <w:t xml:space="preserve">MEDIUM</w:t>
            </w:r>
          </w:p>
        </w:tc>
      </w:tr>
      <w:tr>
        <w:trPr>
          <w:cantSplit/>
        </w:trPr>
        <w:tc>
          <w:tcPr>
            <w:tcW w:type="dxa" w:w="1579"/>
            <w:vAlign w:val="center"/>
          </w:tcPr>
          <w:p>
            <w:pPr>
              <w:spacing w:before="20" w:after="20" w:line="260" w:lineRule="auto"/>
              <w:ind w:firstLine="0"/>
              <w:jc w:val="left"/>
            </w:pPr>
            <w:r>
              <w:rPr>
                <w:sz w:val="20"/>
                <w:szCs w:val="20"/>
              </w:rPr>
              <w:t xml:space="preserve">CLEANING</w:t>
            </w:r>
          </w:p>
        </w:tc>
        <w:tc>
          <w:tcPr>
            <w:tcW w:type="dxa" w:w="1193"/>
            <w:vAlign w:val="center"/>
          </w:tcPr>
          <w:p>
            <w:pPr>
              <w:spacing w:before="20" w:after="20" w:line="260" w:lineRule="auto"/>
              <w:ind w:firstLine="0"/>
              <w:jc w:val="center"/>
            </w:pPr>
            <w:r>
              <w:rPr>
                <w:sz w:val="20"/>
                <w:szCs w:val="20"/>
              </w:rPr>
              <w:t xml:space="preserve">19.055</w:t>
            </w:r>
          </w:p>
        </w:tc>
        <w:tc>
          <w:tcPr>
            <w:tcW w:type="dxa" w:w="1193"/>
            <w:vAlign w:val="center"/>
          </w:tcPr>
          <w:p>
            <w:pPr>
              <w:spacing w:before="20" w:after="20" w:line="260" w:lineRule="auto"/>
              <w:ind w:firstLine="0"/>
              <w:jc w:val="center"/>
            </w:pPr>
            <w:r>
              <w:rPr>
                <w:sz w:val="20"/>
                <w:szCs w:val="20"/>
              </w:rPr>
              <w:t xml:space="preserve">18.344</w:t>
            </w:r>
          </w:p>
        </w:tc>
        <w:tc>
          <w:tcPr>
            <w:tcW w:type="dxa" w:w="1193"/>
            <w:vAlign w:val="center"/>
          </w:tcPr>
          <w:p>
            <w:pPr>
              <w:spacing w:before="20" w:after="20" w:line="260" w:lineRule="auto"/>
              <w:ind w:firstLine="0"/>
              <w:jc w:val="center"/>
            </w:pPr>
            <w:r>
              <w:rPr>
                <w:sz w:val="20"/>
                <w:szCs w:val="20"/>
              </w:rPr>
              <w:t xml:space="preserve">20,42%</w:t>
            </w:r>
          </w:p>
        </w:tc>
        <w:tc>
          <w:tcPr>
            <w:tcW w:type="dxa" w:w="1193"/>
            <w:vAlign w:val="center"/>
          </w:tcPr>
          <w:p>
            <w:pPr>
              <w:spacing w:before="20" w:after="20" w:line="260" w:lineRule="auto"/>
              <w:ind w:firstLine="0"/>
              <w:jc w:val="center"/>
            </w:pPr>
            <w:r>
              <w:rPr>
                <w:sz w:val="20"/>
                <w:szCs w:val="20"/>
              </w:rPr>
              <w:t xml:space="preserve">56,25%</w:t>
            </w:r>
          </w:p>
        </w:tc>
        <w:tc>
          <w:tcPr>
            <w:tcW w:type="dxa" w:w="1521"/>
            <w:vAlign w:val="center"/>
          </w:tcPr>
          <w:p>
            <w:pPr>
              <w:spacing w:before="20" w:after="20" w:line="260" w:lineRule="auto"/>
              <w:ind w:firstLine="0"/>
              <w:jc w:val="center"/>
            </w:pPr>
            <w:r>
              <w:rPr>
                <w:sz w:val="20"/>
                <w:szCs w:val="20"/>
              </w:rPr>
              <w:t xml:space="preserve">9.750</w:t>
            </w:r>
          </w:p>
        </w:tc>
        <w:tc>
          <w:tcPr>
            <w:tcW w:type="dxa" w:w="1199"/>
            <w:vAlign w:val="center"/>
          </w:tcPr>
          <w:p>
            <w:pPr>
              <w:spacing w:before="20" w:after="20" w:line="260" w:lineRule="auto"/>
              <w:ind w:firstLine="0"/>
              <w:jc w:val="left"/>
            </w:pPr>
            <w:r>
              <w:rPr>
                <w:sz w:val="20"/>
                <w:szCs w:val="20"/>
              </w:rPr>
              <w:t xml:space="preserve">MEDIUM</w:t>
            </w:r>
          </w:p>
        </w:tc>
      </w:tr>
      <w:tr>
        <w:trPr>
          <w:cantSplit/>
        </w:trPr>
        <w:tc>
          <w:tcPr>
            <w:tcW w:type="dxa" w:w="1579"/>
            <w:vAlign w:val="center"/>
          </w:tcPr>
          <w:p>
            <w:pPr>
              <w:spacing w:before="20" w:after="20" w:line="260" w:lineRule="auto"/>
              <w:ind w:firstLine="0"/>
              <w:jc w:val="left"/>
            </w:pPr>
            <w:r>
              <w:rPr>
                <w:sz w:val="20"/>
                <w:szCs w:val="20"/>
              </w:rPr>
              <w:t xml:space="preserve">PRODUCE</w:t>
            </w:r>
          </w:p>
        </w:tc>
        <w:tc>
          <w:tcPr>
            <w:tcW w:type="dxa" w:w="1193"/>
            <w:vAlign w:val="center"/>
          </w:tcPr>
          <w:p>
            <w:pPr>
              <w:spacing w:before="20" w:after="20" w:line="260" w:lineRule="auto"/>
              <w:ind w:firstLine="0"/>
              <w:jc w:val="center"/>
            </w:pPr>
            <w:r>
              <w:rPr>
                <w:sz w:val="20"/>
                <w:szCs w:val="20"/>
              </w:rPr>
              <w:t xml:space="preserve">10.985</w:t>
            </w:r>
          </w:p>
        </w:tc>
        <w:tc>
          <w:tcPr>
            <w:tcW w:type="dxa" w:w="1193"/>
            <w:vAlign w:val="center"/>
          </w:tcPr>
          <w:p>
            <w:pPr>
              <w:spacing w:before="20" w:after="20" w:line="260" w:lineRule="auto"/>
              <w:ind w:firstLine="0"/>
              <w:jc w:val="center"/>
            </w:pPr>
            <w:r>
              <w:rPr>
                <w:sz w:val="20"/>
                <w:szCs w:val="20"/>
              </w:rPr>
              <w:t xml:space="preserve">11.525</w:t>
            </w:r>
          </w:p>
        </w:tc>
        <w:tc>
          <w:tcPr>
            <w:tcW w:type="dxa" w:w="1193"/>
            <w:vAlign w:val="center"/>
          </w:tcPr>
          <w:p>
            <w:pPr>
              <w:spacing w:before="20" w:after="20" w:line="260" w:lineRule="auto"/>
              <w:ind w:firstLine="0"/>
              <w:jc w:val="center"/>
            </w:pPr>
            <w:r>
              <w:rPr>
                <w:sz w:val="20"/>
                <w:szCs w:val="20"/>
              </w:rPr>
              <w:t xml:space="preserve">9,46%</w:t>
            </w:r>
          </w:p>
        </w:tc>
        <w:tc>
          <w:tcPr>
            <w:tcW w:type="dxa" w:w="1193"/>
            <w:vAlign w:val="center"/>
          </w:tcPr>
          <w:p>
            <w:pPr>
              <w:spacing w:before="20" w:after="20" w:line="260" w:lineRule="auto"/>
              <w:ind w:firstLine="0"/>
              <w:jc w:val="center"/>
            </w:pPr>
            <w:r>
              <w:rPr>
                <w:sz w:val="20"/>
                <w:szCs w:val="20"/>
              </w:rPr>
              <w:t xml:space="preserve">87,50%</w:t>
            </w:r>
          </w:p>
        </w:tc>
        <w:tc>
          <w:tcPr>
            <w:tcW w:type="dxa" w:w="1521"/>
            <w:vAlign w:val="center"/>
          </w:tcPr>
          <w:p>
            <w:pPr>
              <w:spacing w:before="20" w:after="20" w:line="260" w:lineRule="auto"/>
              <w:ind w:firstLine="0"/>
              <w:jc w:val="center"/>
            </w:pPr>
            <w:r>
              <w:rPr>
                <w:sz w:val="20"/>
                <w:szCs w:val="20"/>
              </w:rPr>
              <w:t xml:space="preserve">4.737</w:t>
            </w:r>
          </w:p>
        </w:tc>
        <w:tc>
          <w:tcPr>
            <w:tcW w:type="dxa" w:w="1199"/>
            <w:vAlign w:val="center"/>
          </w:tcPr>
          <w:p>
            <w:pPr>
              <w:spacing w:before="20" w:after="20" w:line="260" w:lineRule="auto"/>
              <w:ind w:firstLine="0"/>
              <w:jc w:val="left"/>
            </w:pPr>
            <w:r>
              <w:rPr>
                <w:sz w:val="20"/>
                <w:szCs w:val="20"/>
              </w:rPr>
              <w:t xml:space="preserve">MEDIUM</w:t>
            </w:r>
          </w:p>
        </w:tc>
      </w:tr>
      <w:tr>
        <w:trPr>
          <w:cantSplit/>
        </w:trPr>
        <w:tc>
          <w:tcPr>
            <w:tcW w:type="dxa" w:w="1579"/>
            <w:vAlign w:val="center"/>
          </w:tcPr>
          <w:p>
            <w:pPr>
              <w:spacing w:before="20" w:after="20" w:line="260" w:lineRule="auto"/>
              <w:ind w:firstLine="0"/>
              <w:jc w:val="left"/>
            </w:pPr>
            <w:r>
              <w:rPr>
                <w:sz w:val="20"/>
                <w:szCs w:val="20"/>
              </w:rPr>
              <w:t xml:space="preserve">DAIRY</w:t>
            </w:r>
          </w:p>
        </w:tc>
        <w:tc>
          <w:tcPr>
            <w:tcW w:type="dxa" w:w="1193"/>
            <w:vAlign w:val="center"/>
          </w:tcPr>
          <w:p>
            <w:pPr>
              <w:spacing w:before="20" w:after="20" w:line="260" w:lineRule="auto"/>
              <w:ind w:firstLine="0"/>
              <w:jc w:val="center"/>
            </w:pPr>
            <w:r>
              <w:rPr>
                <w:sz w:val="20"/>
                <w:szCs w:val="20"/>
              </w:rPr>
              <w:t xml:space="preserve">4.342</w:t>
            </w:r>
          </w:p>
        </w:tc>
        <w:tc>
          <w:tcPr>
            <w:tcW w:type="dxa" w:w="1193"/>
            <w:vAlign w:val="center"/>
          </w:tcPr>
          <w:p>
            <w:pPr>
              <w:spacing w:before="20" w:after="20" w:line="260" w:lineRule="auto"/>
              <w:ind w:firstLine="0"/>
              <w:jc w:val="center"/>
            </w:pPr>
            <w:r>
              <w:rPr>
                <w:sz w:val="20"/>
                <w:szCs w:val="20"/>
              </w:rPr>
              <w:t xml:space="preserve">4.310</w:t>
            </w:r>
          </w:p>
        </w:tc>
        <w:tc>
          <w:tcPr>
            <w:tcW w:type="dxa" w:w="1193"/>
            <w:vAlign w:val="center"/>
          </w:tcPr>
          <w:p>
            <w:pPr>
              <w:spacing w:before="20" w:after="20" w:line="260" w:lineRule="auto"/>
              <w:ind w:firstLine="0"/>
              <w:jc w:val="center"/>
            </w:pPr>
            <w:r>
              <w:rPr>
                <w:sz w:val="20"/>
                <w:szCs w:val="20"/>
              </w:rPr>
              <w:t xml:space="preserve">13,14%</w:t>
            </w:r>
          </w:p>
        </w:tc>
        <w:tc>
          <w:tcPr>
            <w:tcW w:type="dxa" w:w="1193"/>
            <w:vAlign w:val="center"/>
          </w:tcPr>
          <w:p>
            <w:pPr>
              <w:spacing w:before="20" w:after="20" w:line="260" w:lineRule="auto"/>
              <w:ind w:firstLine="0"/>
              <w:jc w:val="center"/>
            </w:pPr>
            <w:r>
              <w:rPr>
                <w:sz w:val="20"/>
                <w:szCs w:val="20"/>
              </w:rPr>
              <w:t xml:space="preserve">87,50%</w:t>
            </w:r>
          </w:p>
        </w:tc>
        <w:tc>
          <w:tcPr>
            <w:tcW w:type="dxa" w:w="1521"/>
            <w:vAlign w:val="center"/>
          </w:tcPr>
          <w:p>
            <w:pPr>
              <w:spacing w:before="20" w:after="20" w:line="260" w:lineRule="auto"/>
              <w:ind w:firstLine="0"/>
              <w:jc w:val="center"/>
            </w:pPr>
            <w:r>
              <w:rPr>
                <w:sz w:val="20"/>
                <w:szCs w:val="20"/>
              </w:rPr>
              <w:t xml:space="preserve">1.980</w:t>
            </w:r>
          </w:p>
        </w:tc>
        <w:tc>
          <w:tcPr>
            <w:tcW w:type="dxa" w:w="1199"/>
            <w:vAlign w:val="center"/>
          </w:tcPr>
          <w:p>
            <w:pPr>
              <w:spacing w:before="20" w:after="20" w:line="260" w:lineRule="auto"/>
              <w:ind w:firstLine="0"/>
              <w:jc w:val="left"/>
            </w:pPr>
            <w:r>
              <w:rPr>
                <w:sz w:val="20"/>
                <w:szCs w:val="20"/>
              </w:rPr>
              <w:t xml:space="preserve">MEDIUM</w:t>
            </w:r>
          </w:p>
        </w:tc>
      </w:tr>
      <w:tr>
        <w:trPr>
          <w:cantSplit/>
        </w:trPr>
        <w:tc>
          <w:tcPr>
            <w:tcW w:type="dxa" w:w="1579"/>
            <w:vAlign w:val="center"/>
          </w:tcPr>
          <w:p>
            <w:pPr>
              <w:spacing w:before="20" w:after="20" w:line="260" w:lineRule="auto"/>
              <w:ind w:firstLine="0"/>
              <w:jc w:val="left"/>
            </w:pPr>
            <w:r>
              <w:rPr>
                <w:sz w:val="20"/>
                <w:szCs w:val="20"/>
              </w:rPr>
              <w:t xml:space="preserve">BREAD/BAKERY</w:t>
            </w:r>
          </w:p>
        </w:tc>
        <w:tc>
          <w:tcPr>
            <w:tcW w:type="dxa" w:w="1193"/>
            <w:vAlign w:val="center"/>
          </w:tcPr>
          <w:p>
            <w:pPr>
              <w:spacing w:before="20" w:after="20" w:line="260" w:lineRule="auto"/>
              <w:ind w:firstLine="0"/>
              <w:jc w:val="center"/>
            </w:pPr>
            <w:r>
              <w:rPr>
                <w:sz w:val="20"/>
                <w:szCs w:val="20"/>
              </w:rPr>
              <w:t xml:space="preserve">4.061</w:t>
            </w:r>
          </w:p>
        </w:tc>
        <w:tc>
          <w:tcPr>
            <w:tcW w:type="dxa" w:w="1193"/>
            <w:vAlign w:val="center"/>
          </w:tcPr>
          <w:p>
            <w:pPr>
              <w:spacing w:before="20" w:after="20" w:line="260" w:lineRule="auto"/>
              <w:ind w:firstLine="0"/>
              <w:jc w:val="center"/>
            </w:pPr>
            <w:r>
              <w:rPr>
                <w:sz w:val="20"/>
                <w:szCs w:val="20"/>
              </w:rPr>
              <w:t xml:space="preserve">4.172</w:t>
            </w:r>
          </w:p>
        </w:tc>
        <w:tc>
          <w:tcPr>
            <w:tcW w:type="dxa" w:w="1193"/>
            <w:vAlign w:val="center"/>
          </w:tcPr>
          <w:p>
            <w:pPr>
              <w:spacing w:before="20" w:after="20" w:line="260" w:lineRule="auto"/>
              <w:ind w:firstLine="0"/>
              <w:jc w:val="center"/>
            </w:pPr>
            <w:r>
              <w:rPr>
                <w:sz w:val="20"/>
                <w:szCs w:val="20"/>
              </w:rPr>
              <w:t xml:space="preserve">12,15%</w:t>
            </w:r>
          </w:p>
        </w:tc>
        <w:tc>
          <w:tcPr>
            <w:tcW w:type="dxa" w:w="1193"/>
            <w:vAlign w:val="center"/>
          </w:tcPr>
          <w:p>
            <w:pPr>
              <w:spacing w:before="20" w:after="20" w:line="260" w:lineRule="auto"/>
              <w:ind w:firstLine="0"/>
              <w:jc w:val="center"/>
            </w:pPr>
            <w:r>
              <w:rPr>
                <w:sz w:val="20"/>
                <w:szCs w:val="20"/>
              </w:rPr>
              <w:t xml:space="preserve">87,50%</w:t>
            </w:r>
          </w:p>
        </w:tc>
        <w:tc>
          <w:tcPr>
            <w:tcW w:type="dxa" w:w="1521"/>
            <w:vAlign w:val="center"/>
          </w:tcPr>
          <w:p>
            <w:pPr>
              <w:spacing w:before="20" w:after="20" w:line="260" w:lineRule="auto"/>
              <w:ind w:firstLine="0"/>
              <w:jc w:val="center"/>
            </w:pPr>
            <w:r>
              <w:rPr>
                <w:sz w:val="20"/>
                <w:szCs w:val="20"/>
              </w:rPr>
              <w:t xml:space="preserve">2.033</w:t>
            </w:r>
          </w:p>
        </w:tc>
        <w:tc>
          <w:tcPr>
            <w:tcW w:type="dxa" w:w="1199"/>
            <w:vAlign w:val="center"/>
          </w:tcPr>
          <w:p>
            <w:pPr>
              <w:spacing w:before="20" w:after="20" w:line="260" w:lineRule="auto"/>
              <w:ind w:firstLine="0"/>
              <w:jc w:val="left"/>
            </w:pPr>
            <w:r>
              <w:rPr>
                <w:sz w:val="20"/>
                <w:szCs w:val="20"/>
              </w:rPr>
              <w:t xml:space="preserve">MEDIUM</w:t>
            </w:r>
          </w:p>
        </w:tc>
      </w:tr>
      <w:tr>
        <w:trPr>
          <w:cantSplit/>
        </w:trPr>
        <w:tc>
          <w:tcPr>
            <w:tcW w:type="dxa" w:w="1579"/>
            <w:vAlign w:val="center"/>
          </w:tcPr>
          <w:p>
            <w:pPr>
              <w:spacing w:before="20" w:after="20" w:line="260" w:lineRule="auto"/>
              <w:ind w:firstLine="0"/>
              <w:jc w:val="left"/>
            </w:pPr>
            <w:r>
              <w:rPr>
                <w:sz w:val="20"/>
                <w:szCs w:val="20"/>
              </w:rPr>
              <w:t xml:space="preserve">DELI</w:t>
            </w:r>
          </w:p>
        </w:tc>
        <w:tc>
          <w:tcPr>
            <w:tcW w:type="dxa" w:w="1193"/>
            <w:vAlign w:val="center"/>
          </w:tcPr>
          <w:p>
            <w:pPr>
              <w:spacing w:before="20" w:after="20" w:line="260" w:lineRule="auto"/>
              <w:ind w:firstLine="0"/>
              <w:jc w:val="center"/>
            </w:pPr>
            <w:r>
              <w:rPr>
                <w:sz w:val="20"/>
                <w:szCs w:val="20"/>
              </w:rPr>
              <w:t xml:space="preserve">3.785</w:t>
            </w:r>
          </w:p>
        </w:tc>
        <w:tc>
          <w:tcPr>
            <w:tcW w:type="dxa" w:w="1193"/>
            <w:vAlign w:val="center"/>
          </w:tcPr>
          <w:p>
            <w:pPr>
              <w:spacing w:before="20" w:after="20" w:line="260" w:lineRule="auto"/>
              <w:ind w:firstLine="0"/>
              <w:jc w:val="center"/>
            </w:pPr>
            <w:r>
              <w:rPr>
                <w:sz w:val="20"/>
                <w:szCs w:val="20"/>
              </w:rPr>
              <w:t xml:space="preserve">4.071</w:t>
            </w:r>
          </w:p>
        </w:tc>
        <w:tc>
          <w:tcPr>
            <w:tcW w:type="dxa" w:w="1193"/>
            <w:vAlign w:val="center"/>
          </w:tcPr>
          <w:p>
            <w:pPr>
              <w:spacing w:before="20" w:after="20" w:line="260" w:lineRule="auto"/>
              <w:ind w:firstLine="0"/>
              <w:jc w:val="center"/>
            </w:pPr>
            <w:r>
              <w:rPr>
                <w:sz w:val="20"/>
                <w:szCs w:val="20"/>
              </w:rPr>
              <w:t xml:space="preserve">15,81%</w:t>
            </w:r>
          </w:p>
        </w:tc>
        <w:tc>
          <w:tcPr>
            <w:tcW w:type="dxa" w:w="1193"/>
            <w:vAlign w:val="center"/>
          </w:tcPr>
          <w:p>
            <w:pPr>
              <w:spacing w:before="20" w:after="20" w:line="260" w:lineRule="auto"/>
              <w:ind w:firstLine="0"/>
              <w:jc w:val="center"/>
            </w:pPr>
            <w:r>
              <w:rPr>
                <w:sz w:val="20"/>
                <w:szCs w:val="20"/>
              </w:rPr>
              <w:t xml:space="preserve">81,25%</w:t>
            </w:r>
          </w:p>
        </w:tc>
        <w:tc>
          <w:tcPr>
            <w:tcW w:type="dxa" w:w="1521"/>
            <w:vAlign w:val="center"/>
          </w:tcPr>
          <w:p>
            <w:pPr>
              <w:spacing w:before="20" w:after="20" w:line="260" w:lineRule="auto"/>
              <w:ind w:firstLine="0"/>
              <w:jc w:val="center"/>
            </w:pPr>
            <w:r>
              <w:rPr>
                <w:sz w:val="20"/>
                <w:szCs w:val="20"/>
              </w:rPr>
              <w:t xml:space="preserve">1.905</w:t>
            </w:r>
          </w:p>
        </w:tc>
        <w:tc>
          <w:tcPr>
            <w:tcW w:type="dxa" w:w="1199"/>
            <w:vAlign w:val="center"/>
          </w:tcPr>
          <w:p>
            <w:pPr>
              <w:spacing w:before="20" w:after="20" w:line="260" w:lineRule="auto"/>
              <w:ind w:firstLine="0"/>
              <w:jc w:val="left"/>
            </w:pPr>
            <w:r>
              <w:rPr>
                <w:sz w:val="20"/>
                <w:szCs w:val="20"/>
              </w:rPr>
              <w:t xml:space="preserve">MEDIUM</w:t>
            </w:r>
          </w:p>
        </w:tc>
      </w:tr>
      <w:tr>
        <w:trPr>
          <w:cantSplit/>
        </w:trPr>
        <w:tc>
          <w:tcPr>
            <w:tcW w:type="dxa" w:w="1579"/>
            <w:vAlign w:val="center"/>
          </w:tcPr>
          <w:p>
            <w:pPr>
              <w:spacing w:before="20" w:after="20" w:line="260" w:lineRule="auto"/>
              <w:ind w:firstLine="0"/>
              <w:jc w:val="left"/>
            </w:pPr>
            <w:r>
              <w:rPr>
                <w:sz w:val="20"/>
                <w:szCs w:val="20"/>
              </w:rPr>
              <w:t xml:space="preserve">HOME CARE</w:t>
            </w:r>
          </w:p>
        </w:tc>
        <w:tc>
          <w:tcPr>
            <w:tcW w:type="dxa" w:w="1193"/>
            <w:vAlign w:val="center"/>
          </w:tcPr>
          <w:p>
            <w:pPr>
              <w:spacing w:before="20" w:after="20" w:line="260" w:lineRule="auto"/>
              <w:ind w:firstLine="0"/>
              <w:jc w:val="center"/>
            </w:pPr>
            <w:r>
              <w:rPr>
                <w:sz w:val="20"/>
                <w:szCs w:val="20"/>
              </w:rPr>
              <w:t xml:space="preserve">3.705</w:t>
            </w:r>
          </w:p>
        </w:tc>
        <w:tc>
          <w:tcPr>
            <w:tcW w:type="dxa" w:w="1193"/>
            <w:vAlign w:val="center"/>
          </w:tcPr>
          <w:p>
            <w:pPr>
              <w:spacing w:before="20" w:after="20" w:line="260" w:lineRule="auto"/>
              <w:ind w:firstLine="0"/>
              <w:jc w:val="center"/>
            </w:pPr>
            <w:r>
              <w:rPr>
                <w:sz w:val="20"/>
                <w:szCs w:val="20"/>
              </w:rPr>
              <w:t xml:space="preserve">3.972</w:t>
            </w:r>
          </w:p>
        </w:tc>
        <w:tc>
          <w:tcPr>
            <w:tcW w:type="dxa" w:w="1193"/>
            <w:vAlign w:val="center"/>
          </w:tcPr>
          <w:p>
            <w:pPr>
              <w:spacing w:before="20" w:after="20" w:line="260" w:lineRule="auto"/>
              <w:ind w:firstLine="0"/>
              <w:jc w:val="center"/>
            </w:pPr>
            <w:r>
              <w:rPr>
                <w:sz w:val="20"/>
                <w:szCs w:val="20"/>
              </w:rPr>
              <w:t xml:space="preserve">16,71%</w:t>
            </w:r>
          </w:p>
        </w:tc>
        <w:tc>
          <w:tcPr>
            <w:tcW w:type="dxa" w:w="1193"/>
            <w:vAlign w:val="center"/>
          </w:tcPr>
          <w:p>
            <w:pPr>
              <w:spacing w:before="20" w:after="20" w:line="260" w:lineRule="auto"/>
              <w:ind w:firstLine="0"/>
              <w:jc w:val="center"/>
            </w:pPr>
            <w:r>
              <w:rPr>
                <w:sz w:val="20"/>
                <w:szCs w:val="20"/>
              </w:rPr>
              <w:t xml:space="preserve">81,25%</w:t>
            </w:r>
          </w:p>
        </w:tc>
        <w:tc>
          <w:tcPr>
            <w:tcW w:type="dxa" w:w="1521"/>
            <w:vAlign w:val="center"/>
          </w:tcPr>
          <w:p>
            <w:pPr>
              <w:spacing w:before="20" w:after="20" w:line="260" w:lineRule="auto"/>
              <w:ind w:firstLine="0"/>
              <w:jc w:val="center"/>
            </w:pPr>
            <w:r>
              <w:rPr>
                <w:sz w:val="20"/>
                <w:szCs w:val="20"/>
              </w:rPr>
              <w:t xml:space="preserve">1.857</w:t>
            </w:r>
          </w:p>
        </w:tc>
        <w:tc>
          <w:tcPr>
            <w:tcW w:type="dxa" w:w="1199"/>
            <w:vAlign w:val="center"/>
          </w:tcPr>
          <w:p>
            <w:pPr>
              <w:spacing w:before="20" w:after="20" w:line="260" w:lineRule="auto"/>
              <w:ind w:firstLine="0"/>
              <w:jc w:val="left"/>
            </w:pPr>
            <w:r>
              <w:rPr>
                <w:sz w:val="20"/>
                <w:szCs w:val="20"/>
              </w:rPr>
              <w:t xml:space="preserve">MEDIUM</w:t>
            </w:r>
          </w:p>
        </w:tc>
      </w:tr>
      <w:tr>
        <w:trPr>
          <w:cantSplit/>
        </w:trPr>
        <w:tc>
          <w:tcPr>
            <w:tcW w:type="dxa" w:w="1579"/>
            <w:vAlign w:val="center"/>
          </w:tcPr>
          <w:p>
            <w:pPr>
              <w:spacing w:before="20" w:after="20" w:line="260" w:lineRule="auto"/>
              <w:ind w:firstLine="0"/>
              <w:jc w:val="left"/>
            </w:pPr>
            <w:r>
              <w:rPr>
                <w:sz w:val="20"/>
                <w:szCs w:val="20"/>
              </w:rPr>
              <w:t xml:space="preserve">PERSONAL CARE</w:t>
            </w:r>
          </w:p>
        </w:tc>
        <w:tc>
          <w:tcPr>
            <w:tcW w:type="dxa" w:w="1193"/>
            <w:vAlign w:val="center"/>
          </w:tcPr>
          <w:p>
            <w:pPr>
              <w:spacing w:before="20" w:after="20" w:line="260" w:lineRule="auto"/>
              <w:ind w:firstLine="0"/>
              <w:jc w:val="center"/>
            </w:pPr>
            <w:r>
              <w:rPr>
                <w:sz w:val="20"/>
                <w:szCs w:val="20"/>
              </w:rPr>
              <w:t xml:space="preserve">3.015</w:t>
            </w:r>
          </w:p>
        </w:tc>
        <w:tc>
          <w:tcPr>
            <w:tcW w:type="dxa" w:w="1193"/>
            <w:vAlign w:val="center"/>
          </w:tcPr>
          <w:p>
            <w:pPr>
              <w:spacing w:before="20" w:after="20" w:line="260" w:lineRule="auto"/>
              <w:ind w:firstLine="0"/>
              <w:jc w:val="center"/>
            </w:pPr>
            <w:r>
              <w:rPr>
                <w:sz w:val="20"/>
                <w:szCs w:val="20"/>
              </w:rPr>
              <w:t xml:space="preserve">3.140</w:t>
            </w:r>
          </w:p>
        </w:tc>
        <w:tc>
          <w:tcPr>
            <w:tcW w:type="dxa" w:w="1193"/>
            <w:vAlign w:val="center"/>
          </w:tcPr>
          <w:p>
            <w:pPr>
              <w:spacing w:before="20" w:after="20" w:line="260" w:lineRule="auto"/>
              <w:ind w:firstLine="0"/>
              <w:jc w:val="center"/>
            </w:pPr>
            <w:r>
              <w:rPr>
                <w:sz w:val="20"/>
                <w:szCs w:val="20"/>
              </w:rPr>
              <w:t xml:space="preserve">11,91%</w:t>
            </w:r>
          </w:p>
        </w:tc>
        <w:tc>
          <w:tcPr>
            <w:tcW w:type="dxa" w:w="1193"/>
            <w:vAlign w:val="center"/>
          </w:tcPr>
          <w:p>
            <w:pPr>
              <w:spacing w:before="20" w:after="20" w:line="260" w:lineRule="auto"/>
              <w:ind w:firstLine="0"/>
              <w:jc w:val="center"/>
            </w:pPr>
            <w:r>
              <w:rPr>
                <w:sz w:val="20"/>
                <w:szCs w:val="20"/>
              </w:rPr>
              <w:t xml:space="preserve">87,50%</w:t>
            </w:r>
          </w:p>
        </w:tc>
        <w:tc>
          <w:tcPr>
            <w:tcW w:type="dxa" w:w="1521"/>
            <w:vAlign w:val="center"/>
          </w:tcPr>
          <w:p>
            <w:pPr>
              <w:spacing w:before="20" w:after="20" w:line="260" w:lineRule="auto"/>
              <w:ind w:firstLine="0"/>
              <w:jc w:val="center"/>
            </w:pPr>
            <w:r>
              <w:rPr>
                <w:sz w:val="20"/>
                <w:szCs w:val="20"/>
              </w:rPr>
              <w:t xml:space="preserve">1.467</w:t>
            </w:r>
          </w:p>
        </w:tc>
        <w:tc>
          <w:tcPr>
            <w:tcW w:type="dxa" w:w="1199"/>
            <w:vAlign w:val="center"/>
          </w:tcPr>
          <w:p>
            <w:pPr>
              <w:spacing w:before="20" w:after="20" w:line="260" w:lineRule="auto"/>
              <w:ind w:firstLine="0"/>
              <w:jc w:val="left"/>
            </w:pPr>
            <w:r>
              <w:rPr>
                <w:sz w:val="20"/>
                <w:szCs w:val="20"/>
              </w:rPr>
              <w:t xml:space="preserve">MEDIUM</w:t>
            </w:r>
          </w:p>
        </w:tc>
      </w:tr>
      <w:tr>
        <w:trPr>
          <w:cantSplit/>
        </w:trPr>
        <w:tc>
          <w:tcPr>
            <w:tcW w:type="dxa" w:w="1579"/>
            <w:vAlign w:val="center"/>
          </w:tcPr>
          <w:p>
            <w:pPr>
              <w:spacing w:before="20" w:after="20" w:line="260" w:lineRule="auto"/>
              <w:ind w:firstLine="0"/>
              <w:jc w:val="left"/>
            </w:pPr>
            <w:r>
              <w:rPr>
                <w:sz w:val="20"/>
                <w:szCs w:val="20"/>
              </w:rPr>
              <w:t xml:space="preserve">PREPARED FOODS</w:t>
            </w:r>
          </w:p>
        </w:tc>
        <w:tc>
          <w:tcPr>
            <w:tcW w:type="dxa" w:w="1193"/>
            <w:vAlign w:val="center"/>
          </w:tcPr>
          <w:p>
            <w:pPr>
              <w:spacing w:before="20" w:after="20" w:line="260" w:lineRule="auto"/>
              <w:ind w:firstLine="0"/>
              <w:jc w:val="center"/>
            </w:pPr>
            <w:r>
              <w:rPr>
                <w:sz w:val="20"/>
                <w:szCs w:val="20"/>
              </w:rPr>
              <w:t xml:space="preserve">1.440</w:t>
            </w:r>
          </w:p>
        </w:tc>
        <w:tc>
          <w:tcPr>
            <w:tcW w:type="dxa" w:w="1193"/>
            <w:vAlign w:val="center"/>
          </w:tcPr>
          <w:p>
            <w:pPr>
              <w:spacing w:before="20" w:after="20" w:line="260" w:lineRule="auto"/>
              <w:ind w:firstLine="0"/>
              <w:jc w:val="center"/>
            </w:pPr>
            <w:r>
              <w:rPr>
                <w:sz w:val="20"/>
                <w:szCs w:val="20"/>
              </w:rPr>
              <w:t xml:space="preserve">1.292</w:t>
            </w:r>
          </w:p>
        </w:tc>
        <w:tc>
          <w:tcPr>
            <w:tcW w:type="dxa" w:w="1193"/>
            <w:vAlign w:val="center"/>
          </w:tcPr>
          <w:p>
            <w:pPr>
              <w:spacing w:before="20" w:after="20" w:line="260" w:lineRule="auto"/>
              <w:ind w:firstLine="0"/>
              <w:jc w:val="center"/>
            </w:pPr>
            <w:r>
              <w:rPr>
                <w:sz w:val="20"/>
                <w:szCs w:val="20"/>
              </w:rPr>
              <w:t xml:space="preserve">21,70%</w:t>
            </w:r>
          </w:p>
        </w:tc>
        <w:tc>
          <w:tcPr>
            <w:tcW w:type="dxa" w:w="1193"/>
            <w:vAlign w:val="center"/>
          </w:tcPr>
          <w:p>
            <w:pPr>
              <w:spacing w:before="20" w:after="20" w:line="260" w:lineRule="auto"/>
              <w:ind w:firstLine="0"/>
              <w:jc w:val="center"/>
            </w:pPr>
            <w:r>
              <w:rPr>
                <w:sz w:val="20"/>
                <w:szCs w:val="20"/>
              </w:rPr>
              <w:t xml:space="preserve">75,00%</w:t>
            </w:r>
          </w:p>
        </w:tc>
        <w:tc>
          <w:tcPr>
            <w:tcW w:type="dxa" w:w="1521"/>
            <w:vAlign w:val="center"/>
          </w:tcPr>
          <w:p>
            <w:pPr>
              <w:spacing w:before="20" w:after="20" w:line="260" w:lineRule="auto"/>
              <w:ind w:firstLine="0"/>
              <w:jc w:val="center"/>
            </w:pPr>
            <w:r>
              <w:rPr>
                <w:sz w:val="20"/>
                <w:szCs w:val="20"/>
              </w:rPr>
              <w:t xml:space="preserve">759</w:t>
            </w:r>
          </w:p>
        </w:tc>
        <w:tc>
          <w:tcPr>
            <w:tcW w:type="dxa" w:w="1199"/>
            <w:vAlign w:val="center"/>
          </w:tcPr>
          <w:p>
            <w:pPr>
              <w:spacing w:before="20" w:after="20" w:line="260" w:lineRule="auto"/>
              <w:ind w:firstLine="0"/>
              <w:jc w:val="left"/>
            </w:pPr>
            <w:r>
              <w:rPr>
                <w:sz w:val="20"/>
                <w:szCs w:val="20"/>
              </w:rPr>
              <w:t xml:space="preserve">MEDIUM</w:t>
            </w:r>
          </w:p>
        </w:tc>
      </w:tr>
    </w:tbl>
    <w:p>
      <w:pPr>
        <w:spacing w:before="40" w:after="160"/>
        <w:ind w:firstLine="0"/>
      </w:pPr>
      <w:r>
        <w:rPr>
          <w:i/>
          <w:sz w:val="22"/>
          <w:szCs w:val="22"/>
        </w:rPr>
        <w:t xml:space="preserve">Nguồn: error_by_series.csv và inventory_recommendations.csv.</w:t>
      </w:r>
    </w:p>
    <w:p>
      <w:pPr>
        <w:pStyle w:val="Heading1"/>
        <w:pageBreakBefore/>
      </w:pPr>
      <w:r>
        <w:t xml:space="preserve">PHỤ LỤC B. KẾT QUẢ CHI TIẾT THEO NHÓM SẢN PHẨM</w:t>
      </w:r>
    </w:p>
    <w:p>
      <w:pPr>
        <w:keepLines w:val="0"/>
        <w:spacing w:after="120"/>
        <w:ind w:firstLine="567"/>
      </w:pPr>
      <w:r>
        <w:t xml:space="preserve">Phụ lục B tổng hợp kết quả theo 33 nhóm sản phẩm, mỗi nhóm có mặt ở 54 cửa hàng. Bảng B.1 trình bày sai số, bias và độ bao phủ theo nhóm (error_by_family.csv); Bảng B.2 trình bày các đại lượng của lớp tồn kho, phân bố nhãn rủi ro và phản ứng P50 trung bình của nhóm dưới kịch bản không khuyến mãi và kịch bản khuyến mãi cao (onpromotion = 10) so với kịch bản hiện tại. Chênh lệch kịch bản được tính từ cột conditional_change_vs_current của promotion_scenarios.csv; đây là dự báo có điều kiện, không phải tác động nhân quả của khuyến mãi, và không được hiểu là phần trăm giảm giá. Các mục B.1–B.33 trình bày từng nhóm theo thứ tự chữ cái.</w:t>
      </w:r>
    </w:p>
    <w:p>
      <w:pPr>
        <w:keepNext/>
        <w:spacing w:before="120" w:after="60"/>
        <w:ind w:firstLine="0"/>
        <w:jc w:val="center"/>
      </w:pPr>
      <w:r>
        <w:t xml:space="preserve">Bảng B.1. Sai số dự báo, bias và độ bao phủ P10–P90 theo nhóm sản phẩm trên tập kiểm tra cuối 16 ngày</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04"/>
        <w:gridCol w:w="1179"/>
        <w:gridCol w:w="1179"/>
        <w:gridCol w:w="1242"/>
        <w:gridCol w:w="1111"/>
        <w:gridCol w:w="1111"/>
        <w:gridCol w:w="1245"/>
      </w:tblGrid>
      <w:tr>
        <w:trPr>
          <w:tblHeader/>
          <w:cantSplit/>
        </w:trPr>
        <w:tc>
          <w:tcPr>
            <w:tcW w:type="dxa" w:w="2004"/>
            <w:shd w:val="clear" w:color="auto" w:fill="D9E2F3"/>
            <w:vAlign w:val="center"/>
          </w:tcPr>
          <w:p>
            <w:pPr>
              <w:spacing w:before="20" w:after="20" w:line="260" w:lineRule="auto"/>
              <w:ind w:firstLine="0"/>
              <w:jc w:val="center"/>
            </w:pPr>
            <w:r>
              <w:rPr>
                <w:b/>
                <w:sz w:val="20"/>
                <w:szCs w:val="20"/>
              </w:rPr>
              <w:t xml:space="preserve">Nhóm sản phẩm</w:t>
            </w:r>
          </w:p>
        </w:tc>
        <w:tc>
          <w:tcPr>
            <w:tcW w:type="dxa" w:w="1179"/>
            <w:shd w:val="clear" w:color="auto" w:fill="D9E2F3"/>
            <w:vAlign w:val="center"/>
          </w:tcPr>
          <w:p>
            <w:pPr>
              <w:spacing w:before="20" w:after="20" w:line="260" w:lineRule="auto"/>
              <w:ind w:firstLine="0"/>
              <w:jc w:val="center"/>
            </w:pPr>
            <w:r>
              <w:rPr>
                <w:b/>
                <w:sz w:val="20"/>
                <w:szCs w:val="20"/>
              </w:rPr>
              <w:t xml:space="preserve">Thực tế</w:t>
            </w:r>
          </w:p>
        </w:tc>
        <w:tc>
          <w:tcPr>
            <w:tcW w:type="dxa" w:w="1179"/>
            <w:shd w:val="clear" w:color="auto" w:fill="D9E2F3"/>
            <w:vAlign w:val="center"/>
          </w:tcPr>
          <w:p>
            <w:pPr>
              <w:spacing w:before="20" w:after="20" w:line="260" w:lineRule="auto"/>
              <w:ind w:firstLine="0"/>
              <w:jc w:val="center"/>
            </w:pPr>
            <w:r>
              <w:rPr>
                <w:b/>
                <w:sz w:val="20"/>
                <w:szCs w:val="20"/>
              </w:rPr>
              <w:t xml:space="preserve">Dự báo</w:t>
            </w:r>
          </w:p>
        </w:tc>
        <w:tc>
          <w:tcPr>
            <w:tcW w:type="dxa" w:w="1242"/>
            <w:shd w:val="clear" w:color="auto" w:fill="D9E2F3"/>
            <w:vAlign w:val="center"/>
          </w:tcPr>
          <w:p>
            <w:pPr>
              <w:spacing w:before="20" w:after="20" w:line="260" w:lineRule="auto"/>
              <w:ind w:firstLine="0"/>
              <w:jc w:val="center"/>
            </w:pPr>
            <w:r>
              <w:rPr>
                <w:b/>
                <w:sz w:val="20"/>
                <w:szCs w:val="20"/>
              </w:rPr>
              <w:t xml:space="preserve">WAPE</w:t>
            </w:r>
          </w:p>
        </w:tc>
        <w:tc>
          <w:tcPr>
            <w:tcW w:type="dxa" w:w="1111"/>
            <w:shd w:val="clear" w:color="auto" w:fill="D9E2F3"/>
            <w:vAlign w:val="center"/>
          </w:tcPr>
          <w:p>
            <w:pPr>
              <w:spacing w:before="20" w:after="20" w:line="260" w:lineRule="auto"/>
              <w:ind w:firstLine="0"/>
              <w:jc w:val="center"/>
            </w:pPr>
            <w:r>
              <w:rPr>
                <w:b/>
                <w:sz w:val="20"/>
                <w:szCs w:val="20"/>
              </w:rPr>
              <w:t xml:space="preserve">Bias</w:t>
            </w:r>
          </w:p>
        </w:tc>
        <w:tc>
          <w:tcPr>
            <w:tcW w:type="dxa" w:w="1111"/>
            <w:shd w:val="clear" w:color="auto" w:fill="D9E2F3"/>
            <w:vAlign w:val="center"/>
          </w:tcPr>
          <w:p>
            <w:pPr>
              <w:spacing w:before="20" w:after="20" w:line="260" w:lineRule="auto"/>
              <w:ind w:firstLine="0"/>
              <w:jc w:val="center"/>
            </w:pPr>
            <w:r>
              <w:rPr>
                <w:b/>
                <w:sz w:val="20"/>
                <w:szCs w:val="20"/>
              </w:rPr>
              <w:t xml:space="preserve">Bao phủ</w:t>
            </w:r>
          </w:p>
        </w:tc>
        <w:tc>
          <w:tcPr>
            <w:tcW w:type="dxa" w:w="1245"/>
            <w:shd w:val="clear" w:color="auto" w:fill="D9E2F3"/>
            <w:vAlign w:val="center"/>
          </w:tcPr>
          <w:p>
            <w:pPr>
              <w:spacing w:before="20" w:after="20" w:line="260" w:lineRule="auto"/>
              <w:ind w:firstLine="0"/>
              <w:jc w:val="center"/>
            </w:pPr>
            <w:r>
              <w:rPr>
                <w:b/>
                <w:sz w:val="20"/>
                <w:szCs w:val="20"/>
              </w:rPr>
              <w:t xml:space="preserve">Độ rộng TB</w:t>
            </w:r>
          </w:p>
        </w:tc>
      </w:tr>
      <w:tr>
        <w:trPr>
          <w:cantSplit/>
        </w:trPr>
        <w:tc>
          <w:tcPr>
            <w:tcW w:type="dxa" w:w="2004"/>
            <w:vAlign w:val="center"/>
          </w:tcPr>
          <w:p>
            <w:pPr>
              <w:spacing w:before="20" w:after="20" w:line="260" w:lineRule="auto"/>
              <w:ind w:firstLine="0"/>
              <w:jc w:val="left"/>
            </w:pPr>
            <w:r>
              <w:rPr>
                <w:sz w:val="20"/>
                <w:szCs w:val="20"/>
              </w:rPr>
              <w:t xml:space="preserve">AUTOMOTIVE</w:t>
            </w:r>
          </w:p>
        </w:tc>
        <w:tc>
          <w:tcPr>
            <w:tcW w:type="dxa" w:w="1179"/>
            <w:vAlign w:val="center"/>
          </w:tcPr>
          <w:p>
            <w:pPr>
              <w:spacing w:before="20" w:after="20" w:line="260" w:lineRule="auto"/>
              <w:ind w:firstLine="0"/>
              <w:jc w:val="center"/>
            </w:pPr>
            <w:r>
              <w:rPr>
                <w:sz w:val="20"/>
                <w:szCs w:val="20"/>
              </w:rPr>
              <w:t xml:space="preserve">6.381</w:t>
            </w:r>
          </w:p>
        </w:tc>
        <w:tc>
          <w:tcPr>
            <w:tcW w:type="dxa" w:w="1179"/>
            <w:vAlign w:val="center"/>
          </w:tcPr>
          <w:p>
            <w:pPr>
              <w:spacing w:before="20" w:after="20" w:line="260" w:lineRule="auto"/>
              <w:ind w:firstLine="0"/>
              <w:jc w:val="center"/>
            </w:pPr>
            <w:r>
              <w:rPr>
                <w:sz w:val="20"/>
                <w:szCs w:val="20"/>
              </w:rPr>
              <w:t xml:space="preserve">4.296</w:t>
            </w:r>
          </w:p>
        </w:tc>
        <w:tc>
          <w:tcPr>
            <w:tcW w:type="dxa" w:w="1242"/>
            <w:vAlign w:val="center"/>
          </w:tcPr>
          <w:p>
            <w:pPr>
              <w:spacing w:before="20" w:after="20" w:line="260" w:lineRule="auto"/>
              <w:ind w:firstLine="0"/>
              <w:jc w:val="center"/>
            </w:pPr>
            <w:r>
              <w:rPr>
                <w:sz w:val="20"/>
                <w:szCs w:val="20"/>
              </w:rPr>
              <w:t xml:space="preserve">48,43%</w:t>
            </w:r>
          </w:p>
        </w:tc>
        <w:tc>
          <w:tcPr>
            <w:tcW w:type="dxa" w:w="1111"/>
            <w:vAlign w:val="center"/>
          </w:tcPr>
          <w:p>
            <w:pPr>
              <w:spacing w:before="20" w:after="20" w:line="260" w:lineRule="auto"/>
              <w:ind w:firstLine="0"/>
              <w:jc w:val="center"/>
            </w:pPr>
            <w:r>
              <w:rPr>
                <w:sz w:val="20"/>
                <w:szCs w:val="20"/>
              </w:rPr>
              <w:t xml:space="preserve">2,41</w:t>
            </w:r>
          </w:p>
        </w:tc>
        <w:tc>
          <w:tcPr>
            <w:tcW w:type="dxa" w:w="1111"/>
            <w:vAlign w:val="center"/>
          </w:tcPr>
          <w:p>
            <w:pPr>
              <w:spacing w:before="20" w:after="20" w:line="260" w:lineRule="auto"/>
              <w:ind w:firstLine="0"/>
              <w:jc w:val="center"/>
            </w:pPr>
            <w:r>
              <w:rPr>
                <w:sz w:val="20"/>
                <w:szCs w:val="20"/>
              </w:rPr>
              <w:t xml:space="preserve">87,38%</w:t>
            </w:r>
          </w:p>
        </w:tc>
        <w:tc>
          <w:tcPr>
            <w:tcW w:type="dxa" w:w="1245"/>
            <w:vAlign w:val="center"/>
          </w:tcPr>
          <w:p>
            <w:pPr>
              <w:spacing w:before="20" w:after="20" w:line="260" w:lineRule="auto"/>
              <w:ind w:firstLine="0"/>
              <w:jc w:val="center"/>
            </w:pPr>
            <w:r>
              <w:rPr>
                <w:sz w:val="20"/>
                <w:szCs w:val="20"/>
              </w:rPr>
              <w:t xml:space="preserve">12,442</w:t>
            </w:r>
          </w:p>
        </w:tc>
      </w:tr>
      <w:tr>
        <w:trPr>
          <w:cantSplit/>
        </w:trPr>
        <w:tc>
          <w:tcPr>
            <w:tcW w:type="dxa" w:w="2004"/>
            <w:vAlign w:val="center"/>
          </w:tcPr>
          <w:p>
            <w:pPr>
              <w:spacing w:before="20" w:after="20" w:line="260" w:lineRule="auto"/>
              <w:ind w:firstLine="0"/>
              <w:jc w:val="left"/>
            </w:pPr>
            <w:r>
              <w:rPr>
                <w:sz w:val="20"/>
                <w:szCs w:val="20"/>
              </w:rPr>
              <w:t xml:space="preserve">BABY CARE</w:t>
            </w:r>
          </w:p>
        </w:tc>
        <w:tc>
          <w:tcPr>
            <w:tcW w:type="dxa" w:w="1179"/>
            <w:vAlign w:val="center"/>
          </w:tcPr>
          <w:p>
            <w:pPr>
              <w:spacing w:before="20" w:after="20" w:line="260" w:lineRule="auto"/>
              <w:ind w:firstLine="0"/>
              <w:jc w:val="center"/>
            </w:pPr>
            <w:r>
              <w:rPr>
                <w:sz w:val="20"/>
                <w:szCs w:val="20"/>
              </w:rPr>
              <w:t xml:space="preserve">160</w:t>
            </w:r>
          </w:p>
        </w:tc>
        <w:tc>
          <w:tcPr>
            <w:tcW w:type="dxa" w:w="1179"/>
            <w:vAlign w:val="center"/>
          </w:tcPr>
          <w:p>
            <w:pPr>
              <w:spacing w:before="20" w:after="20" w:line="260" w:lineRule="auto"/>
              <w:ind w:firstLine="0"/>
              <w:jc w:val="center"/>
            </w:pPr>
            <w:r>
              <w:rPr>
                <w:sz w:val="20"/>
                <w:szCs w:val="20"/>
              </w:rPr>
              <w:t xml:space="preserve">1.092</w:t>
            </w:r>
          </w:p>
        </w:tc>
        <w:tc>
          <w:tcPr>
            <w:tcW w:type="dxa" w:w="1242"/>
            <w:vAlign w:val="center"/>
          </w:tcPr>
          <w:p>
            <w:pPr>
              <w:spacing w:before="20" w:after="20" w:line="260" w:lineRule="auto"/>
              <w:ind w:firstLine="0"/>
              <w:jc w:val="center"/>
            </w:pPr>
            <w:r>
              <w:rPr>
                <w:sz w:val="20"/>
                <w:szCs w:val="20"/>
              </w:rPr>
              <w:t xml:space="preserve">650,14%</w:t>
            </w:r>
          </w:p>
        </w:tc>
        <w:tc>
          <w:tcPr>
            <w:tcW w:type="dxa" w:w="1111"/>
            <w:vAlign w:val="center"/>
          </w:tcPr>
          <w:p>
            <w:pPr>
              <w:spacing w:before="20" w:after="20" w:line="260" w:lineRule="auto"/>
              <w:ind w:firstLine="0"/>
              <w:jc w:val="center"/>
            </w:pPr>
            <w:r>
              <w:rPr>
                <w:sz w:val="20"/>
                <w:szCs w:val="20"/>
              </w:rPr>
              <w:t xml:space="preserve">−1,08</w:t>
            </w:r>
          </w:p>
        </w:tc>
        <w:tc>
          <w:tcPr>
            <w:tcW w:type="dxa" w:w="1111"/>
            <w:vAlign w:val="center"/>
          </w:tcPr>
          <w:p>
            <w:pPr>
              <w:spacing w:before="20" w:after="20" w:line="260" w:lineRule="auto"/>
              <w:ind w:firstLine="0"/>
              <w:jc w:val="center"/>
            </w:pPr>
            <w:r>
              <w:rPr>
                <w:sz w:val="20"/>
                <w:szCs w:val="20"/>
              </w:rPr>
              <w:t xml:space="preserve">58,80%</w:t>
            </w:r>
          </w:p>
        </w:tc>
        <w:tc>
          <w:tcPr>
            <w:tcW w:type="dxa" w:w="1245"/>
            <w:vAlign w:val="center"/>
          </w:tcPr>
          <w:p>
            <w:pPr>
              <w:spacing w:before="20" w:after="20" w:line="260" w:lineRule="auto"/>
              <w:ind w:firstLine="0"/>
              <w:jc w:val="center"/>
            </w:pPr>
            <w:r>
              <w:rPr>
                <w:sz w:val="20"/>
                <w:szCs w:val="20"/>
              </w:rPr>
              <w:t xml:space="preserve">6,496</w:t>
            </w:r>
          </w:p>
        </w:tc>
      </w:tr>
      <w:tr>
        <w:trPr>
          <w:cantSplit/>
        </w:trPr>
        <w:tc>
          <w:tcPr>
            <w:tcW w:type="dxa" w:w="2004"/>
            <w:vAlign w:val="center"/>
          </w:tcPr>
          <w:p>
            <w:pPr>
              <w:spacing w:before="20" w:after="20" w:line="260" w:lineRule="auto"/>
              <w:ind w:firstLine="0"/>
              <w:jc w:val="left"/>
            </w:pPr>
            <w:r>
              <w:rPr>
                <w:sz w:val="20"/>
                <w:szCs w:val="20"/>
              </w:rPr>
              <w:t xml:space="preserve">BEAUTY</w:t>
            </w:r>
          </w:p>
        </w:tc>
        <w:tc>
          <w:tcPr>
            <w:tcW w:type="dxa" w:w="1179"/>
            <w:vAlign w:val="center"/>
          </w:tcPr>
          <w:p>
            <w:pPr>
              <w:spacing w:before="20" w:after="20" w:line="260" w:lineRule="auto"/>
              <w:ind w:firstLine="0"/>
              <w:jc w:val="center"/>
            </w:pPr>
            <w:r>
              <w:rPr>
                <w:sz w:val="20"/>
                <w:szCs w:val="20"/>
              </w:rPr>
              <w:t xml:space="preserve">5.757</w:t>
            </w:r>
          </w:p>
        </w:tc>
        <w:tc>
          <w:tcPr>
            <w:tcW w:type="dxa" w:w="1179"/>
            <w:vAlign w:val="center"/>
          </w:tcPr>
          <w:p>
            <w:pPr>
              <w:spacing w:before="20" w:after="20" w:line="260" w:lineRule="auto"/>
              <w:ind w:firstLine="0"/>
              <w:jc w:val="center"/>
            </w:pPr>
            <w:r>
              <w:rPr>
                <w:sz w:val="20"/>
                <w:szCs w:val="20"/>
              </w:rPr>
              <w:t xml:space="preserve">8.810</w:t>
            </w:r>
          </w:p>
        </w:tc>
        <w:tc>
          <w:tcPr>
            <w:tcW w:type="dxa" w:w="1242"/>
            <w:vAlign w:val="center"/>
          </w:tcPr>
          <w:p>
            <w:pPr>
              <w:spacing w:before="20" w:after="20" w:line="260" w:lineRule="auto"/>
              <w:ind w:firstLine="0"/>
              <w:jc w:val="center"/>
            </w:pPr>
            <w:r>
              <w:rPr>
                <w:sz w:val="20"/>
                <w:szCs w:val="20"/>
              </w:rPr>
              <w:t xml:space="preserve">73,34%</w:t>
            </w:r>
          </w:p>
        </w:tc>
        <w:tc>
          <w:tcPr>
            <w:tcW w:type="dxa" w:w="1111"/>
            <w:vAlign w:val="center"/>
          </w:tcPr>
          <w:p>
            <w:pPr>
              <w:spacing w:before="20" w:after="20" w:line="260" w:lineRule="auto"/>
              <w:ind w:firstLine="0"/>
              <w:jc w:val="center"/>
            </w:pPr>
            <w:r>
              <w:rPr>
                <w:sz w:val="20"/>
                <w:szCs w:val="20"/>
              </w:rPr>
              <w:t xml:space="preserve">−3,53</w:t>
            </w:r>
          </w:p>
        </w:tc>
        <w:tc>
          <w:tcPr>
            <w:tcW w:type="dxa" w:w="1111"/>
            <w:vAlign w:val="center"/>
          </w:tcPr>
          <w:p>
            <w:pPr>
              <w:spacing w:before="20" w:after="20" w:line="260" w:lineRule="auto"/>
              <w:ind w:firstLine="0"/>
              <w:jc w:val="center"/>
            </w:pPr>
            <w:r>
              <w:rPr>
                <w:sz w:val="20"/>
                <w:szCs w:val="20"/>
              </w:rPr>
              <w:t xml:space="preserve">74,65%</w:t>
            </w:r>
          </w:p>
        </w:tc>
        <w:tc>
          <w:tcPr>
            <w:tcW w:type="dxa" w:w="1245"/>
            <w:vAlign w:val="center"/>
          </w:tcPr>
          <w:p>
            <w:pPr>
              <w:spacing w:before="20" w:after="20" w:line="260" w:lineRule="auto"/>
              <w:ind w:firstLine="0"/>
              <w:jc w:val="center"/>
            </w:pPr>
            <w:r>
              <w:rPr>
                <w:sz w:val="20"/>
                <w:szCs w:val="20"/>
              </w:rPr>
              <w:t xml:space="preserve">17,787</w:t>
            </w:r>
          </w:p>
        </w:tc>
      </w:tr>
      <w:tr>
        <w:trPr>
          <w:cantSplit/>
        </w:trPr>
        <w:tc>
          <w:tcPr>
            <w:tcW w:type="dxa" w:w="2004"/>
            <w:vAlign w:val="center"/>
          </w:tcPr>
          <w:p>
            <w:pPr>
              <w:spacing w:before="20" w:after="20" w:line="260" w:lineRule="auto"/>
              <w:ind w:firstLine="0"/>
              <w:jc w:val="left"/>
            </w:pPr>
            <w:r>
              <w:rPr>
                <w:sz w:val="20"/>
                <w:szCs w:val="20"/>
              </w:rPr>
              <w:t xml:space="preserve">BEVERAGES</w:t>
            </w:r>
          </w:p>
        </w:tc>
        <w:tc>
          <w:tcPr>
            <w:tcW w:type="dxa" w:w="1179"/>
            <w:vAlign w:val="center"/>
          </w:tcPr>
          <w:p>
            <w:pPr>
              <w:spacing w:before="20" w:after="20" w:line="260" w:lineRule="auto"/>
              <w:ind w:firstLine="0"/>
              <w:jc w:val="center"/>
            </w:pPr>
            <w:r>
              <w:rPr>
                <w:sz w:val="20"/>
                <w:szCs w:val="20"/>
              </w:rPr>
              <w:t xml:space="preserve">3.005.407</w:t>
            </w:r>
          </w:p>
        </w:tc>
        <w:tc>
          <w:tcPr>
            <w:tcW w:type="dxa" w:w="1179"/>
            <w:vAlign w:val="center"/>
          </w:tcPr>
          <w:p>
            <w:pPr>
              <w:spacing w:before="20" w:after="20" w:line="260" w:lineRule="auto"/>
              <w:ind w:firstLine="0"/>
              <w:jc w:val="center"/>
            </w:pPr>
            <w:r>
              <w:rPr>
                <w:sz w:val="20"/>
                <w:szCs w:val="20"/>
              </w:rPr>
              <w:t xml:space="preserve">3.116.299</w:t>
            </w:r>
          </w:p>
        </w:tc>
        <w:tc>
          <w:tcPr>
            <w:tcW w:type="dxa" w:w="1242"/>
            <w:vAlign w:val="center"/>
          </w:tcPr>
          <w:p>
            <w:pPr>
              <w:spacing w:before="20" w:after="20" w:line="260" w:lineRule="auto"/>
              <w:ind w:firstLine="0"/>
              <w:jc w:val="center"/>
            </w:pPr>
            <w:r>
              <w:rPr>
                <w:sz w:val="20"/>
                <w:szCs w:val="20"/>
              </w:rPr>
              <w:t xml:space="preserve">15,89%</w:t>
            </w:r>
          </w:p>
        </w:tc>
        <w:tc>
          <w:tcPr>
            <w:tcW w:type="dxa" w:w="1111"/>
            <w:vAlign w:val="center"/>
          </w:tcPr>
          <w:p>
            <w:pPr>
              <w:spacing w:before="20" w:after="20" w:line="260" w:lineRule="auto"/>
              <w:ind w:firstLine="0"/>
              <w:jc w:val="center"/>
            </w:pPr>
            <w:r>
              <w:rPr>
                <w:sz w:val="20"/>
                <w:szCs w:val="20"/>
              </w:rPr>
              <w:t xml:space="preserve">−128,35</w:t>
            </w:r>
          </w:p>
        </w:tc>
        <w:tc>
          <w:tcPr>
            <w:tcW w:type="dxa" w:w="1111"/>
            <w:vAlign w:val="center"/>
          </w:tcPr>
          <w:p>
            <w:pPr>
              <w:spacing w:before="20" w:after="20" w:line="260" w:lineRule="auto"/>
              <w:ind w:firstLine="0"/>
              <w:jc w:val="center"/>
            </w:pPr>
            <w:r>
              <w:rPr>
                <w:sz w:val="20"/>
                <w:szCs w:val="20"/>
              </w:rPr>
              <w:t xml:space="preserve">60,53%</w:t>
            </w:r>
          </w:p>
        </w:tc>
        <w:tc>
          <w:tcPr>
            <w:tcW w:type="dxa" w:w="1245"/>
            <w:vAlign w:val="center"/>
          </w:tcPr>
          <w:p>
            <w:pPr>
              <w:spacing w:before="20" w:after="20" w:line="260" w:lineRule="auto"/>
              <w:ind w:firstLine="0"/>
              <w:jc w:val="center"/>
            </w:pPr>
            <w:r>
              <w:rPr>
                <w:sz w:val="20"/>
                <w:szCs w:val="20"/>
              </w:rPr>
              <w:t xml:space="preserve">1.138,480</w:t>
            </w:r>
          </w:p>
        </w:tc>
      </w:tr>
      <w:tr>
        <w:trPr>
          <w:cantSplit/>
        </w:trPr>
        <w:tc>
          <w:tcPr>
            <w:tcW w:type="dxa" w:w="2004"/>
            <w:vAlign w:val="center"/>
          </w:tcPr>
          <w:p>
            <w:pPr>
              <w:spacing w:before="20" w:after="20" w:line="260" w:lineRule="auto"/>
              <w:ind w:firstLine="0"/>
              <w:jc w:val="left"/>
            </w:pPr>
            <w:r>
              <w:rPr>
                <w:sz w:val="20"/>
                <w:szCs w:val="20"/>
              </w:rPr>
              <w:t xml:space="preserve">BOOKS</w:t>
            </w:r>
          </w:p>
        </w:tc>
        <w:tc>
          <w:tcPr>
            <w:tcW w:type="dxa" w:w="1179"/>
            <w:vAlign w:val="center"/>
          </w:tcPr>
          <w:p>
            <w:pPr>
              <w:spacing w:before="20" w:after="20" w:line="260" w:lineRule="auto"/>
              <w:ind w:firstLine="0"/>
              <w:jc w:val="center"/>
            </w:pPr>
            <w:r>
              <w:rPr>
                <w:sz w:val="20"/>
                <w:szCs w:val="20"/>
              </w:rPr>
              <w:t xml:space="preserve">9</w:t>
            </w:r>
          </w:p>
        </w:tc>
        <w:tc>
          <w:tcPr>
            <w:tcW w:type="dxa" w:w="1179"/>
            <w:vAlign w:val="center"/>
          </w:tcPr>
          <w:p>
            <w:pPr>
              <w:spacing w:before="20" w:after="20" w:line="260" w:lineRule="auto"/>
              <w:ind w:firstLine="0"/>
              <w:jc w:val="center"/>
            </w:pPr>
            <w:r>
              <w:rPr>
                <w:sz w:val="20"/>
                <w:szCs w:val="20"/>
              </w:rPr>
              <w:t xml:space="preserve">963</w:t>
            </w:r>
          </w:p>
        </w:tc>
        <w:tc>
          <w:tcPr>
            <w:tcW w:type="dxa" w:w="1242"/>
            <w:vAlign w:val="center"/>
          </w:tcPr>
          <w:p>
            <w:pPr>
              <w:spacing w:before="20" w:after="20" w:line="260" w:lineRule="auto"/>
              <w:ind w:firstLine="0"/>
              <w:jc w:val="center"/>
            </w:pPr>
            <w:r>
              <w:rPr>
                <w:sz w:val="20"/>
                <w:szCs w:val="20"/>
              </w:rPr>
              <w:t xml:space="preserve">10.654,83%</w:t>
            </w:r>
          </w:p>
        </w:tc>
        <w:tc>
          <w:tcPr>
            <w:tcW w:type="dxa" w:w="1111"/>
            <w:vAlign w:val="center"/>
          </w:tcPr>
          <w:p>
            <w:pPr>
              <w:spacing w:before="20" w:after="20" w:line="260" w:lineRule="auto"/>
              <w:ind w:firstLine="0"/>
              <w:jc w:val="center"/>
            </w:pPr>
            <w:r>
              <w:rPr>
                <w:sz w:val="20"/>
                <w:szCs w:val="20"/>
              </w:rPr>
              <w:t xml:space="preserve">−1,10</w:t>
            </w:r>
          </w:p>
        </w:tc>
        <w:tc>
          <w:tcPr>
            <w:tcW w:type="dxa" w:w="1111"/>
            <w:vAlign w:val="center"/>
          </w:tcPr>
          <w:p>
            <w:pPr>
              <w:spacing w:before="20" w:after="20" w:line="260" w:lineRule="auto"/>
              <w:ind w:firstLine="0"/>
              <w:jc w:val="center"/>
            </w:pPr>
            <w:r>
              <w:rPr>
                <w:sz w:val="20"/>
                <w:szCs w:val="20"/>
              </w:rPr>
              <w:t xml:space="preserve">53,12%</w:t>
            </w:r>
          </w:p>
        </w:tc>
        <w:tc>
          <w:tcPr>
            <w:tcW w:type="dxa" w:w="1245"/>
            <w:vAlign w:val="center"/>
          </w:tcPr>
          <w:p>
            <w:pPr>
              <w:spacing w:before="20" w:after="20" w:line="260" w:lineRule="auto"/>
              <w:ind w:firstLine="0"/>
              <w:jc w:val="center"/>
            </w:pPr>
            <w:r>
              <w:rPr>
                <w:sz w:val="20"/>
                <w:szCs w:val="20"/>
              </w:rPr>
              <w:t xml:space="preserve">6,264</w:t>
            </w:r>
          </w:p>
        </w:tc>
      </w:tr>
      <w:tr>
        <w:trPr>
          <w:cantSplit/>
        </w:trPr>
        <w:tc>
          <w:tcPr>
            <w:tcW w:type="dxa" w:w="2004"/>
            <w:vAlign w:val="center"/>
          </w:tcPr>
          <w:p>
            <w:pPr>
              <w:spacing w:before="20" w:after="20" w:line="260" w:lineRule="auto"/>
              <w:ind w:firstLine="0"/>
              <w:jc w:val="left"/>
            </w:pPr>
            <w:r>
              <w:rPr>
                <w:sz w:val="20"/>
                <w:szCs w:val="20"/>
              </w:rPr>
              <w:t xml:space="preserve">BREAD/BAKERY</w:t>
            </w:r>
          </w:p>
        </w:tc>
        <w:tc>
          <w:tcPr>
            <w:tcW w:type="dxa" w:w="1179"/>
            <w:vAlign w:val="center"/>
          </w:tcPr>
          <w:p>
            <w:pPr>
              <w:spacing w:before="20" w:after="20" w:line="260" w:lineRule="auto"/>
              <w:ind w:firstLine="0"/>
              <w:jc w:val="center"/>
            </w:pPr>
            <w:r>
              <w:rPr>
                <w:sz w:val="20"/>
                <w:szCs w:val="20"/>
              </w:rPr>
              <w:t xml:space="preserve">466.796</w:t>
            </w:r>
          </w:p>
        </w:tc>
        <w:tc>
          <w:tcPr>
            <w:tcW w:type="dxa" w:w="1179"/>
            <w:vAlign w:val="center"/>
          </w:tcPr>
          <w:p>
            <w:pPr>
              <w:spacing w:before="20" w:after="20" w:line="260" w:lineRule="auto"/>
              <w:ind w:firstLine="0"/>
              <w:jc w:val="center"/>
            </w:pPr>
            <w:r>
              <w:rPr>
                <w:sz w:val="20"/>
                <w:szCs w:val="20"/>
              </w:rPr>
              <w:t xml:space="preserve">489.567</w:t>
            </w:r>
          </w:p>
        </w:tc>
        <w:tc>
          <w:tcPr>
            <w:tcW w:type="dxa" w:w="1242"/>
            <w:vAlign w:val="center"/>
          </w:tcPr>
          <w:p>
            <w:pPr>
              <w:spacing w:before="20" w:after="20" w:line="260" w:lineRule="auto"/>
              <w:ind w:firstLine="0"/>
              <w:jc w:val="center"/>
            </w:pPr>
            <w:r>
              <w:rPr>
                <w:sz w:val="20"/>
                <w:szCs w:val="20"/>
              </w:rPr>
              <w:t xml:space="preserve">13,29%</w:t>
            </w:r>
          </w:p>
        </w:tc>
        <w:tc>
          <w:tcPr>
            <w:tcW w:type="dxa" w:w="1111"/>
            <w:vAlign w:val="center"/>
          </w:tcPr>
          <w:p>
            <w:pPr>
              <w:spacing w:before="20" w:after="20" w:line="260" w:lineRule="auto"/>
              <w:ind w:firstLine="0"/>
              <w:jc w:val="center"/>
            </w:pPr>
            <w:r>
              <w:rPr>
                <w:sz w:val="20"/>
                <w:szCs w:val="20"/>
              </w:rPr>
              <w:t xml:space="preserve">−26,36</w:t>
            </w:r>
          </w:p>
        </w:tc>
        <w:tc>
          <w:tcPr>
            <w:tcW w:type="dxa" w:w="1111"/>
            <w:vAlign w:val="center"/>
          </w:tcPr>
          <w:p>
            <w:pPr>
              <w:spacing w:before="20" w:after="20" w:line="260" w:lineRule="auto"/>
              <w:ind w:firstLine="0"/>
              <w:jc w:val="center"/>
            </w:pPr>
            <w:r>
              <w:rPr>
                <w:sz w:val="20"/>
                <w:szCs w:val="20"/>
              </w:rPr>
              <w:t xml:space="preserve">79,63%</w:t>
            </w:r>
          </w:p>
        </w:tc>
        <w:tc>
          <w:tcPr>
            <w:tcW w:type="dxa" w:w="1245"/>
            <w:vAlign w:val="center"/>
          </w:tcPr>
          <w:p>
            <w:pPr>
              <w:spacing w:before="20" w:after="20" w:line="260" w:lineRule="auto"/>
              <w:ind w:firstLine="0"/>
              <w:jc w:val="center"/>
            </w:pPr>
            <w:r>
              <w:rPr>
                <w:sz w:val="20"/>
                <w:szCs w:val="20"/>
              </w:rPr>
              <w:t xml:space="preserve">271,194</w:t>
            </w:r>
          </w:p>
        </w:tc>
      </w:tr>
      <w:tr>
        <w:trPr>
          <w:cantSplit/>
        </w:trPr>
        <w:tc>
          <w:tcPr>
            <w:tcW w:type="dxa" w:w="2004"/>
            <w:vAlign w:val="center"/>
          </w:tcPr>
          <w:p>
            <w:pPr>
              <w:spacing w:before="20" w:after="20" w:line="260" w:lineRule="auto"/>
              <w:ind w:firstLine="0"/>
              <w:jc w:val="left"/>
            </w:pPr>
            <w:r>
              <w:rPr>
                <w:sz w:val="20"/>
                <w:szCs w:val="20"/>
              </w:rPr>
              <w:t xml:space="preserve">CELEBRATION</w:t>
            </w:r>
          </w:p>
        </w:tc>
        <w:tc>
          <w:tcPr>
            <w:tcW w:type="dxa" w:w="1179"/>
            <w:vAlign w:val="center"/>
          </w:tcPr>
          <w:p>
            <w:pPr>
              <w:spacing w:before="20" w:after="20" w:line="260" w:lineRule="auto"/>
              <w:ind w:firstLine="0"/>
              <w:jc w:val="center"/>
            </w:pPr>
            <w:r>
              <w:rPr>
                <w:sz w:val="20"/>
                <w:szCs w:val="20"/>
              </w:rPr>
              <w:t xml:space="preserve">10.768</w:t>
            </w:r>
          </w:p>
        </w:tc>
        <w:tc>
          <w:tcPr>
            <w:tcW w:type="dxa" w:w="1179"/>
            <w:vAlign w:val="center"/>
          </w:tcPr>
          <w:p>
            <w:pPr>
              <w:spacing w:before="20" w:after="20" w:line="260" w:lineRule="auto"/>
              <w:ind w:firstLine="0"/>
              <w:jc w:val="center"/>
            </w:pPr>
            <w:r>
              <w:rPr>
                <w:sz w:val="20"/>
                <w:szCs w:val="20"/>
              </w:rPr>
              <w:t xml:space="preserve">10.402</w:t>
            </w:r>
          </w:p>
        </w:tc>
        <w:tc>
          <w:tcPr>
            <w:tcW w:type="dxa" w:w="1242"/>
            <w:vAlign w:val="center"/>
          </w:tcPr>
          <w:p>
            <w:pPr>
              <w:spacing w:before="20" w:after="20" w:line="260" w:lineRule="auto"/>
              <w:ind w:firstLine="0"/>
              <w:jc w:val="center"/>
            </w:pPr>
            <w:r>
              <w:rPr>
                <w:sz w:val="20"/>
                <w:szCs w:val="20"/>
              </w:rPr>
              <w:t xml:space="preserve">50,83%</w:t>
            </w:r>
          </w:p>
        </w:tc>
        <w:tc>
          <w:tcPr>
            <w:tcW w:type="dxa" w:w="1111"/>
            <w:vAlign w:val="center"/>
          </w:tcPr>
          <w:p>
            <w:pPr>
              <w:spacing w:before="20" w:after="20" w:line="260" w:lineRule="auto"/>
              <w:ind w:firstLine="0"/>
              <w:jc w:val="center"/>
            </w:pPr>
            <w:r>
              <w:rPr>
                <w:sz w:val="20"/>
                <w:szCs w:val="20"/>
              </w:rPr>
              <w:t xml:space="preserve">0,42</w:t>
            </w:r>
          </w:p>
        </w:tc>
        <w:tc>
          <w:tcPr>
            <w:tcW w:type="dxa" w:w="1111"/>
            <w:vAlign w:val="center"/>
          </w:tcPr>
          <w:p>
            <w:pPr>
              <w:spacing w:before="20" w:after="20" w:line="260" w:lineRule="auto"/>
              <w:ind w:firstLine="0"/>
              <w:jc w:val="center"/>
            </w:pPr>
            <w:r>
              <w:rPr>
                <w:sz w:val="20"/>
                <w:szCs w:val="20"/>
              </w:rPr>
              <w:t xml:space="preserve">82,18%</w:t>
            </w:r>
          </w:p>
        </w:tc>
        <w:tc>
          <w:tcPr>
            <w:tcW w:type="dxa" w:w="1245"/>
            <w:vAlign w:val="center"/>
          </w:tcPr>
          <w:p>
            <w:pPr>
              <w:spacing w:before="20" w:after="20" w:line="260" w:lineRule="auto"/>
              <w:ind w:firstLine="0"/>
              <w:jc w:val="center"/>
            </w:pPr>
            <w:r>
              <w:rPr>
                <w:sz w:val="20"/>
                <w:szCs w:val="20"/>
              </w:rPr>
              <w:t xml:space="preserve">19,673</w:t>
            </w:r>
          </w:p>
        </w:tc>
      </w:tr>
      <w:tr>
        <w:trPr>
          <w:cantSplit/>
        </w:trPr>
        <w:tc>
          <w:tcPr>
            <w:tcW w:type="dxa" w:w="2004"/>
            <w:vAlign w:val="center"/>
          </w:tcPr>
          <w:p>
            <w:pPr>
              <w:spacing w:before="20" w:after="20" w:line="260" w:lineRule="auto"/>
              <w:ind w:firstLine="0"/>
              <w:jc w:val="left"/>
            </w:pPr>
            <w:r>
              <w:rPr>
                <w:sz w:val="20"/>
                <w:szCs w:val="20"/>
              </w:rPr>
              <w:t xml:space="preserve">CLEANING</w:t>
            </w:r>
          </w:p>
        </w:tc>
        <w:tc>
          <w:tcPr>
            <w:tcW w:type="dxa" w:w="1179"/>
            <w:vAlign w:val="center"/>
          </w:tcPr>
          <w:p>
            <w:pPr>
              <w:spacing w:before="20" w:after="20" w:line="260" w:lineRule="auto"/>
              <w:ind w:firstLine="0"/>
              <w:jc w:val="center"/>
            </w:pPr>
            <w:r>
              <w:rPr>
                <w:sz w:val="20"/>
                <w:szCs w:val="20"/>
              </w:rPr>
              <w:t xml:space="preserve">1.065.243</w:t>
            </w:r>
          </w:p>
        </w:tc>
        <w:tc>
          <w:tcPr>
            <w:tcW w:type="dxa" w:w="1179"/>
            <w:vAlign w:val="center"/>
          </w:tcPr>
          <w:p>
            <w:pPr>
              <w:spacing w:before="20" w:after="20" w:line="260" w:lineRule="auto"/>
              <w:ind w:firstLine="0"/>
              <w:jc w:val="center"/>
            </w:pPr>
            <w:r>
              <w:rPr>
                <w:sz w:val="20"/>
                <w:szCs w:val="20"/>
              </w:rPr>
              <w:t xml:space="preserve">1.112.819</w:t>
            </w:r>
          </w:p>
        </w:tc>
        <w:tc>
          <w:tcPr>
            <w:tcW w:type="dxa" w:w="1242"/>
            <w:vAlign w:val="center"/>
          </w:tcPr>
          <w:p>
            <w:pPr>
              <w:spacing w:before="20" w:after="20" w:line="260" w:lineRule="auto"/>
              <w:ind w:firstLine="0"/>
              <w:jc w:val="center"/>
            </w:pPr>
            <w:r>
              <w:rPr>
                <w:sz w:val="20"/>
                <w:szCs w:val="20"/>
              </w:rPr>
              <w:t xml:space="preserve">21,99%</w:t>
            </w:r>
          </w:p>
        </w:tc>
        <w:tc>
          <w:tcPr>
            <w:tcW w:type="dxa" w:w="1111"/>
            <w:vAlign w:val="center"/>
          </w:tcPr>
          <w:p>
            <w:pPr>
              <w:spacing w:before="20" w:after="20" w:line="260" w:lineRule="auto"/>
              <w:ind w:firstLine="0"/>
              <w:jc w:val="center"/>
            </w:pPr>
            <w:r>
              <w:rPr>
                <w:sz w:val="20"/>
                <w:szCs w:val="20"/>
              </w:rPr>
              <w:t xml:space="preserve">−55,07</w:t>
            </w:r>
          </w:p>
        </w:tc>
        <w:tc>
          <w:tcPr>
            <w:tcW w:type="dxa" w:w="1111"/>
            <w:vAlign w:val="center"/>
          </w:tcPr>
          <w:p>
            <w:pPr>
              <w:spacing w:before="20" w:after="20" w:line="260" w:lineRule="auto"/>
              <w:ind w:firstLine="0"/>
              <w:jc w:val="center"/>
            </w:pPr>
            <w:r>
              <w:rPr>
                <w:sz w:val="20"/>
                <w:szCs w:val="20"/>
              </w:rPr>
              <w:t xml:space="preserve">60,88%</w:t>
            </w:r>
          </w:p>
        </w:tc>
        <w:tc>
          <w:tcPr>
            <w:tcW w:type="dxa" w:w="1245"/>
            <w:vAlign w:val="center"/>
          </w:tcPr>
          <w:p>
            <w:pPr>
              <w:spacing w:before="20" w:after="20" w:line="260" w:lineRule="auto"/>
              <w:ind w:firstLine="0"/>
              <w:jc w:val="center"/>
            </w:pPr>
            <w:r>
              <w:rPr>
                <w:sz w:val="20"/>
                <w:szCs w:val="20"/>
              </w:rPr>
              <w:t xml:space="preserve">655,948</w:t>
            </w:r>
          </w:p>
        </w:tc>
      </w:tr>
      <w:tr>
        <w:trPr>
          <w:cantSplit/>
        </w:trPr>
        <w:tc>
          <w:tcPr>
            <w:tcW w:type="dxa" w:w="2004"/>
            <w:vAlign w:val="center"/>
          </w:tcPr>
          <w:p>
            <w:pPr>
              <w:spacing w:before="20" w:after="20" w:line="260" w:lineRule="auto"/>
              <w:ind w:firstLine="0"/>
              <w:jc w:val="left"/>
            </w:pPr>
            <w:r>
              <w:rPr>
                <w:sz w:val="20"/>
                <w:szCs w:val="20"/>
              </w:rPr>
              <w:t xml:space="preserve">DAIRY</w:t>
            </w:r>
          </w:p>
        </w:tc>
        <w:tc>
          <w:tcPr>
            <w:tcW w:type="dxa" w:w="1179"/>
            <w:vAlign w:val="center"/>
          </w:tcPr>
          <w:p>
            <w:pPr>
              <w:spacing w:before="20" w:after="20" w:line="260" w:lineRule="auto"/>
              <w:ind w:firstLine="0"/>
              <w:jc w:val="center"/>
            </w:pPr>
            <w:r>
              <w:rPr>
                <w:sz w:val="20"/>
                <w:szCs w:val="20"/>
              </w:rPr>
              <w:t xml:space="preserve">721.034</w:t>
            </w:r>
          </w:p>
        </w:tc>
        <w:tc>
          <w:tcPr>
            <w:tcW w:type="dxa" w:w="1179"/>
            <w:vAlign w:val="center"/>
          </w:tcPr>
          <w:p>
            <w:pPr>
              <w:spacing w:before="20" w:after="20" w:line="260" w:lineRule="auto"/>
              <w:ind w:firstLine="0"/>
              <w:jc w:val="center"/>
            </w:pPr>
            <w:r>
              <w:rPr>
                <w:sz w:val="20"/>
                <w:szCs w:val="20"/>
              </w:rPr>
              <w:t xml:space="preserve">796.534</w:t>
            </w:r>
          </w:p>
        </w:tc>
        <w:tc>
          <w:tcPr>
            <w:tcW w:type="dxa" w:w="1242"/>
            <w:vAlign w:val="center"/>
          </w:tcPr>
          <w:p>
            <w:pPr>
              <w:spacing w:before="20" w:after="20" w:line="260" w:lineRule="auto"/>
              <w:ind w:firstLine="0"/>
              <w:jc w:val="center"/>
            </w:pPr>
            <w:r>
              <w:rPr>
                <w:sz w:val="20"/>
                <w:szCs w:val="20"/>
              </w:rPr>
              <w:t xml:space="preserve">13,39%</w:t>
            </w:r>
          </w:p>
        </w:tc>
        <w:tc>
          <w:tcPr>
            <w:tcW w:type="dxa" w:w="1111"/>
            <w:vAlign w:val="center"/>
          </w:tcPr>
          <w:p>
            <w:pPr>
              <w:spacing w:before="20" w:after="20" w:line="260" w:lineRule="auto"/>
              <w:ind w:firstLine="0"/>
              <w:jc w:val="center"/>
            </w:pPr>
            <w:r>
              <w:rPr>
                <w:sz w:val="20"/>
                <w:szCs w:val="20"/>
              </w:rPr>
              <w:t xml:space="preserve">−87,38</w:t>
            </w:r>
          </w:p>
        </w:tc>
        <w:tc>
          <w:tcPr>
            <w:tcW w:type="dxa" w:w="1111"/>
            <w:vAlign w:val="center"/>
          </w:tcPr>
          <w:p>
            <w:pPr>
              <w:spacing w:before="20" w:after="20" w:line="260" w:lineRule="auto"/>
              <w:ind w:firstLine="0"/>
              <w:jc w:val="center"/>
            </w:pPr>
            <w:r>
              <w:rPr>
                <w:sz w:val="20"/>
                <w:szCs w:val="20"/>
              </w:rPr>
              <w:t xml:space="preserve">77,66%</w:t>
            </w:r>
          </w:p>
        </w:tc>
        <w:tc>
          <w:tcPr>
            <w:tcW w:type="dxa" w:w="1245"/>
            <w:vAlign w:val="center"/>
          </w:tcPr>
          <w:p>
            <w:pPr>
              <w:spacing w:before="20" w:after="20" w:line="260" w:lineRule="auto"/>
              <w:ind w:firstLine="0"/>
              <w:jc w:val="center"/>
            </w:pPr>
            <w:r>
              <w:rPr>
                <w:sz w:val="20"/>
                <w:szCs w:val="20"/>
              </w:rPr>
              <w:t xml:space="preserve">440,643</w:t>
            </w:r>
          </w:p>
        </w:tc>
      </w:tr>
      <w:tr>
        <w:trPr>
          <w:cantSplit/>
        </w:trPr>
        <w:tc>
          <w:tcPr>
            <w:tcW w:type="dxa" w:w="2004"/>
            <w:vAlign w:val="center"/>
          </w:tcPr>
          <w:p>
            <w:pPr>
              <w:spacing w:before="20" w:after="20" w:line="260" w:lineRule="auto"/>
              <w:ind w:firstLine="0"/>
              <w:jc w:val="left"/>
            </w:pPr>
            <w:r>
              <w:rPr>
                <w:sz w:val="20"/>
                <w:szCs w:val="20"/>
              </w:rPr>
              <w:t xml:space="preserve">DELI</w:t>
            </w:r>
          </w:p>
        </w:tc>
        <w:tc>
          <w:tcPr>
            <w:tcW w:type="dxa" w:w="1179"/>
            <w:vAlign w:val="center"/>
          </w:tcPr>
          <w:p>
            <w:pPr>
              <w:spacing w:before="20" w:after="20" w:line="260" w:lineRule="auto"/>
              <w:ind w:firstLine="0"/>
              <w:jc w:val="center"/>
            </w:pPr>
            <w:r>
              <w:rPr>
                <w:sz w:val="20"/>
                <w:szCs w:val="20"/>
              </w:rPr>
              <w:t xml:space="preserve">261.903</w:t>
            </w:r>
          </w:p>
        </w:tc>
        <w:tc>
          <w:tcPr>
            <w:tcW w:type="dxa" w:w="1179"/>
            <w:vAlign w:val="center"/>
          </w:tcPr>
          <w:p>
            <w:pPr>
              <w:spacing w:before="20" w:after="20" w:line="260" w:lineRule="auto"/>
              <w:ind w:firstLine="0"/>
              <w:jc w:val="center"/>
            </w:pPr>
            <w:r>
              <w:rPr>
                <w:sz w:val="20"/>
                <w:szCs w:val="20"/>
              </w:rPr>
              <w:t xml:space="preserve">285.981</w:t>
            </w:r>
          </w:p>
        </w:tc>
        <w:tc>
          <w:tcPr>
            <w:tcW w:type="dxa" w:w="1242"/>
            <w:vAlign w:val="center"/>
          </w:tcPr>
          <w:p>
            <w:pPr>
              <w:spacing w:before="20" w:after="20" w:line="260" w:lineRule="auto"/>
              <w:ind w:firstLine="0"/>
              <w:jc w:val="center"/>
            </w:pPr>
            <w:r>
              <w:rPr>
                <w:sz w:val="20"/>
                <w:szCs w:val="20"/>
              </w:rPr>
              <w:t xml:space="preserve">14,69%</w:t>
            </w:r>
          </w:p>
        </w:tc>
        <w:tc>
          <w:tcPr>
            <w:tcW w:type="dxa" w:w="1111"/>
            <w:vAlign w:val="center"/>
          </w:tcPr>
          <w:p>
            <w:pPr>
              <w:spacing w:before="20" w:after="20" w:line="260" w:lineRule="auto"/>
              <w:ind w:firstLine="0"/>
              <w:jc w:val="center"/>
            </w:pPr>
            <w:r>
              <w:rPr>
                <w:sz w:val="20"/>
                <w:szCs w:val="20"/>
              </w:rPr>
              <w:t xml:space="preserve">−27,87</w:t>
            </w:r>
          </w:p>
        </w:tc>
        <w:tc>
          <w:tcPr>
            <w:tcW w:type="dxa" w:w="1111"/>
            <w:vAlign w:val="center"/>
          </w:tcPr>
          <w:p>
            <w:pPr>
              <w:spacing w:before="20" w:after="20" w:line="260" w:lineRule="auto"/>
              <w:ind w:firstLine="0"/>
              <w:jc w:val="center"/>
            </w:pPr>
            <w:r>
              <w:rPr>
                <w:sz w:val="20"/>
                <w:szCs w:val="20"/>
              </w:rPr>
              <w:t xml:space="preserve">78,36%</w:t>
            </w:r>
          </w:p>
        </w:tc>
        <w:tc>
          <w:tcPr>
            <w:tcW w:type="dxa" w:w="1245"/>
            <w:vAlign w:val="center"/>
          </w:tcPr>
          <w:p>
            <w:pPr>
              <w:spacing w:before="20" w:after="20" w:line="260" w:lineRule="auto"/>
              <w:ind w:firstLine="0"/>
              <w:jc w:val="center"/>
            </w:pPr>
            <w:r>
              <w:rPr>
                <w:sz w:val="20"/>
                <w:szCs w:val="20"/>
              </w:rPr>
              <w:t xml:space="preserve">152,831</w:t>
            </w:r>
          </w:p>
        </w:tc>
      </w:tr>
      <w:tr>
        <w:trPr>
          <w:cantSplit/>
        </w:trPr>
        <w:tc>
          <w:tcPr>
            <w:tcW w:type="dxa" w:w="2004"/>
            <w:vAlign w:val="center"/>
          </w:tcPr>
          <w:p>
            <w:pPr>
              <w:spacing w:before="20" w:after="20" w:line="260" w:lineRule="auto"/>
              <w:ind w:firstLine="0"/>
              <w:jc w:val="left"/>
            </w:pPr>
            <w:r>
              <w:rPr>
                <w:sz w:val="20"/>
                <w:szCs w:val="20"/>
              </w:rPr>
              <w:t xml:space="preserve">EGGS</w:t>
            </w:r>
          </w:p>
        </w:tc>
        <w:tc>
          <w:tcPr>
            <w:tcW w:type="dxa" w:w="1179"/>
            <w:vAlign w:val="center"/>
          </w:tcPr>
          <w:p>
            <w:pPr>
              <w:spacing w:before="20" w:after="20" w:line="260" w:lineRule="auto"/>
              <w:ind w:firstLine="0"/>
              <w:jc w:val="center"/>
            </w:pPr>
            <w:r>
              <w:rPr>
                <w:sz w:val="20"/>
                <w:szCs w:val="20"/>
              </w:rPr>
              <w:t xml:space="preserve">172.529</w:t>
            </w:r>
          </w:p>
        </w:tc>
        <w:tc>
          <w:tcPr>
            <w:tcW w:type="dxa" w:w="1179"/>
            <w:vAlign w:val="center"/>
          </w:tcPr>
          <w:p>
            <w:pPr>
              <w:spacing w:before="20" w:after="20" w:line="260" w:lineRule="auto"/>
              <w:ind w:firstLine="0"/>
              <w:jc w:val="center"/>
            </w:pPr>
            <w:r>
              <w:rPr>
                <w:sz w:val="20"/>
                <w:szCs w:val="20"/>
              </w:rPr>
              <w:t xml:space="preserve">176.471</w:t>
            </w:r>
          </w:p>
        </w:tc>
        <w:tc>
          <w:tcPr>
            <w:tcW w:type="dxa" w:w="1242"/>
            <w:vAlign w:val="center"/>
          </w:tcPr>
          <w:p>
            <w:pPr>
              <w:spacing w:before="20" w:after="20" w:line="260" w:lineRule="auto"/>
              <w:ind w:firstLine="0"/>
              <w:jc w:val="center"/>
            </w:pPr>
            <w:r>
              <w:rPr>
                <w:sz w:val="20"/>
                <w:szCs w:val="20"/>
              </w:rPr>
              <w:t xml:space="preserve">18,96%</w:t>
            </w:r>
          </w:p>
        </w:tc>
        <w:tc>
          <w:tcPr>
            <w:tcW w:type="dxa" w:w="1111"/>
            <w:vAlign w:val="center"/>
          </w:tcPr>
          <w:p>
            <w:pPr>
              <w:spacing w:before="20" w:after="20" w:line="260" w:lineRule="auto"/>
              <w:ind w:firstLine="0"/>
              <w:jc w:val="center"/>
            </w:pPr>
            <w:r>
              <w:rPr>
                <w:sz w:val="20"/>
                <w:szCs w:val="20"/>
              </w:rPr>
              <w:t xml:space="preserve">−4,56</w:t>
            </w:r>
          </w:p>
        </w:tc>
        <w:tc>
          <w:tcPr>
            <w:tcW w:type="dxa" w:w="1111"/>
            <w:vAlign w:val="center"/>
          </w:tcPr>
          <w:p>
            <w:pPr>
              <w:spacing w:before="20" w:after="20" w:line="260" w:lineRule="auto"/>
              <w:ind w:firstLine="0"/>
              <w:jc w:val="center"/>
            </w:pPr>
            <w:r>
              <w:rPr>
                <w:sz w:val="20"/>
                <w:szCs w:val="20"/>
              </w:rPr>
              <w:t xml:space="preserve">75,58%</w:t>
            </w:r>
          </w:p>
        </w:tc>
        <w:tc>
          <w:tcPr>
            <w:tcW w:type="dxa" w:w="1245"/>
            <w:vAlign w:val="center"/>
          </w:tcPr>
          <w:p>
            <w:pPr>
              <w:spacing w:before="20" w:after="20" w:line="260" w:lineRule="auto"/>
              <w:ind w:firstLine="0"/>
              <w:jc w:val="center"/>
            </w:pPr>
            <w:r>
              <w:rPr>
                <w:sz w:val="20"/>
                <w:szCs w:val="20"/>
              </w:rPr>
              <w:t xml:space="preserve">108,830</w:t>
            </w:r>
          </w:p>
        </w:tc>
      </w:tr>
      <w:tr>
        <w:trPr>
          <w:cantSplit/>
        </w:trPr>
        <w:tc>
          <w:tcPr>
            <w:tcW w:type="dxa" w:w="2004"/>
            <w:vAlign w:val="center"/>
          </w:tcPr>
          <w:p>
            <w:pPr>
              <w:spacing w:before="20" w:after="20" w:line="260" w:lineRule="auto"/>
              <w:ind w:firstLine="0"/>
              <w:jc w:val="left"/>
            </w:pPr>
            <w:r>
              <w:rPr>
                <w:sz w:val="20"/>
                <w:szCs w:val="20"/>
              </w:rPr>
              <w:t xml:space="preserve">FROZEN FOODS</w:t>
            </w:r>
          </w:p>
        </w:tc>
        <w:tc>
          <w:tcPr>
            <w:tcW w:type="dxa" w:w="1179"/>
            <w:vAlign w:val="center"/>
          </w:tcPr>
          <w:p>
            <w:pPr>
              <w:spacing w:before="20" w:after="20" w:line="260" w:lineRule="auto"/>
              <w:ind w:firstLine="0"/>
              <w:jc w:val="center"/>
            </w:pPr>
            <w:r>
              <w:rPr>
                <w:sz w:val="20"/>
                <w:szCs w:val="20"/>
              </w:rPr>
              <w:t xml:space="preserve">110.014</w:t>
            </w:r>
          </w:p>
        </w:tc>
        <w:tc>
          <w:tcPr>
            <w:tcW w:type="dxa" w:w="1179"/>
            <w:vAlign w:val="center"/>
          </w:tcPr>
          <w:p>
            <w:pPr>
              <w:spacing w:before="20" w:after="20" w:line="260" w:lineRule="auto"/>
              <w:ind w:firstLine="0"/>
              <w:jc w:val="center"/>
            </w:pPr>
            <w:r>
              <w:rPr>
                <w:sz w:val="20"/>
                <w:szCs w:val="20"/>
              </w:rPr>
              <w:t xml:space="preserve">114.244</w:t>
            </w:r>
          </w:p>
        </w:tc>
        <w:tc>
          <w:tcPr>
            <w:tcW w:type="dxa" w:w="1242"/>
            <w:vAlign w:val="center"/>
          </w:tcPr>
          <w:p>
            <w:pPr>
              <w:spacing w:before="20" w:after="20" w:line="260" w:lineRule="auto"/>
              <w:ind w:firstLine="0"/>
              <w:jc w:val="center"/>
            </w:pPr>
            <w:r>
              <w:rPr>
                <w:sz w:val="20"/>
                <w:szCs w:val="20"/>
              </w:rPr>
              <w:t xml:space="preserve">19,92%</w:t>
            </w:r>
          </w:p>
        </w:tc>
        <w:tc>
          <w:tcPr>
            <w:tcW w:type="dxa" w:w="1111"/>
            <w:vAlign w:val="center"/>
          </w:tcPr>
          <w:p>
            <w:pPr>
              <w:spacing w:before="20" w:after="20" w:line="260" w:lineRule="auto"/>
              <w:ind w:firstLine="0"/>
              <w:jc w:val="center"/>
            </w:pPr>
            <w:r>
              <w:rPr>
                <w:sz w:val="20"/>
                <w:szCs w:val="20"/>
              </w:rPr>
              <w:t xml:space="preserve">−4,90</w:t>
            </w:r>
          </w:p>
        </w:tc>
        <w:tc>
          <w:tcPr>
            <w:tcW w:type="dxa" w:w="1111"/>
            <w:vAlign w:val="center"/>
          </w:tcPr>
          <w:p>
            <w:pPr>
              <w:spacing w:before="20" w:after="20" w:line="260" w:lineRule="auto"/>
              <w:ind w:firstLine="0"/>
              <w:jc w:val="center"/>
            </w:pPr>
            <w:r>
              <w:rPr>
                <w:sz w:val="20"/>
                <w:szCs w:val="20"/>
              </w:rPr>
              <w:t xml:space="preserve">81,02%</w:t>
            </w:r>
          </w:p>
        </w:tc>
        <w:tc>
          <w:tcPr>
            <w:tcW w:type="dxa" w:w="1245"/>
            <w:vAlign w:val="center"/>
          </w:tcPr>
          <w:p>
            <w:pPr>
              <w:spacing w:before="20" w:after="20" w:line="260" w:lineRule="auto"/>
              <w:ind w:firstLine="0"/>
              <w:jc w:val="center"/>
            </w:pPr>
            <w:r>
              <w:rPr>
                <w:sz w:val="20"/>
                <w:szCs w:val="20"/>
              </w:rPr>
              <w:t xml:space="preserve">79,847</w:t>
            </w:r>
          </w:p>
        </w:tc>
      </w:tr>
      <w:tr>
        <w:trPr>
          <w:cantSplit/>
        </w:trPr>
        <w:tc>
          <w:tcPr>
            <w:tcW w:type="dxa" w:w="2004"/>
            <w:vAlign w:val="center"/>
          </w:tcPr>
          <w:p>
            <w:pPr>
              <w:spacing w:before="20" w:after="20" w:line="260" w:lineRule="auto"/>
              <w:ind w:firstLine="0"/>
              <w:jc w:val="left"/>
            </w:pPr>
            <w:r>
              <w:rPr>
                <w:sz w:val="20"/>
                <w:szCs w:val="20"/>
              </w:rPr>
              <w:t xml:space="preserve">GROCERY I</w:t>
            </w:r>
          </w:p>
        </w:tc>
        <w:tc>
          <w:tcPr>
            <w:tcW w:type="dxa" w:w="1179"/>
            <w:vAlign w:val="center"/>
          </w:tcPr>
          <w:p>
            <w:pPr>
              <w:spacing w:before="20" w:after="20" w:line="260" w:lineRule="auto"/>
              <w:ind w:firstLine="0"/>
              <w:jc w:val="center"/>
            </w:pPr>
            <w:r>
              <w:rPr>
                <w:sz w:val="20"/>
                <w:szCs w:val="20"/>
              </w:rPr>
              <w:t xml:space="preserve">3.980.412</w:t>
            </w:r>
          </w:p>
        </w:tc>
        <w:tc>
          <w:tcPr>
            <w:tcW w:type="dxa" w:w="1179"/>
            <w:vAlign w:val="center"/>
          </w:tcPr>
          <w:p>
            <w:pPr>
              <w:spacing w:before="20" w:after="20" w:line="260" w:lineRule="auto"/>
              <w:ind w:firstLine="0"/>
              <w:jc w:val="center"/>
            </w:pPr>
            <w:r>
              <w:rPr>
                <w:sz w:val="20"/>
                <w:szCs w:val="20"/>
              </w:rPr>
              <w:t xml:space="preserve">4.042.554</w:t>
            </w:r>
          </w:p>
        </w:tc>
        <w:tc>
          <w:tcPr>
            <w:tcW w:type="dxa" w:w="1242"/>
            <w:vAlign w:val="center"/>
          </w:tcPr>
          <w:p>
            <w:pPr>
              <w:spacing w:before="20" w:after="20" w:line="260" w:lineRule="auto"/>
              <w:ind w:firstLine="0"/>
              <w:jc w:val="center"/>
            </w:pPr>
            <w:r>
              <w:rPr>
                <w:sz w:val="20"/>
                <w:szCs w:val="20"/>
              </w:rPr>
              <w:t xml:space="preserve">10,56%</w:t>
            </w:r>
          </w:p>
        </w:tc>
        <w:tc>
          <w:tcPr>
            <w:tcW w:type="dxa" w:w="1111"/>
            <w:vAlign w:val="center"/>
          </w:tcPr>
          <w:p>
            <w:pPr>
              <w:spacing w:before="20" w:after="20" w:line="260" w:lineRule="auto"/>
              <w:ind w:firstLine="0"/>
              <w:jc w:val="center"/>
            </w:pPr>
            <w:r>
              <w:rPr>
                <w:sz w:val="20"/>
                <w:szCs w:val="20"/>
              </w:rPr>
              <w:t xml:space="preserve">−71,92</w:t>
            </w:r>
          </w:p>
        </w:tc>
        <w:tc>
          <w:tcPr>
            <w:tcW w:type="dxa" w:w="1111"/>
            <w:vAlign w:val="center"/>
          </w:tcPr>
          <w:p>
            <w:pPr>
              <w:spacing w:before="20" w:after="20" w:line="260" w:lineRule="auto"/>
              <w:ind w:firstLine="0"/>
              <w:jc w:val="center"/>
            </w:pPr>
            <w:r>
              <w:rPr>
                <w:sz w:val="20"/>
                <w:szCs w:val="20"/>
              </w:rPr>
              <w:t xml:space="preserve">67,36%</w:t>
            </w:r>
          </w:p>
        </w:tc>
        <w:tc>
          <w:tcPr>
            <w:tcW w:type="dxa" w:w="1245"/>
            <w:vAlign w:val="center"/>
          </w:tcPr>
          <w:p>
            <w:pPr>
              <w:spacing w:before="20" w:after="20" w:line="260" w:lineRule="auto"/>
              <w:ind w:firstLine="0"/>
              <w:jc w:val="center"/>
            </w:pPr>
            <w:r>
              <w:rPr>
                <w:sz w:val="20"/>
                <w:szCs w:val="20"/>
              </w:rPr>
              <w:t xml:space="preserve">1.170,756</w:t>
            </w:r>
          </w:p>
        </w:tc>
      </w:tr>
      <w:tr>
        <w:trPr>
          <w:cantSplit/>
        </w:trPr>
        <w:tc>
          <w:tcPr>
            <w:tcW w:type="dxa" w:w="2004"/>
            <w:vAlign w:val="center"/>
          </w:tcPr>
          <w:p>
            <w:pPr>
              <w:spacing w:before="20" w:after="20" w:line="260" w:lineRule="auto"/>
              <w:ind w:firstLine="0"/>
              <w:jc w:val="left"/>
            </w:pPr>
            <w:r>
              <w:rPr>
                <w:sz w:val="20"/>
                <w:szCs w:val="20"/>
              </w:rPr>
              <w:t xml:space="preserve">GROCERY II</w:t>
            </w:r>
          </w:p>
        </w:tc>
        <w:tc>
          <w:tcPr>
            <w:tcW w:type="dxa" w:w="1179"/>
            <w:vAlign w:val="center"/>
          </w:tcPr>
          <w:p>
            <w:pPr>
              <w:spacing w:before="20" w:after="20" w:line="260" w:lineRule="auto"/>
              <w:ind w:firstLine="0"/>
              <w:jc w:val="center"/>
            </w:pPr>
            <w:r>
              <w:rPr>
                <w:sz w:val="20"/>
                <w:szCs w:val="20"/>
              </w:rPr>
              <w:t xml:space="preserve">25.031</w:t>
            </w:r>
          </w:p>
        </w:tc>
        <w:tc>
          <w:tcPr>
            <w:tcW w:type="dxa" w:w="1179"/>
            <w:vAlign w:val="center"/>
          </w:tcPr>
          <w:p>
            <w:pPr>
              <w:spacing w:before="20" w:after="20" w:line="260" w:lineRule="auto"/>
              <w:ind w:firstLine="0"/>
              <w:jc w:val="center"/>
            </w:pPr>
            <w:r>
              <w:rPr>
                <w:sz w:val="20"/>
                <w:szCs w:val="20"/>
              </w:rPr>
              <w:t xml:space="preserve">27.771</w:t>
            </w:r>
          </w:p>
        </w:tc>
        <w:tc>
          <w:tcPr>
            <w:tcW w:type="dxa" w:w="1242"/>
            <w:vAlign w:val="center"/>
          </w:tcPr>
          <w:p>
            <w:pPr>
              <w:spacing w:before="20" w:after="20" w:line="260" w:lineRule="auto"/>
              <w:ind w:firstLine="0"/>
              <w:jc w:val="center"/>
            </w:pPr>
            <w:r>
              <w:rPr>
                <w:sz w:val="20"/>
                <w:szCs w:val="20"/>
              </w:rPr>
              <w:t xml:space="preserve">41,93%</w:t>
            </w:r>
          </w:p>
        </w:tc>
        <w:tc>
          <w:tcPr>
            <w:tcW w:type="dxa" w:w="1111"/>
            <w:vAlign w:val="center"/>
          </w:tcPr>
          <w:p>
            <w:pPr>
              <w:spacing w:before="20" w:after="20" w:line="260" w:lineRule="auto"/>
              <w:ind w:firstLine="0"/>
              <w:jc w:val="center"/>
            </w:pPr>
            <w:r>
              <w:rPr>
                <w:sz w:val="20"/>
                <w:szCs w:val="20"/>
              </w:rPr>
              <w:t xml:space="preserve">−3,17</w:t>
            </w:r>
          </w:p>
        </w:tc>
        <w:tc>
          <w:tcPr>
            <w:tcW w:type="dxa" w:w="1111"/>
            <w:vAlign w:val="center"/>
          </w:tcPr>
          <w:p>
            <w:pPr>
              <w:spacing w:before="20" w:after="20" w:line="260" w:lineRule="auto"/>
              <w:ind w:firstLine="0"/>
              <w:jc w:val="center"/>
            </w:pPr>
            <w:r>
              <w:rPr>
                <w:sz w:val="20"/>
                <w:szCs w:val="20"/>
              </w:rPr>
              <w:t xml:space="preserve">73,96%</w:t>
            </w:r>
          </w:p>
        </w:tc>
        <w:tc>
          <w:tcPr>
            <w:tcW w:type="dxa" w:w="1245"/>
            <w:vAlign w:val="center"/>
          </w:tcPr>
          <w:p>
            <w:pPr>
              <w:spacing w:before="20" w:after="20" w:line="260" w:lineRule="auto"/>
              <w:ind w:firstLine="0"/>
              <w:jc w:val="center"/>
            </w:pPr>
            <w:r>
              <w:rPr>
                <w:sz w:val="20"/>
                <w:szCs w:val="20"/>
              </w:rPr>
              <w:t xml:space="preserve">32,807</w:t>
            </w:r>
          </w:p>
        </w:tc>
      </w:tr>
      <w:tr>
        <w:trPr>
          <w:cantSplit/>
        </w:trPr>
        <w:tc>
          <w:tcPr>
            <w:tcW w:type="dxa" w:w="2004"/>
            <w:vAlign w:val="center"/>
          </w:tcPr>
          <w:p>
            <w:pPr>
              <w:spacing w:before="20" w:after="20" w:line="260" w:lineRule="auto"/>
              <w:ind w:firstLine="0"/>
              <w:jc w:val="left"/>
            </w:pPr>
            <w:r>
              <w:rPr>
                <w:sz w:val="20"/>
                <w:szCs w:val="20"/>
              </w:rPr>
              <w:t xml:space="preserve">HARDWARE</w:t>
            </w:r>
          </w:p>
        </w:tc>
        <w:tc>
          <w:tcPr>
            <w:tcW w:type="dxa" w:w="1179"/>
            <w:vAlign w:val="center"/>
          </w:tcPr>
          <w:p>
            <w:pPr>
              <w:spacing w:before="20" w:after="20" w:line="260" w:lineRule="auto"/>
              <w:ind w:firstLine="0"/>
              <w:jc w:val="center"/>
            </w:pPr>
            <w:r>
              <w:rPr>
                <w:sz w:val="20"/>
                <w:szCs w:val="20"/>
              </w:rPr>
              <w:t xml:space="preserve">1.252</w:t>
            </w:r>
          </w:p>
        </w:tc>
        <w:tc>
          <w:tcPr>
            <w:tcW w:type="dxa" w:w="1179"/>
            <w:vAlign w:val="center"/>
          </w:tcPr>
          <w:p>
            <w:pPr>
              <w:spacing w:before="20" w:after="20" w:line="260" w:lineRule="auto"/>
              <w:ind w:firstLine="0"/>
              <w:jc w:val="center"/>
            </w:pPr>
            <w:r>
              <w:rPr>
                <w:sz w:val="20"/>
                <w:szCs w:val="20"/>
              </w:rPr>
              <w:t xml:space="preserve">1.365</w:t>
            </w:r>
          </w:p>
        </w:tc>
        <w:tc>
          <w:tcPr>
            <w:tcW w:type="dxa" w:w="1242"/>
            <w:vAlign w:val="center"/>
          </w:tcPr>
          <w:p>
            <w:pPr>
              <w:spacing w:before="20" w:after="20" w:line="260" w:lineRule="auto"/>
              <w:ind w:firstLine="0"/>
              <w:jc w:val="center"/>
            </w:pPr>
            <w:r>
              <w:rPr>
                <w:sz w:val="20"/>
                <w:szCs w:val="20"/>
              </w:rPr>
              <w:t xml:space="preserve">91,59%</w:t>
            </w:r>
          </w:p>
        </w:tc>
        <w:tc>
          <w:tcPr>
            <w:tcW w:type="dxa" w:w="1111"/>
            <w:vAlign w:val="center"/>
          </w:tcPr>
          <w:p>
            <w:pPr>
              <w:spacing w:before="20" w:after="20" w:line="260" w:lineRule="auto"/>
              <w:ind w:firstLine="0"/>
              <w:jc w:val="center"/>
            </w:pPr>
            <w:r>
              <w:rPr>
                <w:sz w:val="20"/>
                <w:szCs w:val="20"/>
              </w:rPr>
              <w:t xml:space="preserve">−0,13</w:t>
            </w:r>
          </w:p>
        </w:tc>
        <w:tc>
          <w:tcPr>
            <w:tcW w:type="dxa" w:w="1111"/>
            <w:vAlign w:val="center"/>
          </w:tcPr>
          <w:p>
            <w:pPr>
              <w:spacing w:before="20" w:after="20" w:line="260" w:lineRule="auto"/>
              <w:ind w:firstLine="0"/>
              <w:jc w:val="center"/>
            </w:pPr>
            <w:r>
              <w:rPr>
                <w:sz w:val="20"/>
                <w:szCs w:val="20"/>
              </w:rPr>
              <w:t xml:space="preserve">78,24%</w:t>
            </w:r>
          </w:p>
        </w:tc>
        <w:tc>
          <w:tcPr>
            <w:tcW w:type="dxa" w:w="1245"/>
            <w:vAlign w:val="center"/>
          </w:tcPr>
          <w:p>
            <w:pPr>
              <w:spacing w:before="20" w:after="20" w:line="260" w:lineRule="auto"/>
              <w:ind w:firstLine="0"/>
              <w:jc w:val="center"/>
            </w:pPr>
            <w:r>
              <w:rPr>
                <w:sz w:val="20"/>
                <w:szCs w:val="20"/>
              </w:rPr>
              <w:t xml:space="preserve">7,321</w:t>
            </w:r>
          </w:p>
        </w:tc>
      </w:tr>
      <w:tr>
        <w:trPr>
          <w:cantSplit/>
        </w:trPr>
        <w:tc>
          <w:tcPr>
            <w:tcW w:type="dxa" w:w="2004"/>
            <w:vAlign w:val="center"/>
          </w:tcPr>
          <w:p>
            <w:pPr>
              <w:spacing w:before="20" w:after="20" w:line="260" w:lineRule="auto"/>
              <w:ind w:firstLine="0"/>
              <w:jc w:val="left"/>
            </w:pPr>
            <w:r>
              <w:rPr>
                <w:sz w:val="20"/>
                <w:szCs w:val="20"/>
              </w:rPr>
              <w:t xml:space="preserve">HOME AND KITCHEN I</w:t>
            </w:r>
          </w:p>
        </w:tc>
        <w:tc>
          <w:tcPr>
            <w:tcW w:type="dxa" w:w="1179"/>
            <w:vAlign w:val="center"/>
          </w:tcPr>
          <w:p>
            <w:pPr>
              <w:spacing w:before="20" w:after="20" w:line="260" w:lineRule="auto"/>
              <w:ind w:firstLine="0"/>
              <w:jc w:val="center"/>
            </w:pPr>
            <w:r>
              <w:rPr>
                <w:sz w:val="20"/>
                <w:szCs w:val="20"/>
              </w:rPr>
              <w:t xml:space="preserve">27.020</w:t>
            </w:r>
          </w:p>
        </w:tc>
        <w:tc>
          <w:tcPr>
            <w:tcW w:type="dxa" w:w="1179"/>
            <w:vAlign w:val="center"/>
          </w:tcPr>
          <w:p>
            <w:pPr>
              <w:spacing w:before="20" w:after="20" w:line="260" w:lineRule="auto"/>
              <w:ind w:firstLine="0"/>
              <w:jc w:val="center"/>
            </w:pPr>
            <w:r>
              <w:rPr>
                <w:sz w:val="20"/>
                <w:szCs w:val="20"/>
              </w:rPr>
              <w:t xml:space="preserve">29.185</w:t>
            </w:r>
          </w:p>
        </w:tc>
        <w:tc>
          <w:tcPr>
            <w:tcW w:type="dxa" w:w="1242"/>
            <w:vAlign w:val="center"/>
          </w:tcPr>
          <w:p>
            <w:pPr>
              <w:spacing w:before="20" w:after="20" w:line="260" w:lineRule="auto"/>
              <w:ind w:firstLine="0"/>
              <w:jc w:val="center"/>
            </w:pPr>
            <w:r>
              <w:rPr>
                <w:sz w:val="20"/>
                <w:szCs w:val="20"/>
              </w:rPr>
              <w:t xml:space="preserve">41,44%</w:t>
            </w:r>
          </w:p>
        </w:tc>
        <w:tc>
          <w:tcPr>
            <w:tcW w:type="dxa" w:w="1111"/>
            <w:vAlign w:val="center"/>
          </w:tcPr>
          <w:p>
            <w:pPr>
              <w:spacing w:before="20" w:after="20" w:line="260" w:lineRule="auto"/>
              <w:ind w:firstLine="0"/>
              <w:jc w:val="center"/>
            </w:pPr>
            <w:r>
              <w:rPr>
                <w:sz w:val="20"/>
                <w:szCs w:val="20"/>
              </w:rPr>
              <w:t xml:space="preserve">−2,51</w:t>
            </w:r>
          </w:p>
        </w:tc>
        <w:tc>
          <w:tcPr>
            <w:tcW w:type="dxa" w:w="1111"/>
            <w:vAlign w:val="center"/>
          </w:tcPr>
          <w:p>
            <w:pPr>
              <w:spacing w:before="20" w:after="20" w:line="260" w:lineRule="auto"/>
              <w:ind w:firstLine="0"/>
              <w:jc w:val="center"/>
            </w:pPr>
            <w:r>
              <w:rPr>
                <w:sz w:val="20"/>
                <w:szCs w:val="20"/>
              </w:rPr>
              <w:t xml:space="preserve">77,78%</w:t>
            </w:r>
          </w:p>
        </w:tc>
        <w:tc>
          <w:tcPr>
            <w:tcW w:type="dxa" w:w="1245"/>
            <w:vAlign w:val="center"/>
          </w:tcPr>
          <w:p>
            <w:pPr>
              <w:spacing w:before="20" w:after="20" w:line="260" w:lineRule="auto"/>
              <w:ind w:firstLine="0"/>
              <w:jc w:val="center"/>
            </w:pPr>
            <w:r>
              <w:rPr>
                <w:sz w:val="20"/>
                <w:szCs w:val="20"/>
              </w:rPr>
              <w:t xml:space="preserve">35,086</w:t>
            </w:r>
          </w:p>
        </w:tc>
      </w:tr>
      <w:tr>
        <w:trPr>
          <w:cantSplit/>
        </w:trPr>
        <w:tc>
          <w:tcPr>
            <w:tcW w:type="dxa" w:w="2004"/>
            <w:vAlign w:val="center"/>
          </w:tcPr>
          <w:p>
            <w:pPr>
              <w:spacing w:before="20" w:after="20" w:line="260" w:lineRule="auto"/>
              <w:ind w:firstLine="0"/>
              <w:jc w:val="left"/>
            </w:pPr>
            <w:r>
              <w:rPr>
                <w:sz w:val="20"/>
                <w:szCs w:val="20"/>
              </w:rPr>
              <w:t xml:space="preserve">HOME AND KITCHEN II</w:t>
            </w:r>
          </w:p>
        </w:tc>
        <w:tc>
          <w:tcPr>
            <w:tcW w:type="dxa" w:w="1179"/>
            <w:vAlign w:val="center"/>
          </w:tcPr>
          <w:p>
            <w:pPr>
              <w:spacing w:before="20" w:after="20" w:line="260" w:lineRule="auto"/>
              <w:ind w:firstLine="0"/>
              <w:jc w:val="center"/>
            </w:pPr>
            <w:r>
              <w:rPr>
                <w:sz w:val="20"/>
                <w:szCs w:val="20"/>
              </w:rPr>
              <w:t xml:space="preserve">26.789</w:t>
            </w:r>
          </w:p>
        </w:tc>
        <w:tc>
          <w:tcPr>
            <w:tcW w:type="dxa" w:w="1179"/>
            <w:vAlign w:val="center"/>
          </w:tcPr>
          <w:p>
            <w:pPr>
              <w:spacing w:before="20" w:after="20" w:line="260" w:lineRule="auto"/>
              <w:ind w:firstLine="0"/>
              <w:jc w:val="center"/>
            </w:pPr>
            <w:r>
              <w:rPr>
                <w:sz w:val="20"/>
                <w:szCs w:val="20"/>
              </w:rPr>
              <w:t xml:space="preserve">26.701</w:t>
            </w:r>
          </w:p>
        </w:tc>
        <w:tc>
          <w:tcPr>
            <w:tcW w:type="dxa" w:w="1242"/>
            <w:vAlign w:val="center"/>
          </w:tcPr>
          <w:p>
            <w:pPr>
              <w:spacing w:before="20" w:after="20" w:line="260" w:lineRule="auto"/>
              <w:ind w:firstLine="0"/>
              <w:jc w:val="center"/>
            </w:pPr>
            <w:r>
              <w:rPr>
                <w:sz w:val="20"/>
                <w:szCs w:val="20"/>
              </w:rPr>
              <w:t xml:space="preserve">41,24%</w:t>
            </w:r>
          </w:p>
        </w:tc>
        <w:tc>
          <w:tcPr>
            <w:tcW w:type="dxa" w:w="1111"/>
            <w:vAlign w:val="center"/>
          </w:tcPr>
          <w:p>
            <w:pPr>
              <w:spacing w:before="20" w:after="20" w:line="260" w:lineRule="auto"/>
              <w:ind w:firstLine="0"/>
              <w:jc w:val="center"/>
            </w:pPr>
            <w:r>
              <w:rPr>
                <w:sz w:val="20"/>
                <w:szCs w:val="20"/>
              </w:rPr>
              <w:t xml:space="preserve">0,10</w:t>
            </w:r>
          </w:p>
        </w:tc>
        <w:tc>
          <w:tcPr>
            <w:tcW w:type="dxa" w:w="1111"/>
            <w:vAlign w:val="center"/>
          </w:tcPr>
          <w:p>
            <w:pPr>
              <w:spacing w:before="20" w:after="20" w:line="260" w:lineRule="auto"/>
              <w:ind w:firstLine="0"/>
              <w:jc w:val="center"/>
            </w:pPr>
            <w:r>
              <w:rPr>
                <w:sz w:val="20"/>
                <w:szCs w:val="20"/>
              </w:rPr>
              <w:t xml:space="preserve">82,18%</w:t>
            </w:r>
          </w:p>
        </w:tc>
        <w:tc>
          <w:tcPr>
            <w:tcW w:type="dxa" w:w="1245"/>
            <w:vAlign w:val="center"/>
          </w:tcPr>
          <w:p>
            <w:pPr>
              <w:spacing w:before="20" w:after="20" w:line="260" w:lineRule="auto"/>
              <w:ind w:firstLine="0"/>
              <w:jc w:val="center"/>
            </w:pPr>
            <w:r>
              <w:rPr>
                <w:sz w:val="20"/>
                <w:szCs w:val="20"/>
              </w:rPr>
              <w:t xml:space="preserve">33,323</w:t>
            </w:r>
          </w:p>
        </w:tc>
      </w:tr>
      <w:tr>
        <w:trPr>
          <w:cantSplit/>
        </w:trPr>
        <w:tc>
          <w:tcPr>
            <w:tcW w:type="dxa" w:w="2004"/>
            <w:vAlign w:val="center"/>
          </w:tcPr>
          <w:p>
            <w:pPr>
              <w:spacing w:before="20" w:after="20" w:line="260" w:lineRule="auto"/>
              <w:ind w:firstLine="0"/>
              <w:jc w:val="left"/>
            </w:pPr>
            <w:r>
              <w:rPr>
                <w:sz w:val="20"/>
                <w:szCs w:val="20"/>
              </w:rPr>
              <w:t xml:space="preserve">HOME APPLIANCES</w:t>
            </w:r>
          </w:p>
        </w:tc>
        <w:tc>
          <w:tcPr>
            <w:tcW w:type="dxa" w:w="1179"/>
            <w:vAlign w:val="center"/>
          </w:tcPr>
          <w:p>
            <w:pPr>
              <w:spacing w:before="20" w:after="20" w:line="260" w:lineRule="auto"/>
              <w:ind w:firstLine="0"/>
              <w:jc w:val="center"/>
            </w:pPr>
            <w:r>
              <w:rPr>
                <w:sz w:val="20"/>
                <w:szCs w:val="20"/>
              </w:rPr>
              <w:t xml:space="preserve">173</w:t>
            </w:r>
          </w:p>
        </w:tc>
        <w:tc>
          <w:tcPr>
            <w:tcW w:type="dxa" w:w="1179"/>
            <w:vAlign w:val="center"/>
          </w:tcPr>
          <w:p>
            <w:pPr>
              <w:spacing w:before="20" w:after="20" w:line="260" w:lineRule="auto"/>
              <w:ind w:firstLine="0"/>
              <w:jc w:val="center"/>
            </w:pPr>
            <w:r>
              <w:rPr>
                <w:sz w:val="20"/>
                <w:szCs w:val="20"/>
              </w:rPr>
              <w:t xml:space="preserve">1.099</w:t>
            </w:r>
          </w:p>
        </w:tc>
        <w:tc>
          <w:tcPr>
            <w:tcW w:type="dxa" w:w="1242"/>
            <w:vAlign w:val="center"/>
          </w:tcPr>
          <w:p>
            <w:pPr>
              <w:spacing w:before="20" w:after="20" w:line="260" w:lineRule="auto"/>
              <w:ind w:firstLine="0"/>
              <w:jc w:val="center"/>
            </w:pPr>
            <w:r>
              <w:rPr>
                <w:sz w:val="20"/>
                <w:szCs w:val="20"/>
              </w:rPr>
              <w:t xml:space="preserve">586,27%</w:t>
            </w:r>
          </w:p>
        </w:tc>
        <w:tc>
          <w:tcPr>
            <w:tcW w:type="dxa" w:w="1111"/>
            <w:vAlign w:val="center"/>
          </w:tcPr>
          <w:p>
            <w:pPr>
              <w:spacing w:before="20" w:after="20" w:line="260" w:lineRule="auto"/>
              <w:ind w:firstLine="0"/>
              <w:jc w:val="center"/>
            </w:pPr>
            <w:r>
              <w:rPr>
                <w:sz w:val="20"/>
                <w:szCs w:val="20"/>
              </w:rPr>
              <w:t xml:space="preserve">−1,07</w:t>
            </w:r>
          </w:p>
        </w:tc>
        <w:tc>
          <w:tcPr>
            <w:tcW w:type="dxa" w:w="1111"/>
            <w:vAlign w:val="center"/>
          </w:tcPr>
          <w:p>
            <w:pPr>
              <w:spacing w:before="20" w:after="20" w:line="260" w:lineRule="auto"/>
              <w:ind w:firstLine="0"/>
              <w:jc w:val="center"/>
            </w:pPr>
            <w:r>
              <w:rPr>
                <w:sz w:val="20"/>
                <w:szCs w:val="20"/>
              </w:rPr>
              <w:t xml:space="preserve">59,38%</w:t>
            </w:r>
          </w:p>
        </w:tc>
        <w:tc>
          <w:tcPr>
            <w:tcW w:type="dxa" w:w="1245"/>
            <w:vAlign w:val="center"/>
          </w:tcPr>
          <w:p>
            <w:pPr>
              <w:spacing w:before="20" w:after="20" w:line="260" w:lineRule="auto"/>
              <w:ind w:firstLine="0"/>
              <w:jc w:val="center"/>
            </w:pPr>
            <w:r>
              <w:rPr>
                <w:sz w:val="20"/>
                <w:szCs w:val="20"/>
              </w:rPr>
              <w:t xml:space="preserve">6,698</w:t>
            </w:r>
          </w:p>
        </w:tc>
      </w:tr>
      <w:tr>
        <w:trPr>
          <w:cantSplit/>
        </w:trPr>
        <w:tc>
          <w:tcPr>
            <w:tcW w:type="dxa" w:w="2004"/>
            <w:vAlign w:val="center"/>
          </w:tcPr>
          <w:p>
            <w:pPr>
              <w:spacing w:before="20" w:after="20" w:line="260" w:lineRule="auto"/>
              <w:ind w:firstLine="0"/>
              <w:jc w:val="left"/>
            </w:pPr>
            <w:r>
              <w:rPr>
                <w:sz w:val="20"/>
                <w:szCs w:val="20"/>
              </w:rPr>
              <w:t xml:space="preserve">HOME CARE</w:t>
            </w:r>
          </w:p>
        </w:tc>
        <w:tc>
          <w:tcPr>
            <w:tcW w:type="dxa" w:w="1179"/>
            <w:vAlign w:val="center"/>
          </w:tcPr>
          <w:p>
            <w:pPr>
              <w:spacing w:before="20" w:after="20" w:line="260" w:lineRule="auto"/>
              <w:ind w:firstLine="0"/>
              <w:jc w:val="center"/>
            </w:pPr>
            <w:r>
              <w:rPr>
                <w:sz w:val="20"/>
                <w:szCs w:val="20"/>
              </w:rPr>
              <w:t xml:space="preserve">251.893</w:t>
            </w:r>
          </w:p>
        </w:tc>
        <w:tc>
          <w:tcPr>
            <w:tcW w:type="dxa" w:w="1179"/>
            <w:vAlign w:val="center"/>
          </w:tcPr>
          <w:p>
            <w:pPr>
              <w:spacing w:before="20" w:after="20" w:line="260" w:lineRule="auto"/>
              <w:ind w:firstLine="0"/>
              <w:jc w:val="center"/>
            </w:pPr>
            <w:r>
              <w:rPr>
                <w:sz w:val="20"/>
                <w:szCs w:val="20"/>
              </w:rPr>
              <w:t xml:space="preserve">278.387</w:t>
            </w:r>
          </w:p>
        </w:tc>
        <w:tc>
          <w:tcPr>
            <w:tcW w:type="dxa" w:w="1242"/>
            <w:vAlign w:val="center"/>
          </w:tcPr>
          <w:p>
            <w:pPr>
              <w:spacing w:before="20" w:after="20" w:line="260" w:lineRule="auto"/>
              <w:ind w:firstLine="0"/>
              <w:jc w:val="center"/>
            </w:pPr>
            <w:r>
              <w:rPr>
                <w:sz w:val="20"/>
                <w:szCs w:val="20"/>
              </w:rPr>
              <w:t xml:space="preserve">20,02%</w:t>
            </w:r>
          </w:p>
        </w:tc>
        <w:tc>
          <w:tcPr>
            <w:tcW w:type="dxa" w:w="1111"/>
            <w:vAlign w:val="center"/>
          </w:tcPr>
          <w:p>
            <w:pPr>
              <w:spacing w:before="20" w:after="20" w:line="260" w:lineRule="auto"/>
              <w:ind w:firstLine="0"/>
              <w:jc w:val="center"/>
            </w:pPr>
            <w:r>
              <w:rPr>
                <w:sz w:val="20"/>
                <w:szCs w:val="20"/>
              </w:rPr>
              <w:t xml:space="preserve">−30,66</w:t>
            </w:r>
          </w:p>
        </w:tc>
        <w:tc>
          <w:tcPr>
            <w:tcW w:type="dxa" w:w="1111"/>
            <w:vAlign w:val="center"/>
          </w:tcPr>
          <w:p>
            <w:pPr>
              <w:spacing w:before="20" w:after="20" w:line="260" w:lineRule="auto"/>
              <w:ind w:firstLine="0"/>
              <w:jc w:val="center"/>
            </w:pPr>
            <w:r>
              <w:rPr>
                <w:sz w:val="20"/>
                <w:szCs w:val="20"/>
              </w:rPr>
              <w:t xml:space="preserve">73,38%</w:t>
            </w:r>
          </w:p>
        </w:tc>
        <w:tc>
          <w:tcPr>
            <w:tcW w:type="dxa" w:w="1245"/>
            <w:vAlign w:val="center"/>
          </w:tcPr>
          <w:p>
            <w:pPr>
              <w:spacing w:before="20" w:after="20" w:line="260" w:lineRule="auto"/>
              <w:ind w:firstLine="0"/>
              <w:jc w:val="center"/>
            </w:pPr>
            <w:r>
              <w:rPr>
                <w:sz w:val="20"/>
                <w:szCs w:val="20"/>
              </w:rPr>
              <w:t xml:space="preserve">152,242</w:t>
            </w:r>
          </w:p>
        </w:tc>
      </w:tr>
      <w:tr>
        <w:trPr>
          <w:cantSplit/>
        </w:trPr>
        <w:tc>
          <w:tcPr>
            <w:tcW w:type="dxa" w:w="2004"/>
            <w:vAlign w:val="center"/>
          </w:tcPr>
          <w:p>
            <w:pPr>
              <w:spacing w:before="20" w:after="20" w:line="260" w:lineRule="auto"/>
              <w:ind w:firstLine="0"/>
              <w:jc w:val="left"/>
            </w:pPr>
            <w:r>
              <w:rPr>
                <w:sz w:val="20"/>
                <w:szCs w:val="20"/>
              </w:rPr>
              <w:t xml:space="preserve">LADIESWEAR</w:t>
            </w:r>
          </w:p>
        </w:tc>
        <w:tc>
          <w:tcPr>
            <w:tcW w:type="dxa" w:w="1179"/>
            <w:vAlign w:val="center"/>
          </w:tcPr>
          <w:p>
            <w:pPr>
              <w:spacing w:before="20" w:after="20" w:line="260" w:lineRule="auto"/>
              <w:ind w:firstLine="0"/>
              <w:jc w:val="center"/>
            </w:pPr>
            <w:r>
              <w:rPr>
                <w:sz w:val="20"/>
                <w:szCs w:val="20"/>
              </w:rPr>
              <w:t xml:space="preserve">8.711</w:t>
            </w:r>
          </w:p>
        </w:tc>
        <w:tc>
          <w:tcPr>
            <w:tcW w:type="dxa" w:w="1179"/>
            <w:vAlign w:val="center"/>
          </w:tcPr>
          <w:p>
            <w:pPr>
              <w:spacing w:before="20" w:after="20" w:line="260" w:lineRule="auto"/>
              <w:ind w:firstLine="0"/>
              <w:jc w:val="center"/>
            </w:pPr>
            <w:r>
              <w:rPr>
                <w:sz w:val="20"/>
                <w:szCs w:val="20"/>
              </w:rPr>
              <w:t xml:space="preserve">11.590</w:t>
            </w:r>
          </w:p>
        </w:tc>
        <w:tc>
          <w:tcPr>
            <w:tcW w:type="dxa" w:w="1242"/>
            <w:vAlign w:val="center"/>
          </w:tcPr>
          <w:p>
            <w:pPr>
              <w:spacing w:before="20" w:after="20" w:line="260" w:lineRule="auto"/>
              <w:ind w:firstLine="0"/>
              <w:jc w:val="center"/>
            </w:pPr>
            <w:r>
              <w:rPr>
                <w:sz w:val="20"/>
                <w:szCs w:val="20"/>
              </w:rPr>
              <w:t xml:space="preserve">62,37%</w:t>
            </w:r>
          </w:p>
        </w:tc>
        <w:tc>
          <w:tcPr>
            <w:tcW w:type="dxa" w:w="1111"/>
            <w:vAlign w:val="center"/>
          </w:tcPr>
          <w:p>
            <w:pPr>
              <w:spacing w:before="20" w:after="20" w:line="260" w:lineRule="auto"/>
              <w:ind w:firstLine="0"/>
              <w:jc w:val="center"/>
            </w:pPr>
            <w:r>
              <w:rPr>
                <w:sz w:val="20"/>
                <w:szCs w:val="20"/>
              </w:rPr>
              <w:t xml:space="preserve">−3,33</w:t>
            </w:r>
          </w:p>
        </w:tc>
        <w:tc>
          <w:tcPr>
            <w:tcW w:type="dxa" w:w="1111"/>
            <w:vAlign w:val="center"/>
          </w:tcPr>
          <w:p>
            <w:pPr>
              <w:spacing w:before="20" w:after="20" w:line="260" w:lineRule="auto"/>
              <w:ind w:firstLine="0"/>
              <w:jc w:val="center"/>
            </w:pPr>
            <w:r>
              <w:rPr>
                <w:sz w:val="20"/>
                <w:szCs w:val="20"/>
              </w:rPr>
              <w:t xml:space="preserve">69,44%</w:t>
            </w:r>
          </w:p>
        </w:tc>
        <w:tc>
          <w:tcPr>
            <w:tcW w:type="dxa" w:w="1245"/>
            <w:vAlign w:val="center"/>
          </w:tcPr>
          <w:p>
            <w:pPr>
              <w:spacing w:before="20" w:after="20" w:line="260" w:lineRule="auto"/>
              <w:ind w:firstLine="0"/>
              <w:jc w:val="center"/>
            </w:pPr>
            <w:r>
              <w:rPr>
                <w:sz w:val="20"/>
                <w:szCs w:val="20"/>
              </w:rPr>
              <w:t xml:space="preserve">18,370</w:t>
            </w:r>
          </w:p>
        </w:tc>
      </w:tr>
      <w:tr>
        <w:trPr>
          <w:cantSplit/>
        </w:trPr>
        <w:tc>
          <w:tcPr>
            <w:tcW w:type="dxa" w:w="2004"/>
            <w:vAlign w:val="center"/>
          </w:tcPr>
          <w:p>
            <w:pPr>
              <w:spacing w:before="20" w:after="20" w:line="260" w:lineRule="auto"/>
              <w:ind w:firstLine="0"/>
              <w:jc w:val="left"/>
            </w:pPr>
            <w:r>
              <w:rPr>
                <w:sz w:val="20"/>
                <w:szCs w:val="20"/>
              </w:rPr>
              <w:t xml:space="preserve">LAWN AND GARDEN</w:t>
            </w:r>
          </w:p>
        </w:tc>
        <w:tc>
          <w:tcPr>
            <w:tcW w:type="dxa" w:w="1179"/>
            <w:vAlign w:val="center"/>
          </w:tcPr>
          <w:p>
            <w:pPr>
              <w:spacing w:before="20" w:after="20" w:line="260" w:lineRule="auto"/>
              <w:ind w:firstLine="0"/>
              <w:jc w:val="center"/>
            </w:pPr>
            <w:r>
              <w:rPr>
                <w:sz w:val="20"/>
                <w:szCs w:val="20"/>
              </w:rPr>
              <w:t xml:space="preserve">12.908</w:t>
            </w:r>
          </w:p>
        </w:tc>
        <w:tc>
          <w:tcPr>
            <w:tcW w:type="dxa" w:w="1179"/>
            <w:vAlign w:val="center"/>
          </w:tcPr>
          <w:p>
            <w:pPr>
              <w:spacing w:before="20" w:after="20" w:line="260" w:lineRule="auto"/>
              <w:ind w:firstLine="0"/>
              <w:jc w:val="center"/>
            </w:pPr>
            <w:r>
              <w:rPr>
                <w:sz w:val="20"/>
                <w:szCs w:val="20"/>
              </w:rPr>
              <w:t xml:space="preserve">13.886</w:t>
            </w:r>
          </w:p>
        </w:tc>
        <w:tc>
          <w:tcPr>
            <w:tcW w:type="dxa" w:w="1242"/>
            <w:vAlign w:val="center"/>
          </w:tcPr>
          <w:p>
            <w:pPr>
              <w:spacing w:before="20" w:after="20" w:line="260" w:lineRule="auto"/>
              <w:ind w:firstLine="0"/>
              <w:jc w:val="center"/>
            </w:pPr>
            <w:r>
              <w:rPr>
                <w:sz w:val="20"/>
                <w:szCs w:val="20"/>
              </w:rPr>
              <w:t xml:space="preserve">39,65%</w:t>
            </w:r>
          </w:p>
        </w:tc>
        <w:tc>
          <w:tcPr>
            <w:tcW w:type="dxa" w:w="1111"/>
            <w:vAlign w:val="center"/>
          </w:tcPr>
          <w:p>
            <w:pPr>
              <w:spacing w:before="20" w:after="20" w:line="260" w:lineRule="auto"/>
              <w:ind w:firstLine="0"/>
              <w:jc w:val="center"/>
            </w:pPr>
            <w:r>
              <w:rPr>
                <w:sz w:val="20"/>
                <w:szCs w:val="20"/>
              </w:rPr>
              <w:t xml:space="preserve">−1,13</w:t>
            </w:r>
          </w:p>
        </w:tc>
        <w:tc>
          <w:tcPr>
            <w:tcW w:type="dxa" w:w="1111"/>
            <w:vAlign w:val="center"/>
          </w:tcPr>
          <w:p>
            <w:pPr>
              <w:spacing w:before="20" w:after="20" w:line="260" w:lineRule="auto"/>
              <w:ind w:firstLine="0"/>
              <w:jc w:val="center"/>
            </w:pPr>
            <w:r>
              <w:rPr>
                <w:sz w:val="20"/>
                <w:szCs w:val="20"/>
              </w:rPr>
              <w:t xml:space="preserve">81,83%</w:t>
            </w:r>
          </w:p>
        </w:tc>
        <w:tc>
          <w:tcPr>
            <w:tcW w:type="dxa" w:w="1245"/>
            <w:vAlign w:val="center"/>
          </w:tcPr>
          <w:p>
            <w:pPr>
              <w:spacing w:before="20" w:after="20" w:line="260" w:lineRule="auto"/>
              <w:ind w:firstLine="0"/>
              <w:jc w:val="center"/>
            </w:pPr>
            <w:r>
              <w:rPr>
                <w:sz w:val="20"/>
                <w:szCs w:val="20"/>
              </w:rPr>
              <w:t xml:space="preserve">21,035</w:t>
            </w:r>
          </w:p>
        </w:tc>
      </w:tr>
      <w:tr>
        <w:trPr>
          <w:cantSplit/>
        </w:trPr>
        <w:tc>
          <w:tcPr>
            <w:tcW w:type="dxa" w:w="2004"/>
            <w:vAlign w:val="center"/>
          </w:tcPr>
          <w:p>
            <w:pPr>
              <w:spacing w:before="20" w:after="20" w:line="260" w:lineRule="auto"/>
              <w:ind w:firstLine="0"/>
              <w:jc w:val="left"/>
            </w:pPr>
            <w:r>
              <w:rPr>
                <w:sz w:val="20"/>
                <w:szCs w:val="20"/>
              </w:rPr>
              <w:t xml:space="preserve">LINGERIE</w:t>
            </w:r>
          </w:p>
        </w:tc>
        <w:tc>
          <w:tcPr>
            <w:tcW w:type="dxa" w:w="1179"/>
            <w:vAlign w:val="center"/>
          </w:tcPr>
          <w:p>
            <w:pPr>
              <w:spacing w:before="20" w:after="20" w:line="260" w:lineRule="auto"/>
              <w:ind w:firstLine="0"/>
              <w:jc w:val="center"/>
            </w:pPr>
            <w:r>
              <w:rPr>
                <w:sz w:val="20"/>
                <w:szCs w:val="20"/>
              </w:rPr>
              <w:t xml:space="preserve">6.716</w:t>
            </w:r>
          </w:p>
        </w:tc>
        <w:tc>
          <w:tcPr>
            <w:tcW w:type="dxa" w:w="1179"/>
            <w:vAlign w:val="center"/>
          </w:tcPr>
          <w:p>
            <w:pPr>
              <w:spacing w:before="20" w:after="20" w:line="260" w:lineRule="auto"/>
              <w:ind w:firstLine="0"/>
              <w:jc w:val="center"/>
            </w:pPr>
            <w:r>
              <w:rPr>
                <w:sz w:val="20"/>
                <w:szCs w:val="20"/>
              </w:rPr>
              <w:t xml:space="preserve">6.991</w:t>
            </w:r>
          </w:p>
        </w:tc>
        <w:tc>
          <w:tcPr>
            <w:tcW w:type="dxa" w:w="1242"/>
            <w:vAlign w:val="center"/>
          </w:tcPr>
          <w:p>
            <w:pPr>
              <w:spacing w:before="20" w:after="20" w:line="260" w:lineRule="auto"/>
              <w:ind w:firstLine="0"/>
              <w:jc w:val="center"/>
            </w:pPr>
            <w:r>
              <w:rPr>
                <w:sz w:val="20"/>
                <w:szCs w:val="20"/>
              </w:rPr>
              <w:t xml:space="preserve">68,51%</w:t>
            </w:r>
          </w:p>
        </w:tc>
        <w:tc>
          <w:tcPr>
            <w:tcW w:type="dxa" w:w="1111"/>
            <w:vAlign w:val="center"/>
          </w:tcPr>
          <w:p>
            <w:pPr>
              <w:spacing w:before="20" w:after="20" w:line="260" w:lineRule="auto"/>
              <w:ind w:firstLine="0"/>
              <w:jc w:val="center"/>
            </w:pPr>
            <w:r>
              <w:rPr>
                <w:sz w:val="20"/>
                <w:szCs w:val="20"/>
              </w:rPr>
              <w:t xml:space="preserve">−0,32</w:t>
            </w:r>
          </w:p>
        </w:tc>
        <w:tc>
          <w:tcPr>
            <w:tcW w:type="dxa" w:w="1111"/>
            <w:vAlign w:val="center"/>
          </w:tcPr>
          <w:p>
            <w:pPr>
              <w:spacing w:before="20" w:after="20" w:line="260" w:lineRule="auto"/>
              <w:ind w:firstLine="0"/>
              <w:jc w:val="center"/>
            </w:pPr>
            <w:r>
              <w:rPr>
                <w:sz w:val="20"/>
                <w:szCs w:val="20"/>
              </w:rPr>
              <w:t xml:space="preserve">79,28%</w:t>
            </w:r>
          </w:p>
        </w:tc>
        <w:tc>
          <w:tcPr>
            <w:tcW w:type="dxa" w:w="1245"/>
            <w:vAlign w:val="center"/>
          </w:tcPr>
          <w:p>
            <w:pPr>
              <w:spacing w:before="20" w:after="20" w:line="260" w:lineRule="auto"/>
              <w:ind w:firstLine="0"/>
              <w:jc w:val="center"/>
            </w:pPr>
            <w:r>
              <w:rPr>
                <w:sz w:val="20"/>
                <w:szCs w:val="20"/>
              </w:rPr>
              <w:t xml:space="preserve">15,284</w:t>
            </w:r>
          </w:p>
        </w:tc>
      </w:tr>
      <w:tr>
        <w:trPr>
          <w:cantSplit/>
        </w:trPr>
        <w:tc>
          <w:tcPr>
            <w:tcW w:type="dxa" w:w="2004"/>
            <w:vAlign w:val="center"/>
          </w:tcPr>
          <w:p>
            <w:pPr>
              <w:spacing w:before="20" w:after="20" w:line="260" w:lineRule="auto"/>
              <w:ind w:firstLine="0"/>
              <w:jc w:val="left"/>
            </w:pPr>
            <w:r>
              <w:rPr>
                <w:sz w:val="20"/>
                <w:szCs w:val="20"/>
              </w:rPr>
              <w:t xml:space="preserve">LIQUOR,WINE,BEER</w:t>
            </w:r>
          </w:p>
        </w:tc>
        <w:tc>
          <w:tcPr>
            <w:tcW w:type="dxa" w:w="1179"/>
            <w:vAlign w:val="center"/>
          </w:tcPr>
          <w:p>
            <w:pPr>
              <w:spacing w:before="20" w:after="20" w:line="260" w:lineRule="auto"/>
              <w:ind w:firstLine="0"/>
              <w:jc w:val="center"/>
            </w:pPr>
            <w:r>
              <w:rPr>
                <w:sz w:val="20"/>
                <w:szCs w:val="20"/>
              </w:rPr>
              <w:t xml:space="preserve">84.091</w:t>
            </w:r>
          </w:p>
        </w:tc>
        <w:tc>
          <w:tcPr>
            <w:tcW w:type="dxa" w:w="1179"/>
            <w:vAlign w:val="center"/>
          </w:tcPr>
          <w:p>
            <w:pPr>
              <w:spacing w:before="20" w:after="20" w:line="260" w:lineRule="auto"/>
              <w:ind w:firstLine="0"/>
              <w:jc w:val="center"/>
            </w:pPr>
            <w:r>
              <w:rPr>
                <w:sz w:val="20"/>
                <w:szCs w:val="20"/>
              </w:rPr>
              <w:t xml:space="preserve">88.448</w:t>
            </w:r>
          </w:p>
        </w:tc>
        <w:tc>
          <w:tcPr>
            <w:tcW w:type="dxa" w:w="1242"/>
            <w:vAlign w:val="center"/>
          </w:tcPr>
          <w:p>
            <w:pPr>
              <w:spacing w:before="20" w:after="20" w:line="260" w:lineRule="auto"/>
              <w:ind w:firstLine="0"/>
              <w:jc w:val="center"/>
            </w:pPr>
            <w:r>
              <w:rPr>
                <w:sz w:val="20"/>
                <w:szCs w:val="20"/>
              </w:rPr>
              <w:t xml:space="preserve">35,46%</w:t>
            </w:r>
          </w:p>
        </w:tc>
        <w:tc>
          <w:tcPr>
            <w:tcW w:type="dxa" w:w="1111"/>
            <w:vAlign w:val="center"/>
          </w:tcPr>
          <w:p>
            <w:pPr>
              <w:spacing w:before="20" w:after="20" w:line="260" w:lineRule="auto"/>
              <w:ind w:firstLine="0"/>
              <w:jc w:val="center"/>
            </w:pPr>
            <w:r>
              <w:rPr>
                <w:sz w:val="20"/>
                <w:szCs w:val="20"/>
              </w:rPr>
              <w:t xml:space="preserve">−5,04</w:t>
            </w:r>
          </w:p>
        </w:tc>
        <w:tc>
          <w:tcPr>
            <w:tcW w:type="dxa" w:w="1111"/>
            <w:vAlign w:val="center"/>
          </w:tcPr>
          <w:p>
            <w:pPr>
              <w:spacing w:before="20" w:after="20" w:line="260" w:lineRule="auto"/>
              <w:ind w:firstLine="0"/>
              <w:jc w:val="center"/>
            </w:pPr>
            <w:r>
              <w:rPr>
                <w:sz w:val="20"/>
                <w:szCs w:val="20"/>
              </w:rPr>
              <w:t xml:space="preserve">61,92%</w:t>
            </w:r>
          </w:p>
        </w:tc>
        <w:tc>
          <w:tcPr>
            <w:tcW w:type="dxa" w:w="1245"/>
            <w:vAlign w:val="center"/>
          </w:tcPr>
          <w:p>
            <w:pPr>
              <w:spacing w:before="20" w:after="20" w:line="260" w:lineRule="auto"/>
              <w:ind w:firstLine="0"/>
              <w:jc w:val="center"/>
            </w:pPr>
            <w:r>
              <w:rPr>
                <w:sz w:val="20"/>
                <w:szCs w:val="20"/>
              </w:rPr>
              <w:t xml:space="preserve">66,401</w:t>
            </w:r>
          </w:p>
        </w:tc>
      </w:tr>
      <w:tr>
        <w:trPr>
          <w:cantSplit/>
        </w:trPr>
        <w:tc>
          <w:tcPr>
            <w:tcW w:type="dxa" w:w="2004"/>
            <w:vAlign w:val="center"/>
          </w:tcPr>
          <w:p>
            <w:pPr>
              <w:spacing w:before="20" w:after="20" w:line="260" w:lineRule="auto"/>
              <w:ind w:firstLine="0"/>
              <w:jc w:val="left"/>
            </w:pPr>
            <w:r>
              <w:rPr>
                <w:sz w:val="20"/>
                <w:szCs w:val="20"/>
              </w:rPr>
              <w:t xml:space="preserve">MAGAZINES</w:t>
            </w:r>
          </w:p>
        </w:tc>
        <w:tc>
          <w:tcPr>
            <w:tcW w:type="dxa" w:w="1179"/>
            <w:vAlign w:val="center"/>
          </w:tcPr>
          <w:p>
            <w:pPr>
              <w:spacing w:before="20" w:after="20" w:line="260" w:lineRule="auto"/>
              <w:ind w:firstLine="0"/>
              <w:jc w:val="center"/>
            </w:pPr>
            <w:r>
              <w:rPr>
                <w:sz w:val="20"/>
                <w:szCs w:val="20"/>
              </w:rPr>
              <w:t xml:space="preserve">6.146</w:t>
            </w:r>
          </w:p>
        </w:tc>
        <w:tc>
          <w:tcPr>
            <w:tcW w:type="dxa" w:w="1179"/>
            <w:vAlign w:val="center"/>
          </w:tcPr>
          <w:p>
            <w:pPr>
              <w:spacing w:before="20" w:after="20" w:line="260" w:lineRule="auto"/>
              <w:ind w:firstLine="0"/>
              <w:jc w:val="center"/>
            </w:pPr>
            <w:r>
              <w:rPr>
                <w:sz w:val="20"/>
                <w:szCs w:val="20"/>
              </w:rPr>
              <w:t xml:space="preserve">4.115</w:t>
            </w:r>
          </w:p>
        </w:tc>
        <w:tc>
          <w:tcPr>
            <w:tcW w:type="dxa" w:w="1242"/>
            <w:vAlign w:val="center"/>
          </w:tcPr>
          <w:p>
            <w:pPr>
              <w:spacing w:before="20" w:after="20" w:line="260" w:lineRule="auto"/>
              <w:ind w:firstLine="0"/>
              <w:jc w:val="center"/>
            </w:pPr>
            <w:r>
              <w:rPr>
                <w:sz w:val="20"/>
                <w:szCs w:val="20"/>
              </w:rPr>
              <w:t xml:space="preserve">49,62%</w:t>
            </w:r>
          </w:p>
        </w:tc>
        <w:tc>
          <w:tcPr>
            <w:tcW w:type="dxa" w:w="1111"/>
            <w:vAlign w:val="center"/>
          </w:tcPr>
          <w:p>
            <w:pPr>
              <w:spacing w:before="20" w:after="20" w:line="260" w:lineRule="auto"/>
              <w:ind w:firstLine="0"/>
              <w:jc w:val="center"/>
            </w:pPr>
            <w:r>
              <w:rPr>
                <w:sz w:val="20"/>
                <w:szCs w:val="20"/>
              </w:rPr>
              <w:t xml:space="preserve">2,35</w:t>
            </w:r>
          </w:p>
        </w:tc>
        <w:tc>
          <w:tcPr>
            <w:tcW w:type="dxa" w:w="1111"/>
            <w:vAlign w:val="center"/>
          </w:tcPr>
          <w:p>
            <w:pPr>
              <w:spacing w:before="20" w:after="20" w:line="260" w:lineRule="auto"/>
              <w:ind w:firstLine="0"/>
              <w:jc w:val="center"/>
            </w:pPr>
            <w:r>
              <w:rPr>
                <w:sz w:val="20"/>
                <w:szCs w:val="20"/>
              </w:rPr>
              <w:t xml:space="preserve">81,60%</w:t>
            </w:r>
          </w:p>
        </w:tc>
        <w:tc>
          <w:tcPr>
            <w:tcW w:type="dxa" w:w="1245"/>
            <w:vAlign w:val="center"/>
          </w:tcPr>
          <w:p>
            <w:pPr>
              <w:spacing w:before="20" w:after="20" w:line="260" w:lineRule="auto"/>
              <w:ind w:firstLine="0"/>
              <w:jc w:val="center"/>
            </w:pPr>
            <w:r>
              <w:rPr>
                <w:sz w:val="20"/>
                <w:szCs w:val="20"/>
              </w:rPr>
              <w:t xml:space="preserve">11,692</w:t>
            </w:r>
          </w:p>
        </w:tc>
      </w:tr>
      <w:tr>
        <w:trPr>
          <w:cantSplit/>
        </w:trPr>
        <w:tc>
          <w:tcPr>
            <w:tcW w:type="dxa" w:w="2004"/>
            <w:vAlign w:val="center"/>
          </w:tcPr>
          <w:p>
            <w:pPr>
              <w:spacing w:before="20" w:after="20" w:line="260" w:lineRule="auto"/>
              <w:ind w:firstLine="0"/>
              <w:jc w:val="left"/>
            </w:pPr>
            <w:r>
              <w:rPr>
                <w:sz w:val="20"/>
                <w:szCs w:val="20"/>
              </w:rPr>
              <w:t xml:space="preserve">MEATS</w:t>
            </w:r>
          </w:p>
        </w:tc>
        <w:tc>
          <w:tcPr>
            <w:tcW w:type="dxa" w:w="1179"/>
            <w:vAlign w:val="center"/>
          </w:tcPr>
          <w:p>
            <w:pPr>
              <w:spacing w:before="20" w:after="20" w:line="260" w:lineRule="auto"/>
              <w:ind w:firstLine="0"/>
              <w:jc w:val="center"/>
            </w:pPr>
            <w:r>
              <w:rPr>
                <w:sz w:val="20"/>
                <w:szCs w:val="20"/>
              </w:rPr>
              <w:t xml:space="preserve">321.071</w:t>
            </w:r>
          </w:p>
        </w:tc>
        <w:tc>
          <w:tcPr>
            <w:tcW w:type="dxa" w:w="1179"/>
            <w:vAlign w:val="center"/>
          </w:tcPr>
          <w:p>
            <w:pPr>
              <w:spacing w:before="20" w:after="20" w:line="260" w:lineRule="auto"/>
              <w:ind w:firstLine="0"/>
              <w:jc w:val="center"/>
            </w:pPr>
            <w:r>
              <w:rPr>
                <w:sz w:val="20"/>
                <w:szCs w:val="20"/>
              </w:rPr>
              <w:t xml:space="preserve">324.764</w:t>
            </w:r>
          </w:p>
        </w:tc>
        <w:tc>
          <w:tcPr>
            <w:tcW w:type="dxa" w:w="1242"/>
            <w:vAlign w:val="center"/>
          </w:tcPr>
          <w:p>
            <w:pPr>
              <w:spacing w:before="20" w:after="20" w:line="260" w:lineRule="auto"/>
              <w:ind w:firstLine="0"/>
              <w:jc w:val="center"/>
            </w:pPr>
            <w:r>
              <w:rPr>
                <w:sz w:val="20"/>
                <w:szCs w:val="20"/>
              </w:rPr>
              <w:t xml:space="preserve">13,87%</w:t>
            </w:r>
          </w:p>
        </w:tc>
        <w:tc>
          <w:tcPr>
            <w:tcW w:type="dxa" w:w="1111"/>
            <w:vAlign w:val="center"/>
          </w:tcPr>
          <w:p>
            <w:pPr>
              <w:spacing w:before="20" w:after="20" w:line="260" w:lineRule="auto"/>
              <w:ind w:firstLine="0"/>
              <w:jc w:val="center"/>
            </w:pPr>
            <w:r>
              <w:rPr>
                <w:sz w:val="20"/>
                <w:szCs w:val="20"/>
              </w:rPr>
              <w:t xml:space="preserve">−4,27</w:t>
            </w:r>
          </w:p>
        </w:tc>
        <w:tc>
          <w:tcPr>
            <w:tcW w:type="dxa" w:w="1111"/>
            <w:vAlign w:val="center"/>
          </w:tcPr>
          <w:p>
            <w:pPr>
              <w:spacing w:before="20" w:after="20" w:line="260" w:lineRule="auto"/>
              <w:ind w:firstLine="0"/>
              <w:jc w:val="center"/>
            </w:pPr>
            <w:r>
              <w:rPr>
                <w:sz w:val="20"/>
                <w:szCs w:val="20"/>
              </w:rPr>
              <w:t xml:space="preserve">79,17%</w:t>
            </w:r>
          </w:p>
        </w:tc>
        <w:tc>
          <w:tcPr>
            <w:tcW w:type="dxa" w:w="1245"/>
            <w:vAlign w:val="center"/>
          </w:tcPr>
          <w:p>
            <w:pPr>
              <w:spacing w:before="20" w:after="20" w:line="260" w:lineRule="auto"/>
              <w:ind w:firstLine="0"/>
              <w:jc w:val="center"/>
            </w:pPr>
            <w:r>
              <w:rPr>
                <w:sz w:val="20"/>
                <w:szCs w:val="20"/>
              </w:rPr>
              <w:t xml:space="preserve">179,776</w:t>
            </w:r>
          </w:p>
        </w:tc>
      </w:tr>
      <w:tr>
        <w:trPr>
          <w:cantSplit/>
        </w:trPr>
        <w:tc>
          <w:tcPr>
            <w:tcW w:type="dxa" w:w="2004"/>
            <w:vAlign w:val="center"/>
          </w:tcPr>
          <w:p>
            <w:pPr>
              <w:spacing w:before="20" w:after="20" w:line="260" w:lineRule="auto"/>
              <w:ind w:firstLine="0"/>
              <w:jc w:val="left"/>
            </w:pPr>
            <w:r>
              <w:rPr>
                <w:sz w:val="20"/>
                <w:szCs w:val="20"/>
              </w:rPr>
              <w:t xml:space="preserve">PERSONAL CARE</w:t>
            </w:r>
          </w:p>
        </w:tc>
        <w:tc>
          <w:tcPr>
            <w:tcW w:type="dxa" w:w="1179"/>
            <w:vAlign w:val="center"/>
          </w:tcPr>
          <w:p>
            <w:pPr>
              <w:spacing w:before="20" w:after="20" w:line="260" w:lineRule="auto"/>
              <w:ind w:firstLine="0"/>
              <w:jc w:val="center"/>
            </w:pPr>
            <w:r>
              <w:rPr>
                <w:sz w:val="20"/>
                <w:szCs w:val="20"/>
              </w:rPr>
              <w:t xml:space="preserve">277.631</w:t>
            </w:r>
          </w:p>
        </w:tc>
        <w:tc>
          <w:tcPr>
            <w:tcW w:type="dxa" w:w="1179"/>
            <w:vAlign w:val="center"/>
          </w:tcPr>
          <w:p>
            <w:pPr>
              <w:spacing w:before="20" w:after="20" w:line="260" w:lineRule="auto"/>
              <w:ind w:firstLine="0"/>
              <w:jc w:val="center"/>
            </w:pPr>
            <w:r>
              <w:rPr>
                <w:sz w:val="20"/>
                <w:szCs w:val="20"/>
              </w:rPr>
              <w:t xml:space="preserve">276.442</w:t>
            </w:r>
          </w:p>
        </w:tc>
        <w:tc>
          <w:tcPr>
            <w:tcW w:type="dxa" w:w="1242"/>
            <w:vAlign w:val="center"/>
          </w:tcPr>
          <w:p>
            <w:pPr>
              <w:spacing w:before="20" w:after="20" w:line="260" w:lineRule="auto"/>
              <w:ind w:firstLine="0"/>
              <w:jc w:val="center"/>
            </w:pPr>
            <w:r>
              <w:rPr>
                <w:sz w:val="20"/>
                <w:szCs w:val="20"/>
              </w:rPr>
              <w:t xml:space="preserve">15,88%</w:t>
            </w:r>
          </w:p>
        </w:tc>
        <w:tc>
          <w:tcPr>
            <w:tcW w:type="dxa" w:w="1111"/>
            <w:vAlign w:val="center"/>
          </w:tcPr>
          <w:p>
            <w:pPr>
              <w:spacing w:before="20" w:after="20" w:line="260" w:lineRule="auto"/>
              <w:ind w:firstLine="0"/>
              <w:jc w:val="center"/>
            </w:pPr>
            <w:r>
              <w:rPr>
                <w:sz w:val="20"/>
                <w:szCs w:val="20"/>
              </w:rPr>
              <w:t xml:space="preserve">1,38</w:t>
            </w:r>
          </w:p>
        </w:tc>
        <w:tc>
          <w:tcPr>
            <w:tcW w:type="dxa" w:w="1111"/>
            <w:vAlign w:val="center"/>
          </w:tcPr>
          <w:p>
            <w:pPr>
              <w:spacing w:before="20" w:after="20" w:line="260" w:lineRule="auto"/>
              <w:ind w:firstLine="0"/>
              <w:jc w:val="center"/>
            </w:pPr>
            <w:r>
              <w:rPr>
                <w:sz w:val="20"/>
                <w:szCs w:val="20"/>
              </w:rPr>
              <w:t xml:space="preserve">76,97%</w:t>
            </w:r>
          </w:p>
        </w:tc>
        <w:tc>
          <w:tcPr>
            <w:tcW w:type="dxa" w:w="1245"/>
            <w:vAlign w:val="center"/>
          </w:tcPr>
          <w:p>
            <w:pPr>
              <w:spacing w:before="20" w:after="20" w:line="260" w:lineRule="auto"/>
              <w:ind w:firstLine="0"/>
              <w:jc w:val="center"/>
            </w:pPr>
            <w:r>
              <w:rPr>
                <w:sz w:val="20"/>
                <w:szCs w:val="20"/>
              </w:rPr>
              <w:t xml:space="preserve">150,570</w:t>
            </w:r>
          </w:p>
        </w:tc>
      </w:tr>
      <w:tr>
        <w:trPr>
          <w:cantSplit/>
        </w:trPr>
        <w:tc>
          <w:tcPr>
            <w:tcW w:type="dxa" w:w="2004"/>
            <w:vAlign w:val="center"/>
          </w:tcPr>
          <w:p>
            <w:pPr>
              <w:spacing w:before="20" w:after="20" w:line="260" w:lineRule="auto"/>
              <w:ind w:firstLine="0"/>
              <w:jc w:val="left"/>
            </w:pPr>
            <w:r>
              <w:rPr>
                <w:sz w:val="20"/>
                <w:szCs w:val="20"/>
              </w:rPr>
              <w:t xml:space="preserve">PET SUPPLIES</w:t>
            </w:r>
          </w:p>
        </w:tc>
        <w:tc>
          <w:tcPr>
            <w:tcW w:type="dxa" w:w="1179"/>
            <w:vAlign w:val="center"/>
          </w:tcPr>
          <w:p>
            <w:pPr>
              <w:spacing w:before="20" w:after="20" w:line="260" w:lineRule="auto"/>
              <w:ind w:firstLine="0"/>
              <w:jc w:val="center"/>
            </w:pPr>
            <w:r>
              <w:rPr>
                <w:sz w:val="20"/>
                <w:szCs w:val="20"/>
              </w:rPr>
              <w:t xml:space="preserve">7.283</w:t>
            </w:r>
          </w:p>
        </w:tc>
        <w:tc>
          <w:tcPr>
            <w:tcW w:type="dxa" w:w="1179"/>
            <w:vAlign w:val="center"/>
          </w:tcPr>
          <w:p>
            <w:pPr>
              <w:spacing w:before="20" w:after="20" w:line="260" w:lineRule="auto"/>
              <w:ind w:firstLine="0"/>
              <w:jc w:val="center"/>
            </w:pPr>
            <w:r>
              <w:rPr>
                <w:sz w:val="20"/>
                <w:szCs w:val="20"/>
              </w:rPr>
              <w:t xml:space="preserve">6.276</w:t>
            </w:r>
          </w:p>
        </w:tc>
        <w:tc>
          <w:tcPr>
            <w:tcW w:type="dxa" w:w="1242"/>
            <w:vAlign w:val="center"/>
          </w:tcPr>
          <w:p>
            <w:pPr>
              <w:spacing w:before="20" w:after="20" w:line="260" w:lineRule="auto"/>
              <w:ind w:firstLine="0"/>
              <w:jc w:val="center"/>
            </w:pPr>
            <w:r>
              <w:rPr>
                <w:sz w:val="20"/>
                <w:szCs w:val="20"/>
              </w:rPr>
              <w:t xml:space="preserve">39,90%</w:t>
            </w:r>
          </w:p>
        </w:tc>
        <w:tc>
          <w:tcPr>
            <w:tcW w:type="dxa" w:w="1111"/>
            <w:vAlign w:val="center"/>
          </w:tcPr>
          <w:p>
            <w:pPr>
              <w:spacing w:before="20" w:after="20" w:line="260" w:lineRule="auto"/>
              <w:ind w:firstLine="0"/>
              <w:jc w:val="center"/>
            </w:pPr>
            <w:r>
              <w:rPr>
                <w:sz w:val="20"/>
                <w:szCs w:val="20"/>
              </w:rPr>
              <w:t xml:space="preserve">1,17</w:t>
            </w:r>
          </w:p>
        </w:tc>
        <w:tc>
          <w:tcPr>
            <w:tcW w:type="dxa" w:w="1111"/>
            <w:vAlign w:val="center"/>
          </w:tcPr>
          <w:p>
            <w:pPr>
              <w:spacing w:before="20" w:after="20" w:line="260" w:lineRule="auto"/>
              <w:ind w:firstLine="0"/>
              <w:jc w:val="center"/>
            </w:pPr>
            <w:r>
              <w:rPr>
                <w:sz w:val="20"/>
                <w:szCs w:val="20"/>
              </w:rPr>
              <w:t xml:space="preserve">89,00%</w:t>
            </w:r>
          </w:p>
        </w:tc>
        <w:tc>
          <w:tcPr>
            <w:tcW w:type="dxa" w:w="1245"/>
            <w:vAlign w:val="center"/>
          </w:tcPr>
          <w:p>
            <w:pPr>
              <w:spacing w:before="20" w:after="20" w:line="260" w:lineRule="auto"/>
              <w:ind w:firstLine="0"/>
              <w:jc w:val="center"/>
            </w:pPr>
            <w:r>
              <w:rPr>
                <w:sz w:val="20"/>
                <w:szCs w:val="20"/>
              </w:rPr>
              <w:t xml:space="preserve">14,304</w:t>
            </w:r>
          </w:p>
        </w:tc>
      </w:tr>
      <w:tr>
        <w:trPr>
          <w:cantSplit/>
        </w:trPr>
        <w:tc>
          <w:tcPr>
            <w:tcW w:type="dxa" w:w="2004"/>
            <w:vAlign w:val="center"/>
          </w:tcPr>
          <w:p>
            <w:pPr>
              <w:spacing w:before="20" w:after="20" w:line="260" w:lineRule="auto"/>
              <w:ind w:firstLine="0"/>
              <w:jc w:val="left"/>
            </w:pPr>
            <w:r>
              <w:rPr>
                <w:sz w:val="20"/>
                <w:szCs w:val="20"/>
              </w:rPr>
              <w:t xml:space="preserve">PLAYERS AND ELECTRONICS</w:t>
            </w:r>
          </w:p>
        </w:tc>
        <w:tc>
          <w:tcPr>
            <w:tcW w:type="dxa" w:w="1179"/>
            <w:vAlign w:val="center"/>
          </w:tcPr>
          <w:p>
            <w:pPr>
              <w:spacing w:before="20" w:after="20" w:line="260" w:lineRule="auto"/>
              <w:ind w:firstLine="0"/>
              <w:jc w:val="center"/>
            </w:pPr>
            <w:r>
              <w:rPr>
                <w:sz w:val="20"/>
                <w:szCs w:val="20"/>
              </w:rPr>
              <w:t xml:space="preserve">10.084</w:t>
            </w:r>
          </w:p>
        </w:tc>
        <w:tc>
          <w:tcPr>
            <w:tcW w:type="dxa" w:w="1179"/>
            <w:vAlign w:val="center"/>
          </w:tcPr>
          <w:p>
            <w:pPr>
              <w:spacing w:before="20" w:after="20" w:line="260" w:lineRule="auto"/>
              <w:ind w:firstLine="0"/>
              <w:jc w:val="center"/>
            </w:pPr>
            <w:r>
              <w:rPr>
                <w:sz w:val="20"/>
                <w:szCs w:val="20"/>
              </w:rPr>
              <w:t xml:space="preserve">7.786</w:t>
            </w:r>
          </w:p>
        </w:tc>
        <w:tc>
          <w:tcPr>
            <w:tcW w:type="dxa" w:w="1242"/>
            <w:vAlign w:val="center"/>
          </w:tcPr>
          <w:p>
            <w:pPr>
              <w:spacing w:before="20" w:after="20" w:line="260" w:lineRule="auto"/>
              <w:ind w:firstLine="0"/>
              <w:jc w:val="center"/>
            </w:pPr>
            <w:r>
              <w:rPr>
                <w:sz w:val="20"/>
                <w:szCs w:val="20"/>
              </w:rPr>
              <w:t xml:space="preserve">35,41%</w:t>
            </w:r>
          </w:p>
        </w:tc>
        <w:tc>
          <w:tcPr>
            <w:tcW w:type="dxa" w:w="1111"/>
            <w:vAlign w:val="center"/>
          </w:tcPr>
          <w:p>
            <w:pPr>
              <w:spacing w:before="20" w:after="20" w:line="260" w:lineRule="auto"/>
              <w:ind w:firstLine="0"/>
              <w:jc w:val="center"/>
            </w:pPr>
            <w:r>
              <w:rPr>
                <w:sz w:val="20"/>
                <w:szCs w:val="20"/>
              </w:rPr>
              <w:t xml:space="preserve">2,66</w:t>
            </w:r>
          </w:p>
        </w:tc>
        <w:tc>
          <w:tcPr>
            <w:tcW w:type="dxa" w:w="1111"/>
            <w:vAlign w:val="center"/>
          </w:tcPr>
          <w:p>
            <w:pPr>
              <w:spacing w:before="20" w:after="20" w:line="260" w:lineRule="auto"/>
              <w:ind w:firstLine="0"/>
              <w:jc w:val="center"/>
            </w:pPr>
            <w:r>
              <w:rPr>
                <w:sz w:val="20"/>
                <w:szCs w:val="20"/>
              </w:rPr>
              <w:t xml:space="preserve">89,93%</w:t>
            </w:r>
          </w:p>
        </w:tc>
        <w:tc>
          <w:tcPr>
            <w:tcW w:type="dxa" w:w="1245"/>
            <w:vAlign w:val="center"/>
          </w:tcPr>
          <w:p>
            <w:pPr>
              <w:spacing w:before="20" w:after="20" w:line="260" w:lineRule="auto"/>
              <w:ind w:firstLine="0"/>
              <w:jc w:val="center"/>
            </w:pPr>
            <w:r>
              <w:rPr>
                <w:sz w:val="20"/>
                <w:szCs w:val="20"/>
              </w:rPr>
              <w:t xml:space="preserve">16,160</w:t>
            </w:r>
          </w:p>
        </w:tc>
      </w:tr>
      <w:tr>
        <w:trPr>
          <w:cantSplit/>
        </w:trPr>
        <w:tc>
          <w:tcPr>
            <w:tcW w:type="dxa" w:w="2004"/>
            <w:vAlign w:val="center"/>
          </w:tcPr>
          <w:p>
            <w:pPr>
              <w:spacing w:before="20" w:after="20" w:line="260" w:lineRule="auto"/>
              <w:ind w:firstLine="0"/>
              <w:jc w:val="left"/>
            </w:pPr>
            <w:r>
              <w:rPr>
                <w:sz w:val="20"/>
                <w:szCs w:val="20"/>
              </w:rPr>
              <w:t xml:space="preserve">POULTRY</w:t>
            </w:r>
          </w:p>
        </w:tc>
        <w:tc>
          <w:tcPr>
            <w:tcW w:type="dxa" w:w="1179"/>
            <w:vAlign w:val="center"/>
          </w:tcPr>
          <w:p>
            <w:pPr>
              <w:spacing w:before="20" w:after="20" w:line="260" w:lineRule="auto"/>
              <w:ind w:firstLine="0"/>
              <w:jc w:val="center"/>
            </w:pPr>
            <w:r>
              <w:rPr>
                <w:sz w:val="20"/>
                <w:szCs w:val="20"/>
              </w:rPr>
              <w:t xml:space="preserve">323.560</w:t>
            </w:r>
          </w:p>
        </w:tc>
        <w:tc>
          <w:tcPr>
            <w:tcW w:type="dxa" w:w="1179"/>
            <w:vAlign w:val="center"/>
          </w:tcPr>
          <w:p>
            <w:pPr>
              <w:spacing w:before="20" w:after="20" w:line="260" w:lineRule="auto"/>
              <w:ind w:firstLine="0"/>
              <w:jc w:val="center"/>
            </w:pPr>
            <w:r>
              <w:rPr>
                <w:sz w:val="20"/>
                <w:szCs w:val="20"/>
              </w:rPr>
              <w:t xml:space="preserve">342.339</w:t>
            </w:r>
          </w:p>
        </w:tc>
        <w:tc>
          <w:tcPr>
            <w:tcW w:type="dxa" w:w="1242"/>
            <w:vAlign w:val="center"/>
          </w:tcPr>
          <w:p>
            <w:pPr>
              <w:spacing w:before="20" w:after="20" w:line="260" w:lineRule="auto"/>
              <w:ind w:firstLine="0"/>
              <w:jc w:val="center"/>
            </w:pPr>
            <w:r>
              <w:rPr>
                <w:sz w:val="20"/>
                <w:szCs w:val="20"/>
              </w:rPr>
              <w:t xml:space="preserve">14,26%</w:t>
            </w:r>
          </w:p>
        </w:tc>
        <w:tc>
          <w:tcPr>
            <w:tcW w:type="dxa" w:w="1111"/>
            <w:vAlign w:val="center"/>
          </w:tcPr>
          <w:p>
            <w:pPr>
              <w:spacing w:before="20" w:after="20" w:line="260" w:lineRule="auto"/>
              <w:ind w:firstLine="0"/>
              <w:jc w:val="center"/>
            </w:pPr>
            <w:r>
              <w:rPr>
                <w:sz w:val="20"/>
                <w:szCs w:val="20"/>
              </w:rPr>
              <w:t xml:space="preserve">−21,73</w:t>
            </w:r>
          </w:p>
        </w:tc>
        <w:tc>
          <w:tcPr>
            <w:tcW w:type="dxa" w:w="1111"/>
            <w:vAlign w:val="center"/>
          </w:tcPr>
          <w:p>
            <w:pPr>
              <w:spacing w:before="20" w:after="20" w:line="260" w:lineRule="auto"/>
              <w:ind w:firstLine="0"/>
              <w:jc w:val="center"/>
            </w:pPr>
            <w:r>
              <w:rPr>
                <w:sz w:val="20"/>
                <w:szCs w:val="20"/>
              </w:rPr>
              <w:t xml:space="preserve">82,41%</w:t>
            </w:r>
          </w:p>
        </w:tc>
        <w:tc>
          <w:tcPr>
            <w:tcW w:type="dxa" w:w="1245"/>
            <w:vAlign w:val="center"/>
          </w:tcPr>
          <w:p>
            <w:pPr>
              <w:spacing w:before="20" w:after="20" w:line="260" w:lineRule="auto"/>
              <w:ind w:firstLine="0"/>
              <w:jc w:val="center"/>
            </w:pPr>
            <w:r>
              <w:rPr>
                <w:sz w:val="20"/>
                <w:szCs w:val="20"/>
              </w:rPr>
              <w:t xml:space="preserve">199,155</w:t>
            </w:r>
          </w:p>
        </w:tc>
      </w:tr>
      <w:tr>
        <w:trPr>
          <w:cantSplit/>
        </w:trPr>
        <w:tc>
          <w:tcPr>
            <w:tcW w:type="dxa" w:w="2004"/>
            <w:vAlign w:val="center"/>
          </w:tcPr>
          <w:p>
            <w:pPr>
              <w:spacing w:before="20" w:after="20" w:line="260" w:lineRule="auto"/>
              <w:ind w:firstLine="0"/>
              <w:jc w:val="left"/>
            </w:pPr>
            <w:r>
              <w:rPr>
                <w:sz w:val="20"/>
                <w:szCs w:val="20"/>
              </w:rPr>
              <w:t xml:space="preserve">PREPARED FOODS</w:t>
            </w:r>
          </w:p>
        </w:tc>
        <w:tc>
          <w:tcPr>
            <w:tcW w:type="dxa" w:w="1179"/>
            <w:vAlign w:val="center"/>
          </w:tcPr>
          <w:p>
            <w:pPr>
              <w:spacing w:before="20" w:after="20" w:line="260" w:lineRule="auto"/>
              <w:ind w:firstLine="0"/>
              <w:jc w:val="center"/>
            </w:pPr>
            <w:r>
              <w:rPr>
                <w:sz w:val="20"/>
                <w:szCs w:val="20"/>
              </w:rPr>
              <w:t xml:space="preserve">75.872</w:t>
            </w:r>
          </w:p>
        </w:tc>
        <w:tc>
          <w:tcPr>
            <w:tcW w:type="dxa" w:w="1179"/>
            <w:vAlign w:val="center"/>
          </w:tcPr>
          <w:p>
            <w:pPr>
              <w:spacing w:before="20" w:after="20" w:line="260" w:lineRule="auto"/>
              <w:ind w:firstLine="0"/>
              <w:jc w:val="center"/>
            </w:pPr>
            <w:r>
              <w:rPr>
                <w:sz w:val="20"/>
                <w:szCs w:val="20"/>
              </w:rPr>
              <w:t xml:space="preserve">73.012</w:t>
            </w:r>
          </w:p>
        </w:tc>
        <w:tc>
          <w:tcPr>
            <w:tcW w:type="dxa" w:w="1242"/>
            <w:vAlign w:val="center"/>
          </w:tcPr>
          <w:p>
            <w:pPr>
              <w:spacing w:before="20" w:after="20" w:line="260" w:lineRule="auto"/>
              <w:ind w:firstLine="0"/>
              <w:jc w:val="center"/>
            </w:pPr>
            <w:r>
              <w:rPr>
                <w:sz w:val="20"/>
                <w:szCs w:val="20"/>
              </w:rPr>
              <w:t xml:space="preserve">18,90%</w:t>
            </w:r>
          </w:p>
        </w:tc>
        <w:tc>
          <w:tcPr>
            <w:tcW w:type="dxa" w:w="1111"/>
            <w:vAlign w:val="center"/>
          </w:tcPr>
          <w:p>
            <w:pPr>
              <w:spacing w:before="20" w:after="20" w:line="260" w:lineRule="auto"/>
              <w:ind w:firstLine="0"/>
              <w:jc w:val="center"/>
            </w:pPr>
            <w:r>
              <w:rPr>
                <w:sz w:val="20"/>
                <w:szCs w:val="20"/>
              </w:rPr>
              <w:t xml:space="preserve">3,31</w:t>
            </w:r>
          </w:p>
        </w:tc>
        <w:tc>
          <w:tcPr>
            <w:tcW w:type="dxa" w:w="1111"/>
            <w:vAlign w:val="center"/>
          </w:tcPr>
          <w:p>
            <w:pPr>
              <w:spacing w:before="20" w:after="20" w:line="260" w:lineRule="auto"/>
              <w:ind w:firstLine="0"/>
              <w:jc w:val="center"/>
            </w:pPr>
            <w:r>
              <w:rPr>
                <w:sz w:val="20"/>
                <w:szCs w:val="20"/>
              </w:rPr>
              <w:t xml:space="preserve">83,68%</w:t>
            </w:r>
          </w:p>
        </w:tc>
        <w:tc>
          <w:tcPr>
            <w:tcW w:type="dxa" w:w="1245"/>
            <w:vAlign w:val="center"/>
          </w:tcPr>
          <w:p>
            <w:pPr>
              <w:spacing w:before="20" w:after="20" w:line="260" w:lineRule="auto"/>
              <w:ind w:firstLine="0"/>
              <w:jc w:val="center"/>
            </w:pPr>
            <w:r>
              <w:rPr>
                <w:sz w:val="20"/>
                <w:szCs w:val="20"/>
              </w:rPr>
              <w:t xml:space="preserve">58,954</w:t>
            </w:r>
          </w:p>
        </w:tc>
      </w:tr>
      <w:tr>
        <w:trPr>
          <w:cantSplit/>
        </w:trPr>
        <w:tc>
          <w:tcPr>
            <w:tcW w:type="dxa" w:w="2004"/>
            <w:vAlign w:val="center"/>
          </w:tcPr>
          <w:p>
            <w:pPr>
              <w:spacing w:before="20" w:after="20" w:line="260" w:lineRule="auto"/>
              <w:ind w:firstLine="0"/>
              <w:jc w:val="left"/>
            </w:pPr>
            <w:r>
              <w:rPr>
                <w:sz w:val="20"/>
                <w:szCs w:val="20"/>
              </w:rPr>
              <w:t xml:space="preserve">PRODUCE</w:t>
            </w:r>
          </w:p>
        </w:tc>
        <w:tc>
          <w:tcPr>
            <w:tcW w:type="dxa" w:w="1179"/>
            <w:vAlign w:val="center"/>
          </w:tcPr>
          <w:p>
            <w:pPr>
              <w:spacing w:before="20" w:after="20" w:line="260" w:lineRule="auto"/>
              <w:ind w:firstLine="0"/>
              <w:jc w:val="center"/>
            </w:pPr>
            <w:r>
              <w:rPr>
                <w:sz w:val="20"/>
                <w:szCs w:val="20"/>
              </w:rPr>
              <w:t xml:space="preserve">1.977.480</w:t>
            </w:r>
          </w:p>
        </w:tc>
        <w:tc>
          <w:tcPr>
            <w:tcW w:type="dxa" w:w="1179"/>
            <w:vAlign w:val="center"/>
          </w:tcPr>
          <w:p>
            <w:pPr>
              <w:spacing w:before="20" w:after="20" w:line="260" w:lineRule="auto"/>
              <w:ind w:firstLine="0"/>
              <w:jc w:val="center"/>
            </w:pPr>
            <w:r>
              <w:rPr>
                <w:sz w:val="20"/>
                <w:szCs w:val="20"/>
              </w:rPr>
              <w:t xml:space="preserve">2.058.194</w:t>
            </w:r>
          </w:p>
        </w:tc>
        <w:tc>
          <w:tcPr>
            <w:tcW w:type="dxa" w:w="1242"/>
            <w:vAlign w:val="center"/>
          </w:tcPr>
          <w:p>
            <w:pPr>
              <w:spacing w:before="20" w:after="20" w:line="260" w:lineRule="auto"/>
              <w:ind w:firstLine="0"/>
              <w:jc w:val="center"/>
            </w:pPr>
            <w:r>
              <w:rPr>
                <w:sz w:val="20"/>
                <w:szCs w:val="20"/>
              </w:rPr>
              <w:t xml:space="preserve">8,76%</w:t>
            </w:r>
          </w:p>
        </w:tc>
        <w:tc>
          <w:tcPr>
            <w:tcW w:type="dxa" w:w="1111"/>
            <w:vAlign w:val="center"/>
          </w:tcPr>
          <w:p>
            <w:pPr>
              <w:spacing w:before="20" w:after="20" w:line="260" w:lineRule="auto"/>
              <w:ind w:firstLine="0"/>
              <w:jc w:val="center"/>
            </w:pPr>
            <w:r>
              <w:rPr>
                <w:sz w:val="20"/>
                <w:szCs w:val="20"/>
              </w:rPr>
              <w:t xml:space="preserve">−93,42</w:t>
            </w:r>
          </w:p>
        </w:tc>
        <w:tc>
          <w:tcPr>
            <w:tcW w:type="dxa" w:w="1111"/>
            <w:vAlign w:val="center"/>
          </w:tcPr>
          <w:p>
            <w:pPr>
              <w:spacing w:before="20" w:after="20" w:line="260" w:lineRule="auto"/>
              <w:ind w:firstLine="0"/>
              <w:jc w:val="center"/>
            </w:pPr>
            <w:r>
              <w:rPr>
                <w:sz w:val="20"/>
                <w:szCs w:val="20"/>
              </w:rPr>
              <w:t xml:space="preserve">82,87%</w:t>
            </w:r>
          </w:p>
        </w:tc>
        <w:tc>
          <w:tcPr>
            <w:tcW w:type="dxa" w:w="1245"/>
            <w:vAlign w:val="center"/>
          </w:tcPr>
          <w:p>
            <w:pPr>
              <w:spacing w:before="20" w:after="20" w:line="260" w:lineRule="auto"/>
              <w:ind w:firstLine="0"/>
              <w:jc w:val="center"/>
            </w:pPr>
            <w:r>
              <w:rPr>
                <w:sz w:val="20"/>
                <w:szCs w:val="20"/>
              </w:rPr>
              <w:t xml:space="preserve">842,093</w:t>
            </w:r>
          </w:p>
        </w:tc>
      </w:tr>
      <w:tr>
        <w:trPr>
          <w:cantSplit/>
        </w:trPr>
        <w:tc>
          <w:tcPr>
            <w:tcW w:type="dxa" w:w="2004"/>
            <w:vAlign w:val="center"/>
          </w:tcPr>
          <w:p>
            <w:pPr>
              <w:spacing w:before="20" w:after="20" w:line="260" w:lineRule="auto"/>
              <w:ind w:firstLine="0"/>
              <w:jc w:val="left"/>
            </w:pPr>
            <w:r>
              <w:rPr>
                <w:sz w:val="20"/>
                <w:szCs w:val="20"/>
              </w:rPr>
              <w:t xml:space="preserve">SCHOOL AND OFFICE SUPPLIES</w:t>
            </w:r>
          </w:p>
        </w:tc>
        <w:tc>
          <w:tcPr>
            <w:tcW w:type="dxa" w:w="1179"/>
            <w:vAlign w:val="center"/>
          </w:tcPr>
          <w:p>
            <w:pPr>
              <w:spacing w:before="20" w:after="20" w:line="260" w:lineRule="auto"/>
              <w:ind w:firstLine="0"/>
              <w:jc w:val="center"/>
            </w:pPr>
            <w:r>
              <w:rPr>
                <w:sz w:val="20"/>
                <w:szCs w:val="20"/>
              </w:rPr>
              <w:t xml:space="preserve">51.795</w:t>
            </w:r>
          </w:p>
        </w:tc>
        <w:tc>
          <w:tcPr>
            <w:tcW w:type="dxa" w:w="1179"/>
            <w:vAlign w:val="center"/>
          </w:tcPr>
          <w:p>
            <w:pPr>
              <w:spacing w:before="20" w:after="20" w:line="260" w:lineRule="auto"/>
              <w:ind w:firstLine="0"/>
              <w:jc w:val="center"/>
            </w:pPr>
            <w:r>
              <w:rPr>
                <w:sz w:val="20"/>
                <w:szCs w:val="20"/>
              </w:rPr>
              <w:t xml:space="preserve">19.422</w:t>
            </w:r>
          </w:p>
        </w:tc>
        <w:tc>
          <w:tcPr>
            <w:tcW w:type="dxa" w:w="1242"/>
            <w:vAlign w:val="center"/>
          </w:tcPr>
          <w:p>
            <w:pPr>
              <w:spacing w:before="20" w:after="20" w:line="260" w:lineRule="auto"/>
              <w:ind w:firstLine="0"/>
              <w:jc w:val="center"/>
            </w:pPr>
            <w:r>
              <w:rPr>
                <w:sz w:val="20"/>
                <w:szCs w:val="20"/>
              </w:rPr>
              <w:t xml:space="preserve">80,92%</w:t>
            </w:r>
          </w:p>
        </w:tc>
        <w:tc>
          <w:tcPr>
            <w:tcW w:type="dxa" w:w="1111"/>
            <w:vAlign w:val="center"/>
          </w:tcPr>
          <w:p>
            <w:pPr>
              <w:spacing w:before="20" w:after="20" w:line="260" w:lineRule="auto"/>
              <w:ind w:firstLine="0"/>
              <w:jc w:val="center"/>
            </w:pPr>
            <w:r>
              <w:rPr>
                <w:sz w:val="20"/>
                <w:szCs w:val="20"/>
              </w:rPr>
              <w:t xml:space="preserve">37,47</w:t>
            </w:r>
          </w:p>
        </w:tc>
        <w:tc>
          <w:tcPr>
            <w:tcW w:type="dxa" w:w="1111"/>
            <w:vAlign w:val="center"/>
          </w:tcPr>
          <w:p>
            <w:pPr>
              <w:spacing w:before="20" w:after="20" w:line="260" w:lineRule="auto"/>
              <w:ind w:firstLine="0"/>
              <w:jc w:val="center"/>
            </w:pPr>
            <w:r>
              <w:rPr>
                <w:sz w:val="20"/>
                <w:szCs w:val="20"/>
              </w:rPr>
              <w:t xml:space="preserve">72,57%</w:t>
            </w:r>
          </w:p>
        </w:tc>
        <w:tc>
          <w:tcPr>
            <w:tcW w:type="dxa" w:w="1245"/>
            <w:vAlign w:val="center"/>
          </w:tcPr>
          <w:p>
            <w:pPr>
              <w:spacing w:before="20" w:after="20" w:line="260" w:lineRule="auto"/>
              <w:ind w:firstLine="0"/>
              <w:jc w:val="center"/>
            </w:pPr>
            <w:r>
              <w:rPr>
                <w:sz w:val="20"/>
                <w:szCs w:val="20"/>
              </w:rPr>
              <w:t xml:space="preserve">19,924</w:t>
            </w:r>
          </w:p>
        </w:tc>
      </w:tr>
      <w:tr>
        <w:trPr>
          <w:cantSplit/>
        </w:trPr>
        <w:tc>
          <w:tcPr>
            <w:tcW w:type="dxa" w:w="2004"/>
            <w:vAlign w:val="center"/>
          </w:tcPr>
          <w:p>
            <w:pPr>
              <w:spacing w:before="20" w:after="20" w:line="260" w:lineRule="auto"/>
              <w:ind w:firstLine="0"/>
              <w:jc w:val="left"/>
            </w:pPr>
            <w:r>
              <w:rPr>
                <w:sz w:val="20"/>
                <w:szCs w:val="20"/>
              </w:rPr>
              <w:t xml:space="preserve">SEAFOOD</w:t>
            </w:r>
          </w:p>
        </w:tc>
        <w:tc>
          <w:tcPr>
            <w:tcW w:type="dxa" w:w="1179"/>
            <w:vAlign w:val="center"/>
          </w:tcPr>
          <w:p>
            <w:pPr>
              <w:spacing w:before="20" w:after="20" w:line="260" w:lineRule="auto"/>
              <w:ind w:firstLine="0"/>
              <w:jc w:val="center"/>
            </w:pPr>
            <w:r>
              <w:rPr>
                <w:sz w:val="20"/>
                <w:szCs w:val="20"/>
              </w:rPr>
              <w:t xml:space="preserve">17.261</w:t>
            </w:r>
          </w:p>
        </w:tc>
        <w:tc>
          <w:tcPr>
            <w:tcW w:type="dxa" w:w="1179"/>
            <w:vAlign w:val="center"/>
          </w:tcPr>
          <w:p>
            <w:pPr>
              <w:spacing w:before="20" w:after="20" w:line="260" w:lineRule="auto"/>
              <w:ind w:firstLine="0"/>
              <w:jc w:val="center"/>
            </w:pPr>
            <w:r>
              <w:rPr>
                <w:sz w:val="20"/>
                <w:szCs w:val="20"/>
              </w:rPr>
              <w:t xml:space="preserve">15.277</w:t>
            </w:r>
          </w:p>
        </w:tc>
        <w:tc>
          <w:tcPr>
            <w:tcW w:type="dxa" w:w="1242"/>
            <w:vAlign w:val="center"/>
          </w:tcPr>
          <w:p>
            <w:pPr>
              <w:spacing w:before="20" w:after="20" w:line="260" w:lineRule="auto"/>
              <w:ind w:firstLine="0"/>
              <w:jc w:val="center"/>
            </w:pPr>
            <w:r>
              <w:rPr>
                <w:sz w:val="20"/>
                <w:szCs w:val="20"/>
              </w:rPr>
              <w:t xml:space="preserve">31,42%</w:t>
            </w:r>
          </w:p>
        </w:tc>
        <w:tc>
          <w:tcPr>
            <w:tcW w:type="dxa" w:w="1111"/>
            <w:vAlign w:val="center"/>
          </w:tcPr>
          <w:p>
            <w:pPr>
              <w:spacing w:before="20" w:after="20" w:line="260" w:lineRule="auto"/>
              <w:ind w:firstLine="0"/>
              <w:jc w:val="center"/>
            </w:pPr>
            <w:r>
              <w:rPr>
                <w:sz w:val="20"/>
                <w:szCs w:val="20"/>
              </w:rPr>
              <w:t xml:space="preserve">2,30</w:t>
            </w:r>
          </w:p>
        </w:tc>
        <w:tc>
          <w:tcPr>
            <w:tcW w:type="dxa" w:w="1111"/>
            <w:vAlign w:val="center"/>
          </w:tcPr>
          <w:p>
            <w:pPr>
              <w:spacing w:before="20" w:after="20" w:line="260" w:lineRule="auto"/>
              <w:ind w:firstLine="0"/>
              <w:jc w:val="center"/>
            </w:pPr>
            <w:r>
              <w:rPr>
                <w:sz w:val="20"/>
                <w:szCs w:val="20"/>
              </w:rPr>
              <w:t xml:space="preserve">75,35%</w:t>
            </w:r>
          </w:p>
        </w:tc>
        <w:tc>
          <w:tcPr>
            <w:tcW w:type="dxa" w:w="1245"/>
            <w:vAlign w:val="center"/>
          </w:tcPr>
          <w:p>
            <w:pPr>
              <w:spacing w:before="20" w:after="20" w:line="260" w:lineRule="auto"/>
              <w:ind w:firstLine="0"/>
              <w:jc w:val="center"/>
            </w:pPr>
            <w:r>
              <w:rPr>
                <w:sz w:val="20"/>
                <w:szCs w:val="20"/>
              </w:rPr>
              <w:t xml:space="preserve">20,754</w:t>
            </w:r>
          </w:p>
        </w:tc>
      </w:tr>
    </w:tbl>
    <w:p>
      <w:pPr>
        <w:spacing w:before="40" w:after="160"/>
        <w:ind w:firstLine="0"/>
      </w:pPr>
      <w:r>
        <w:rPr>
          <w:i/>
          <w:sz w:val="22"/>
          <w:szCs w:val="22"/>
        </w:rPr>
        <w:t xml:space="preserve">Nguồn: error_by_family.csv (Stage 11).</w:t>
      </w:r>
    </w:p>
    <w:p>
      <w:pPr>
        <w:keepNext/>
        <w:spacing w:before="120" w:after="60"/>
        <w:ind w:firstLine="0"/>
        <w:jc w:val="center"/>
      </w:pPr>
      <w:r>
        <w:t xml:space="preserve">Bảng B.2. Tổng P50, lượng bổ sung gợi ý, nhãn rủi ro và phản ứng P50 dưới kịch bản khuyến mãi theo nhóm sản phẩm</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111"/>
        <w:gridCol w:w="1242"/>
        <w:gridCol w:w="1493"/>
        <w:gridCol w:w="1604"/>
        <w:gridCol w:w="1309"/>
        <w:gridCol w:w="1312"/>
      </w:tblGrid>
      <w:tr>
        <w:trPr>
          <w:tblHeader/>
          <w:cantSplit/>
        </w:trPr>
        <w:tc>
          <w:tcPr>
            <w:tcW w:type="dxa" w:w="2111"/>
            <w:shd w:val="clear" w:color="auto" w:fill="D9E2F3"/>
            <w:vAlign w:val="center"/>
          </w:tcPr>
          <w:p>
            <w:pPr>
              <w:spacing w:before="20" w:after="20" w:line="260" w:lineRule="auto"/>
              <w:ind w:firstLine="0"/>
              <w:jc w:val="center"/>
            </w:pPr>
            <w:r>
              <w:rPr>
                <w:b/>
                <w:sz w:val="20"/>
                <w:szCs w:val="20"/>
              </w:rPr>
              <w:t xml:space="preserve">Nhóm sản phẩm</w:t>
            </w:r>
          </w:p>
        </w:tc>
        <w:tc>
          <w:tcPr>
            <w:tcW w:type="dxa" w:w="1242"/>
            <w:shd w:val="clear" w:color="auto" w:fill="D9E2F3"/>
            <w:vAlign w:val="center"/>
          </w:tcPr>
          <w:p>
            <w:pPr>
              <w:spacing w:before="20" w:after="20" w:line="260" w:lineRule="auto"/>
              <w:ind w:firstLine="0"/>
              <w:jc w:val="center"/>
            </w:pPr>
            <w:r>
              <w:rPr>
                <w:b/>
                <w:sz w:val="20"/>
                <w:szCs w:val="20"/>
              </w:rPr>
              <w:t xml:space="preserve">Tổng P50</w:t>
            </w:r>
          </w:p>
        </w:tc>
        <w:tc>
          <w:tcPr>
            <w:tcW w:type="dxa" w:w="1493"/>
            <w:shd w:val="clear" w:color="auto" w:fill="D9E2F3"/>
            <w:vAlign w:val="center"/>
          </w:tcPr>
          <w:p>
            <w:pPr>
              <w:spacing w:before="20" w:after="20" w:line="260" w:lineRule="auto"/>
              <w:ind w:firstLine="0"/>
              <w:jc w:val="center"/>
            </w:pPr>
            <w:r>
              <w:rPr>
                <w:b/>
                <w:sz w:val="20"/>
                <w:szCs w:val="20"/>
              </w:rPr>
              <w:t xml:space="preserve">Bổ sung gợi ý</w:t>
            </w:r>
          </w:p>
        </w:tc>
        <w:tc>
          <w:tcPr>
            <w:tcW w:type="dxa" w:w="1604"/>
            <w:shd w:val="clear" w:color="auto" w:fill="D9E2F3"/>
            <w:vAlign w:val="center"/>
          </w:tcPr>
          <w:p>
            <w:pPr>
              <w:spacing w:before="20" w:after="20" w:line="260" w:lineRule="auto"/>
              <w:ind w:firstLine="0"/>
              <w:jc w:val="center"/>
            </w:pPr>
            <w:r>
              <w:rPr>
                <w:b/>
                <w:sz w:val="20"/>
                <w:szCs w:val="20"/>
              </w:rPr>
              <w:t xml:space="preserve">HIGH/MEDIUM/LOW</w:t>
            </w:r>
          </w:p>
        </w:tc>
        <w:tc>
          <w:tcPr>
            <w:tcW w:type="dxa" w:w="1309"/>
            <w:shd w:val="clear" w:color="auto" w:fill="D9E2F3"/>
            <w:vAlign w:val="center"/>
          </w:tcPr>
          <w:p>
            <w:pPr>
              <w:spacing w:before="20" w:after="20" w:line="260" w:lineRule="auto"/>
              <w:ind w:firstLine="0"/>
              <w:jc w:val="center"/>
            </w:pPr>
            <w:r>
              <w:rPr>
                <w:b/>
                <w:sz w:val="20"/>
                <w:szCs w:val="20"/>
              </w:rPr>
              <w:t xml:space="preserve">Δ không KM</w:t>
            </w:r>
          </w:p>
        </w:tc>
        <w:tc>
          <w:tcPr>
            <w:tcW w:type="dxa" w:w="1312"/>
            <w:shd w:val="clear" w:color="auto" w:fill="D9E2F3"/>
            <w:vAlign w:val="center"/>
          </w:tcPr>
          <w:p>
            <w:pPr>
              <w:spacing w:before="20" w:after="20" w:line="260" w:lineRule="auto"/>
              <w:ind w:firstLine="0"/>
              <w:jc w:val="center"/>
            </w:pPr>
            <w:r>
              <w:rPr>
                <w:b/>
                <w:sz w:val="20"/>
                <w:szCs w:val="20"/>
              </w:rPr>
              <w:t xml:space="preserve">Δ KM cao</w:t>
            </w:r>
          </w:p>
        </w:tc>
      </w:tr>
      <w:tr>
        <w:trPr>
          <w:cantSplit/>
        </w:trPr>
        <w:tc>
          <w:tcPr>
            <w:tcW w:type="dxa" w:w="2111"/>
            <w:vAlign w:val="center"/>
          </w:tcPr>
          <w:p>
            <w:pPr>
              <w:spacing w:before="20" w:after="20" w:line="260" w:lineRule="auto"/>
              <w:ind w:firstLine="0"/>
              <w:jc w:val="left"/>
            </w:pPr>
            <w:r>
              <w:rPr>
                <w:sz w:val="20"/>
                <w:szCs w:val="20"/>
              </w:rPr>
              <w:t xml:space="preserve">AUTOMOTIVE</w:t>
            </w:r>
          </w:p>
        </w:tc>
        <w:tc>
          <w:tcPr>
            <w:tcW w:type="dxa" w:w="1242"/>
            <w:vAlign w:val="center"/>
          </w:tcPr>
          <w:p>
            <w:pPr>
              <w:spacing w:before="20" w:after="20" w:line="260" w:lineRule="auto"/>
              <w:ind w:firstLine="0"/>
              <w:jc w:val="center"/>
            </w:pPr>
            <w:r>
              <w:rPr>
                <w:sz w:val="20"/>
                <w:szCs w:val="20"/>
              </w:rPr>
              <w:t xml:space="preserve">5.617</w:t>
            </w:r>
          </w:p>
        </w:tc>
        <w:tc>
          <w:tcPr>
            <w:tcW w:type="dxa" w:w="1493"/>
            <w:vAlign w:val="center"/>
          </w:tcPr>
          <w:p>
            <w:pPr>
              <w:spacing w:before="20" w:after="20" w:line="260" w:lineRule="auto"/>
              <w:ind w:firstLine="0"/>
              <w:jc w:val="center"/>
            </w:pPr>
            <w:r>
              <w:rPr>
                <w:sz w:val="20"/>
                <w:szCs w:val="20"/>
              </w:rPr>
              <w:t xml:space="preserve">7.787</w:t>
            </w:r>
          </w:p>
        </w:tc>
        <w:tc>
          <w:tcPr>
            <w:tcW w:type="dxa" w:w="1604"/>
            <w:vAlign w:val="center"/>
          </w:tcPr>
          <w:p>
            <w:pPr>
              <w:spacing w:before="20" w:after="20" w:line="260" w:lineRule="auto"/>
              <w:ind w:firstLine="0"/>
              <w:jc w:val="center"/>
            </w:pPr>
            <w:r>
              <w:rPr>
                <w:sz w:val="20"/>
                <w:szCs w:val="20"/>
              </w:rPr>
              <w:t xml:space="preserve">54/0/0</w:t>
            </w:r>
          </w:p>
        </w:tc>
        <w:tc>
          <w:tcPr>
            <w:tcW w:type="dxa" w:w="1309"/>
            <w:vAlign w:val="center"/>
          </w:tcPr>
          <w:p>
            <w:pPr>
              <w:spacing w:before="20" w:after="20" w:line="260" w:lineRule="auto"/>
              <w:ind w:firstLine="0"/>
              <w:jc w:val="center"/>
            </w:pPr>
            <w:r>
              <w:rPr>
                <w:sz w:val="20"/>
                <w:szCs w:val="20"/>
              </w:rPr>
              <w:t xml:space="preserve">−2,08%</w:t>
            </w:r>
          </w:p>
        </w:tc>
        <w:tc>
          <w:tcPr>
            <w:tcW w:type="dxa" w:w="1312"/>
            <w:vAlign w:val="center"/>
          </w:tcPr>
          <w:p>
            <w:pPr>
              <w:spacing w:before="20" w:after="20" w:line="260" w:lineRule="auto"/>
              <w:ind w:firstLine="0"/>
              <w:jc w:val="center"/>
            </w:pPr>
            <w:r>
              <w:rPr>
                <w:sz w:val="20"/>
                <w:szCs w:val="20"/>
              </w:rPr>
              <w:t xml:space="preserve">1.376,10%</w:t>
            </w:r>
          </w:p>
        </w:tc>
      </w:tr>
      <w:tr>
        <w:trPr>
          <w:cantSplit/>
        </w:trPr>
        <w:tc>
          <w:tcPr>
            <w:tcW w:type="dxa" w:w="2111"/>
            <w:vAlign w:val="center"/>
          </w:tcPr>
          <w:p>
            <w:pPr>
              <w:spacing w:before="20" w:after="20" w:line="260" w:lineRule="auto"/>
              <w:ind w:firstLine="0"/>
              <w:jc w:val="left"/>
            </w:pPr>
            <w:r>
              <w:rPr>
                <w:sz w:val="20"/>
                <w:szCs w:val="20"/>
              </w:rPr>
              <w:t xml:space="preserve">BABY CARE</w:t>
            </w:r>
          </w:p>
        </w:tc>
        <w:tc>
          <w:tcPr>
            <w:tcW w:type="dxa" w:w="1242"/>
            <w:vAlign w:val="center"/>
          </w:tcPr>
          <w:p>
            <w:pPr>
              <w:spacing w:before="20" w:after="20" w:line="260" w:lineRule="auto"/>
              <w:ind w:firstLine="0"/>
              <w:jc w:val="center"/>
            </w:pPr>
            <w:r>
              <w:rPr>
                <w:sz w:val="20"/>
                <w:szCs w:val="20"/>
              </w:rPr>
              <w:t xml:space="preserve">1.432</w:t>
            </w:r>
          </w:p>
        </w:tc>
        <w:tc>
          <w:tcPr>
            <w:tcW w:type="dxa" w:w="1493"/>
            <w:vAlign w:val="center"/>
          </w:tcPr>
          <w:p>
            <w:pPr>
              <w:spacing w:before="20" w:after="20" w:line="260" w:lineRule="auto"/>
              <w:ind w:firstLine="0"/>
              <w:jc w:val="center"/>
            </w:pPr>
            <w:r>
              <w:rPr>
                <w:sz w:val="20"/>
                <w:szCs w:val="20"/>
              </w:rPr>
              <w:t xml:space="preserve">4.719</w:t>
            </w:r>
          </w:p>
        </w:tc>
        <w:tc>
          <w:tcPr>
            <w:tcW w:type="dxa" w:w="1604"/>
            <w:vAlign w:val="center"/>
          </w:tcPr>
          <w:p>
            <w:pPr>
              <w:spacing w:before="20" w:after="20" w:line="260" w:lineRule="auto"/>
              <w:ind w:firstLine="0"/>
              <w:jc w:val="center"/>
            </w:pPr>
            <w:r>
              <w:rPr>
                <w:sz w:val="20"/>
                <w:szCs w:val="20"/>
              </w:rPr>
              <w:t xml:space="preserve">54/0/0</w:t>
            </w:r>
          </w:p>
        </w:tc>
        <w:tc>
          <w:tcPr>
            <w:tcW w:type="dxa" w:w="1309"/>
            <w:vAlign w:val="center"/>
          </w:tcPr>
          <w:p>
            <w:pPr>
              <w:spacing w:before="20" w:after="20" w:line="260" w:lineRule="auto"/>
              <w:ind w:firstLine="0"/>
              <w:jc w:val="center"/>
            </w:pPr>
            <w:r>
              <w:rPr>
                <w:sz w:val="20"/>
                <w:szCs w:val="20"/>
              </w:rPr>
              <w:t xml:space="preserve">−6,58%</w:t>
            </w:r>
          </w:p>
        </w:tc>
        <w:tc>
          <w:tcPr>
            <w:tcW w:type="dxa" w:w="1312"/>
            <w:vAlign w:val="center"/>
          </w:tcPr>
          <w:p>
            <w:pPr>
              <w:spacing w:before="20" w:after="20" w:line="260" w:lineRule="auto"/>
              <w:ind w:firstLine="0"/>
              <w:jc w:val="center"/>
            </w:pPr>
            <w:r>
              <w:rPr>
                <w:sz w:val="20"/>
                <w:szCs w:val="20"/>
              </w:rPr>
              <w:t xml:space="preserve">22.743,28%</w:t>
            </w:r>
          </w:p>
        </w:tc>
      </w:tr>
      <w:tr>
        <w:trPr>
          <w:cantSplit/>
        </w:trPr>
        <w:tc>
          <w:tcPr>
            <w:tcW w:type="dxa" w:w="2111"/>
            <w:vAlign w:val="center"/>
          </w:tcPr>
          <w:p>
            <w:pPr>
              <w:spacing w:before="20" w:after="20" w:line="260" w:lineRule="auto"/>
              <w:ind w:firstLine="0"/>
              <w:jc w:val="left"/>
            </w:pPr>
            <w:r>
              <w:rPr>
                <w:sz w:val="20"/>
                <w:szCs w:val="20"/>
              </w:rPr>
              <w:t xml:space="preserve">BEAUTY</w:t>
            </w:r>
          </w:p>
        </w:tc>
        <w:tc>
          <w:tcPr>
            <w:tcW w:type="dxa" w:w="1242"/>
            <w:vAlign w:val="center"/>
          </w:tcPr>
          <w:p>
            <w:pPr>
              <w:spacing w:before="20" w:after="20" w:line="260" w:lineRule="auto"/>
              <w:ind w:firstLine="0"/>
              <w:jc w:val="center"/>
            </w:pPr>
            <w:r>
              <w:rPr>
                <w:sz w:val="20"/>
                <w:szCs w:val="20"/>
              </w:rPr>
              <w:t xml:space="preserve">8.844</w:t>
            </w:r>
          </w:p>
        </w:tc>
        <w:tc>
          <w:tcPr>
            <w:tcW w:type="dxa" w:w="1493"/>
            <w:vAlign w:val="center"/>
          </w:tcPr>
          <w:p>
            <w:pPr>
              <w:spacing w:before="20" w:after="20" w:line="260" w:lineRule="auto"/>
              <w:ind w:firstLine="0"/>
              <w:jc w:val="center"/>
            </w:pPr>
            <w:r>
              <w:rPr>
                <w:sz w:val="20"/>
                <w:szCs w:val="20"/>
              </w:rPr>
              <w:t xml:space="preserve">11.056</w:t>
            </w:r>
          </w:p>
        </w:tc>
        <w:tc>
          <w:tcPr>
            <w:tcW w:type="dxa" w:w="1604"/>
            <w:vAlign w:val="center"/>
          </w:tcPr>
          <w:p>
            <w:pPr>
              <w:spacing w:before="20" w:after="20" w:line="260" w:lineRule="auto"/>
              <w:ind w:firstLine="0"/>
              <w:jc w:val="center"/>
            </w:pPr>
            <w:r>
              <w:rPr>
                <w:sz w:val="20"/>
                <w:szCs w:val="20"/>
              </w:rPr>
              <w:t xml:space="preserve">54/0/0</w:t>
            </w:r>
          </w:p>
        </w:tc>
        <w:tc>
          <w:tcPr>
            <w:tcW w:type="dxa" w:w="1309"/>
            <w:vAlign w:val="center"/>
          </w:tcPr>
          <w:p>
            <w:pPr>
              <w:spacing w:before="20" w:after="20" w:line="260" w:lineRule="auto"/>
              <w:ind w:firstLine="0"/>
              <w:jc w:val="center"/>
            </w:pPr>
            <w:r>
              <w:rPr>
                <w:sz w:val="20"/>
                <w:szCs w:val="20"/>
              </w:rPr>
              <w:t xml:space="preserve">−61,24%</w:t>
            </w:r>
          </w:p>
        </w:tc>
        <w:tc>
          <w:tcPr>
            <w:tcW w:type="dxa" w:w="1312"/>
            <w:vAlign w:val="center"/>
          </w:tcPr>
          <w:p>
            <w:pPr>
              <w:spacing w:before="20" w:after="20" w:line="260" w:lineRule="auto"/>
              <w:ind w:firstLine="0"/>
              <w:jc w:val="center"/>
            </w:pPr>
            <w:r>
              <w:rPr>
                <w:sz w:val="20"/>
                <w:szCs w:val="20"/>
              </w:rPr>
              <w:t xml:space="preserve">673,97%</w:t>
            </w:r>
          </w:p>
        </w:tc>
      </w:tr>
      <w:tr>
        <w:trPr>
          <w:cantSplit/>
        </w:trPr>
        <w:tc>
          <w:tcPr>
            <w:tcW w:type="dxa" w:w="2111"/>
            <w:vAlign w:val="center"/>
          </w:tcPr>
          <w:p>
            <w:pPr>
              <w:spacing w:before="20" w:after="20" w:line="260" w:lineRule="auto"/>
              <w:ind w:firstLine="0"/>
              <w:jc w:val="left"/>
            </w:pPr>
            <w:r>
              <w:rPr>
                <w:sz w:val="20"/>
                <w:szCs w:val="20"/>
              </w:rPr>
              <w:t xml:space="preserve">BEVERAGES</w:t>
            </w:r>
          </w:p>
        </w:tc>
        <w:tc>
          <w:tcPr>
            <w:tcW w:type="dxa" w:w="1242"/>
            <w:vAlign w:val="center"/>
          </w:tcPr>
          <w:p>
            <w:pPr>
              <w:spacing w:before="20" w:after="20" w:line="260" w:lineRule="auto"/>
              <w:ind w:firstLine="0"/>
              <w:jc w:val="center"/>
            </w:pPr>
            <w:r>
              <w:rPr>
                <w:sz w:val="20"/>
                <w:szCs w:val="20"/>
              </w:rPr>
              <w:t xml:space="preserve">3.123.373</w:t>
            </w:r>
          </w:p>
        </w:tc>
        <w:tc>
          <w:tcPr>
            <w:tcW w:type="dxa" w:w="1493"/>
            <w:vAlign w:val="center"/>
          </w:tcPr>
          <w:p>
            <w:pPr>
              <w:spacing w:before="20" w:after="20" w:line="260" w:lineRule="auto"/>
              <w:ind w:firstLine="0"/>
              <w:jc w:val="center"/>
            </w:pPr>
            <w:r>
              <w:rPr>
                <w:sz w:val="20"/>
                <w:szCs w:val="20"/>
              </w:rPr>
              <w:t xml:space="preserve">1.258.235</w:t>
            </w:r>
          </w:p>
        </w:tc>
        <w:tc>
          <w:tcPr>
            <w:tcW w:type="dxa" w:w="1604"/>
            <w:vAlign w:val="center"/>
          </w:tcPr>
          <w:p>
            <w:pPr>
              <w:spacing w:before="20" w:after="20" w:line="260" w:lineRule="auto"/>
              <w:ind w:firstLine="0"/>
              <w:jc w:val="center"/>
            </w:pPr>
            <w:r>
              <w:rPr>
                <w:sz w:val="20"/>
                <w:szCs w:val="20"/>
              </w:rPr>
              <w:t xml:space="preserve">1/29/24</w:t>
            </w:r>
          </w:p>
        </w:tc>
        <w:tc>
          <w:tcPr>
            <w:tcW w:type="dxa" w:w="1309"/>
            <w:vAlign w:val="center"/>
          </w:tcPr>
          <w:p>
            <w:pPr>
              <w:spacing w:before="20" w:after="20" w:line="260" w:lineRule="auto"/>
              <w:ind w:firstLine="0"/>
              <w:jc w:val="center"/>
            </w:pPr>
            <w:r>
              <w:rPr>
                <w:sz w:val="20"/>
                <w:szCs w:val="20"/>
              </w:rPr>
              <w:t xml:space="preserve">−6,18%</w:t>
            </w:r>
          </w:p>
        </w:tc>
        <w:tc>
          <w:tcPr>
            <w:tcW w:type="dxa" w:w="1312"/>
            <w:vAlign w:val="center"/>
          </w:tcPr>
          <w:p>
            <w:pPr>
              <w:spacing w:before="20" w:after="20" w:line="260" w:lineRule="auto"/>
              <w:ind w:firstLine="0"/>
              <w:jc w:val="center"/>
            </w:pPr>
            <w:r>
              <w:rPr>
                <w:sz w:val="20"/>
                <w:szCs w:val="20"/>
              </w:rPr>
              <w:t xml:space="preserve">−2,34%</w:t>
            </w:r>
          </w:p>
        </w:tc>
      </w:tr>
      <w:tr>
        <w:trPr>
          <w:cantSplit/>
        </w:trPr>
        <w:tc>
          <w:tcPr>
            <w:tcW w:type="dxa" w:w="2111"/>
            <w:vAlign w:val="center"/>
          </w:tcPr>
          <w:p>
            <w:pPr>
              <w:spacing w:before="20" w:after="20" w:line="260" w:lineRule="auto"/>
              <w:ind w:firstLine="0"/>
              <w:jc w:val="left"/>
            </w:pPr>
            <w:r>
              <w:rPr>
                <w:sz w:val="20"/>
                <w:szCs w:val="20"/>
              </w:rPr>
              <w:t xml:space="preserve">BOOKS</w:t>
            </w:r>
          </w:p>
        </w:tc>
        <w:tc>
          <w:tcPr>
            <w:tcW w:type="dxa" w:w="1242"/>
            <w:vAlign w:val="center"/>
          </w:tcPr>
          <w:p>
            <w:pPr>
              <w:spacing w:before="20" w:after="20" w:line="260" w:lineRule="auto"/>
              <w:ind w:firstLine="0"/>
              <w:jc w:val="center"/>
            </w:pPr>
            <w:r>
              <w:rPr>
                <w:sz w:val="20"/>
                <w:szCs w:val="20"/>
              </w:rPr>
              <w:t xml:space="preserve">1.276</w:t>
            </w:r>
          </w:p>
        </w:tc>
        <w:tc>
          <w:tcPr>
            <w:tcW w:type="dxa" w:w="1493"/>
            <w:vAlign w:val="center"/>
          </w:tcPr>
          <w:p>
            <w:pPr>
              <w:spacing w:before="20" w:after="20" w:line="260" w:lineRule="auto"/>
              <w:ind w:firstLine="0"/>
              <w:jc w:val="center"/>
            </w:pPr>
            <w:r>
              <w:rPr>
                <w:sz w:val="20"/>
                <w:szCs w:val="20"/>
              </w:rPr>
              <w:t xml:space="preserve">4.593</w:t>
            </w:r>
          </w:p>
        </w:tc>
        <w:tc>
          <w:tcPr>
            <w:tcW w:type="dxa" w:w="1604"/>
            <w:vAlign w:val="center"/>
          </w:tcPr>
          <w:p>
            <w:pPr>
              <w:spacing w:before="20" w:after="20" w:line="260" w:lineRule="auto"/>
              <w:ind w:firstLine="0"/>
              <w:jc w:val="center"/>
            </w:pPr>
            <w:r>
              <w:rPr>
                <w:sz w:val="20"/>
                <w:szCs w:val="20"/>
              </w:rPr>
              <w:t xml:space="preserve">54/0/0</w:t>
            </w:r>
          </w:p>
        </w:tc>
        <w:tc>
          <w:tcPr>
            <w:tcW w:type="dxa" w:w="1309"/>
            <w:vAlign w:val="center"/>
          </w:tcPr>
          <w:p>
            <w:pPr>
              <w:spacing w:before="20" w:after="20" w:line="260" w:lineRule="auto"/>
              <w:ind w:firstLine="0"/>
              <w:jc w:val="center"/>
            </w:pPr>
            <w:r>
              <w:rPr>
                <w:sz w:val="20"/>
                <w:szCs w:val="20"/>
              </w:rPr>
              <w:t xml:space="preserve">0,00%</w:t>
            </w:r>
          </w:p>
        </w:tc>
        <w:tc>
          <w:tcPr>
            <w:tcW w:type="dxa" w:w="1312"/>
            <w:vAlign w:val="center"/>
          </w:tcPr>
          <w:p>
            <w:pPr>
              <w:spacing w:before="20" w:after="20" w:line="260" w:lineRule="auto"/>
              <w:ind w:firstLine="0"/>
              <w:jc w:val="center"/>
            </w:pPr>
            <w:r>
              <w:rPr>
                <w:sz w:val="20"/>
                <w:szCs w:val="20"/>
              </w:rPr>
              <w:t xml:space="preserve">29.713,32%</w:t>
            </w:r>
          </w:p>
        </w:tc>
      </w:tr>
      <w:tr>
        <w:trPr>
          <w:cantSplit/>
        </w:trPr>
        <w:tc>
          <w:tcPr>
            <w:tcW w:type="dxa" w:w="2111"/>
            <w:vAlign w:val="center"/>
          </w:tcPr>
          <w:p>
            <w:pPr>
              <w:spacing w:before="20" w:after="20" w:line="260" w:lineRule="auto"/>
              <w:ind w:firstLine="0"/>
              <w:jc w:val="left"/>
            </w:pPr>
            <w:r>
              <w:rPr>
                <w:sz w:val="20"/>
                <w:szCs w:val="20"/>
              </w:rPr>
              <w:t xml:space="preserve">BREAD/BAKERY</w:t>
            </w:r>
          </w:p>
        </w:tc>
        <w:tc>
          <w:tcPr>
            <w:tcW w:type="dxa" w:w="1242"/>
            <w:vAlign w:val="center"/>
          </w:tcPr>
          <w:p>
            <w:pPr>
              <w:spacing w:before="20" w:after="20" w:line="260" w:lineRule="auto"/>
              <w:ind w:firstLine="0"/>
              <w:jc w:val="center"/>
            </w:pPr>
            <w:r>
              <w:rPr>
                <w:sz w:val="20"/>
                <w:szCs w:val="20"/>
              </w:rPr>
              <w:t xml:space="preserve">485.312</w:t>
            </w:r>
          </w:p>
        </w:tc>
        <w:tc>
          <w:tcPr>
            <w:tcW w:type="dxa" w:w="1493"/>
            <w:vAlign w:val="center"/>
          </w:tcPr>
          <w:p>
            <w:pPr>
              <w:spacing w:before="20" w:after="20" w:line="260" w:lineRule="auto"/>
              <w:ind w:firstLine="0"/>
              <w:jc w:val="center"/>
            </w:pPr>
            <w:r>
              <w:rPr>
                <w:sz w:val="20"/>
                <w:szCs w:val="20"/>
              </w:rPr>
              <w:t xml:space="preserve">233.323</w:t>
            </w:r>
          </w:p>
        </w:tc>
        <w:tc>
          <w:tcPr>
            <w:tcW w:type="dxa" w:w="1604"/>
            <w:vAlign w:val="center"/>
          </w:tcPr>
          <w:p>
            <w:pPr>
              <w:spacing w:before="20" w:after="20" w:line="260" w:lineRule="auto"/>
              <w:ind w:firstLine="0"/>
              <w:jc w:val="center"/>
            </w:pPr>
            <w:r>
              <w:rPr>
                <w:sz w:val="20"/>
                <w:szCs w:val="20"/>
              </w:rPr>
              <w:t xml:space="preserve">0/51/3</w:t>
            </w:r>
          </w:p>
        </w:tc>
        <w:tc>
          <w:tcPr>
            <w:tcW w:type="dxa" w:w="1309"/>
            <w:vAlign w:val="center"/>
          </w:tcPr>
          <w:p>
            <w:pPr>
              <w:spacing w:before="20" w:after="20" w:line="260" w:lineRule="auto"/>
              <w:ind w:firstLine="0"/>
              <w:jc w:val="center"/>
            </w:pPr>
            <w:r>
              <w:rPr>
                <w:sz w:val="20"/>
                <w:szCs w:val="20"/>
              </w:rPr>
              <w:t xml:space="preserve">−2,82%</w:t>
            </w:r>
          </w:p>
        </w:tc>
        <w:tc>
          <w:tcPr>
            <w:tcW w:type="dxa" w:w="1312"/>
            <w:vAlign w:val="center"/>
          </w:tcPr>
          <w:p>
            <w:pPr>
              <w:spacing w:before="20" w:after="20" w:line="260" w:lineRule="auto"/>
              <w:ind w:firstLine="0"/>
              <w:jc w:val="center"/>
            </w:pPr>
            <w:r>
              <w:rPr>
                <w:sz w:val="20"/>
                <w:szCs w:val="20"/>
              </w:rPr>
              <w:t xml:space="preserve">0,48%</w:t>
            </w:r>
          </w:p>
        </w:tc>
      </w:tr>
      <w:tr>
        <w:trPr>
          <w:cantSplit/>
        </w:trPr>
        <w:tc>
          <w:tcPr>
            <w:tcW w:type="dxa" w:w="2111"/>
            <w:vAlign w:val="center"/>
          </w:tcPr>
          <w:p>
            <w:pPr>
              <w:spacing w:before="20" w:after="20" w:line="260" w:lineRule="auto"/>
              <w:ind w:firstLine="0"/>
              <w:jc w:val="left"/>
            </w:pPr>
            <w:r>
              <w:rPr>
                <w:sz w:val="20"/>
                <w:szCs w:val="20"/>
              </w:rPr>
              <w:t xml:space="preserve">CELEBRATION</w:t>
            </w:r>
          </w:p>
        </w:tc>
        <w:tc>
          <w:tcPr>
            <w:tcW w:type="dxa" w:w="1242"/>
            <w:vAlign w:val="center"/>
          </w:tcPr>
          <w:p>
            <w:pPr>
              <w:spacing w:before="20" w:after="20" w:line="260" w:lineRule="auto"/>
              <w:ind w:firstLine="0"/>
              <w:jc w:val="center"/>
            </w:pPr>
            <w:r>
              <w:rPr>
                <w:sz w:val="20"/>
                <w:szCs w:val="20"/>
              </w:rPr>
              <w:t xml:space="preserve">10.551</w:t>
            </w:r>
          </w:p>
        </w:tc>
        <w:tc>
          <w:tcPr>
            <w:tcW w:type="dxa" w:w="1493"/>
            <w:vAlign w:val="center"/>
          </w:tcPr>
          <w:p>
            <w:pPr>
              <w:spacing w:before="20" w:after="20" w:line="260" w:lineRule="auto"/>
              <w:ind w:firstLine="0"/>
              <w:jc w:val="center"/>
            </w:pPr>
            <w:r>
              <w:rPr>
                <w:sz w:val="20"/>
                <w:szCs w:val="20"/>
              </w:rPr>
              <w:t xml:space="preserve">12.181</w:t>
            </w:r>
          </w:p>
        </w:tc>
        <w:tc>
          <w:tcPr>
            <w:tcW w:type="dxa" w:w="1604"/>
            <w:vAlign w:val="center"/>
          </w:tcPr>
          <w:p>
            <w:pPr>
              <w:spacing w:before="20" w:after="20" w:line="260" w:lineRule="auto"/>
              <w:ind w:firstLine="0"/>
              <w:jc w:val="center"/>
            </w:pPr>
            <w:r>
              <w:rPr>
                <w:sz w:val="20"/>
                <w:szCs w:val="20"/>
              </w:rPr>
              <w:t xml:space="preserve">54/0/0</w:t>
            </w:r>
          </w:p>
        </w:tc>
        <w:tc>
          <w:tcPr>
            <w:tcW w:type="dxa" w:w="1309"/>
            <w:vAlign w:val="center"/>
          </w:tcPr>
          <w:p>
            <w:pPr>
              <w:spacing w:before="20" w:after="20" w:line="260" w:lineRule="auto"/>
              <w:ind w:firstLine="0"/>
              <w:jc w:val="center"/>
            </w:pPr>
            <w:r>
              <w:rPr>
                <w:sz w:val="20"/>
                <w:szCs w:val="20"/>
              </w:rPr>
              <w:t xml:space="preserve">−0,70%</w:t>
            </w:r>
          </w:p>
        </w:tc>
        <w:tc>
          <w:tcPr>
            <w:tcW w:type="dxa" w:w="1312"/>
            <w:vAlign w:val="center"/>
          </w:tcPr>
          <w:p>
            <w:pPr>
              <w:spacing w:before="20" w:after="20" w:line="260" w:lineRule="auto"/>
              <w:ind w:firstLine="0"/>
              <w:jc w:val="center"/>
            </w:pPr>
            <w:r>
              <w:rPr>
                <w:sz w:val="20"/>
                <w:szCs w:val="20"/>
              </w:rPr>
              <w:t xml:space="preserve">407,50%</w:t>
            </w:r>
          </w:p>
        </w:tc>
      </w:tr>
      <w:tr>
        <w:trPr>
          <w:cantSplit/>
        </w:trPr>
        <w:tc>
          <w:tcPr>
            <w:tcW w:type="dxa" w:w="2111"/>
            <w:vAlign w:val="center"/>
          </w:tcPr>
          <w:p>
            <w:pPr>
              <w:spacing w:before="20" w:after="20" w:line="260" w:lineRule="auto"/>
              <w:ind w:firstLine="0"/>
              <w:jc w:val="left"/>
            </w:pPr>
            <w:r>
              <w:rPr>
                <w:sz w:val="20"/>
                <w:szCs w:val="20"/>
              </w:rPr>
              <w:t xml:space="preserve">CLEANING</w:t>
            </w:r>
          </w:p>
        </w:tc>
        <w:tc>
          <w:tcPr>
            <w:tcW w:type="dxa" w:w="1242"/>
            <w:vAlign w:val="center"/>
          </w:tcPr>
          <w:p>
            <w:pPr>
              <w:spacing w:before="20" w:after="20" w:line="260" w:lineRule="auto"/>
              <w:ind w:firstLine="0"/>
              <w:jc w:val="center"/>
            </w:pPr>
            <w:r>
              <w:rPr>
                <w:sz w:val="20"/>
                <w:szCs w:val="20"/>
              </w:rPr>
              <w:t xml:space="preserve">1.111.558</w:t>
            </w:r>
          </w:p>
        </w:tc>
        <w:tc>
          <w:tcPr>
            <w:tcW w:type="dxa" w:w="1493"/>
            <w:vAlign w:val="center"/>
          </w:tcPr>
          <w:p>
            <w:pPr>
              <w:spacing w:before="20" w:after="20" w:line="260" w:lineRule="auto"/>
              <w:ind w:firstLine="0"/>
              <w:jc w:val="center"/>
            </w:pPr>
            <w:r>
              <w:rPr>
                <w:sz w:val="20"/>
                <w:szCs w:val="20"/>
              </w:rPr>
              <w:t xml:space="preserve">576.045</w:t>
            </w:r>
          </w:p>
        </w:tc>
        <w:tc>
          <w:tcPr>
            <w:tcW w:type="dxa" w:w="1604"/>
            <w:vAlign w:val="center"/>
          </w:tcPr>
          <w:p>
            <w:pPr>
              <w:spacing w:before="20" w:after="20" w:line="260" w:lineRule="auto"/>
              <w:ind w:firstLine="0"/>
              <w:jc w:val="center"/>
            </w:pPr>
            <w:r>
              <w:rPr>
                <w:sz w:val="20"/>
                <w:szCs w:val="20"/>
              </w:rPr>
              <w:t xml:space="preserve">0/46/8</w:t>
            </w:r>
          </w:p>
        </w:tc>
        <w:tc>
          <w:tcPr>
            <w:tcW w:type="dxa" w:w="1309"/>
            <w:vAlign w:val="center"/>
          </w:tcPr>
          <w:p>
            <w:pPr>
              <w:spacing w:before="20" w:after="20" w:line="260" w:lineRule="auto"/>
              <w:ind w:firstLine="0"/>
              <w:jc w:val="center"/>
            </w:pPr>
            <w:r>
              <w:rPr>
                <w:sz w:val="20"/>
                <w:szCs w:val="20"/>
              </w:rPr>
              <w:t xml:space="preserve">−4,67%</w:t>
            </w:r>
          </w:p>
        </w:tc>
        <w:tc>
          <w:tcPr>
            <w:tcW w:type="dxa" w:w="1312"/>
            <w:vAlign w:val="center"/>
          </w:tcPr>
          <w:p>
            <w:pPr>
              <w:spacing w:before="20" w:after="20" w:line="260" w:lineRule="auto"/>
              <w:ind w:firstLine="0"/>
              <w:jc w:val="center"/>
            </w:pPr>
            <w:r>
              <w:rPr>
                <w:sz w:val="20"/>
                <w:szCs w:val="20"/>
              </w:rPr>
              <w:t xml:space="preserve">−1,37%</w:t>
            </w:r>
          </w:p>
        </w:tc>
      </w:tr>
      <w:tr>
        <w:trPr>
          <w:cantSplit/>
        </w:trPr>
        <w:tc>
          <w:tcPr>
            <w:tcW w:type="dxa" w:w="2111"/>
            <w:vAlign w:val="center"/>
          </w:tcPr>
          <w:p>
            <w:pPr>
              <w:spacing w:before="20" w:after="20" w:line="260" w:lineRule="auto"/>
              <w:ind w:firstLine="0"/>
              <w:jc w:val="left"/>
            </w:pPr>
            <w:r>
              <w:rPr>
                <w:sz w:val="20"/>
                <w:szCs w:val="20"/>
              </w:rPr>
              <w:t xml:space="preserve">DAIRY</w:t>
            </w:r>
          </w:p>
        </w:tc>
        <w:tc>
          <w:tcPr>
            <w:tcW w:type="dxa" w:w="1242"/>
            <w:vAlign w:val="center"/>
          </w:tcPr>
          <w:p>
            <w:pPr>
              <w:spacing w:before="20" w:after="20" w:line="260" w:lineRule="auto"/>
              <w:ind w:firstLine="0"/>
              <w:jc w:val="center"/>
            </w:pPr>
            <w:r>
              <w:rPr>
                <w:sz w:val="20"/>
                <w:szCs w:val="20"/>
              </w:rPr>
              <w:t xml:space="preserve">793.277</w:t>
            </w:r>
          </w:p>
        </w:tc>
        <w:tc>
          <w:tcPr>
            <w:tcW w:type="dxa" w:w="1493"/>
            <w:vAlign w:val="center"/>
          </w:tcPr>
          <w:p>
            <w:pPr>
              <w:spacing w:before="20" w:after="20" w:line="260" w:lineRule="auto"/>
              <w:ind w:firstLine="0"/>
              <w:jc w:val="center"/>
            </w:pPr>
            <w:r>
              <w:rPr>
                <w:sz w:val="20"/>
                <w:szCs w:val="20"/>
              </w:rPr>
              <w:t xml:space="preserve">390.206</w:t>
            </w:r>
          </w:p>
        </w:tc>
        <w:tc>
          <w:tcPr>
            <w:tcW w:type="dxa" w:w="1604"/>
            <w:vAlign w:val="center"/>
          </w:tcPr>
          <w:p>
            <w:pPr>
              <w:spacing w:before="20" w:after="20" w:line="260" w:lineRule="auto"/>
              <w:ind w:firstLine="0"/>
              <w:jc w:val="center"/>
            </w:pPr>
            <w:r>
              <w:rPr>
                <w:sz w:val="20"/>
                <w:szCs w:val="20"/>
              </w:rPr>
              <w:t xml:space="preserve">0/51/3</w:t>
            </w:r>
          </w:p>
        </w:tc>
        <w:tc>
          <w:tcPr>
            <w:tcW w:type="dxa" w:w="1309"/>
            <w:vAlign w:val="center"/>
          </w:tcPr>
          <w:p>
            <w:pPr>
              <w:spacing w:before="20" w:after="20" w:line="260" w:lineRule="auto"/>
              <w:ind w:firstLine="0"/>
              <w:jc w:val="center"/>
            </w:pPr>
            <w:r>
              <w:rPr>
                <w:sz w:val="20"/>
                <w:szCs w:val="20"/>
              </w:rPr>
              <w:t xml:space="preserve">−3,40%</w:t>
            </w:r>
          </w:p>
        </w:tc>
        <w:tc>
          <w:tcPr>
            <w:tcW w:type="dxa" w:w="1312"/>
            <w:vAlign w:val="center"/>
          </w:tcPr>
          <w:p>
            <w:pPr>
              <w:spacing w:before="20" w:after="20" w:line="260" w:lineRule="auto"/>
              <w:ind w:firstLine="0"/>
              <w:jc w:val="center"/>
            </w:pPr>
            <w:r>
              <w:rPr>
                <w:sz w:val="20"/>
                <w:szCs w:val="20"/>
              </w:rPr>
              <w:t xml:space="preserve">−0,91%</w:t>
            </w:r>
          </w:p>
        </w:tc>
      </w:tr>
      <w:tr>
        <w:trPr>
          <w:cantSplit/>
        </w:trPr>
        <w:tc>
          <w:tcPr>
            <w:tcW w:type="dxa" w:w="2111"/>
            <w:vAlign w:val="center"/>
          </w:tcPr>
          <w:p>
            <w:pPr>
              <w:spacing w:before="20" w:after="20" w:line="260" w:lineRule="auto"/>
              <w:ind w:firstLine="0"/>
              <w:jc w:val="left"/>
            </w:pPr>
            <w:r>
              <w:rPr>
                <w:sz w:val="20"/>
                <w:szCs w:val="20"/>
              </w:rPr>
              <w:t xml:space="preserve">DELI</w:t>
            </w:r>
          </w:p>
        </w:tc>
        <w:tc>
          <w:tcPr>
            <w:tcW w:type="dxa" w:w="1242"/>
            <w:vAlign w:val="center"/>
          </w:tcPr>
          <w:p>
            <w:pPr>
              <w:spacing w:before="20" w:after="20" w:line="260" w:lineRule="auto"/>
              <w:ind w:firstLine="0"/>
              <w:jc w:val="center"/>
            </w:pPr>
            <w:r>
              <w:rPr>
                <w:sz w:val="20"/>
                <w:szCs w:val="20"/>
              </w:rPr>
              <w:t xml:space="preserve">283.575</w:t>
            </w:r>
          </w:p>
        </w:tc>
        <w:tc>
          <w:tcPr>
            <w:tcW w:type="dxa" w:w="1493"/>
            <w:vAlign w:val="center"/>
          </w:tcPr>
          <w:p>
            <w:pPr>
              <w:spacing w:before="20" w:after="20" w:line="260" w:lineRule="auto"/>
              <w:ind w:firstLine="0"/>
              <w:jc w:val="center"/>
            </w:pPr>
            <w:r>
              <w:rPr>
                <w:sz w:val="20"/>
                <w:szCs w:val="20"/>
              </w:rPr>
              <w:t xml:space="preserve">130.442</w:t>
            </w:r>
          </w:p>
        </w:tc>
        <w:tc>
          <w:tcPr>
            <w:tcW w:type="dxa" w:w="1604"/>
            <w:vAlign w:val="center"/>
          </w:tcPr>
          <w:p>
            <w:pPr>
              <w:spacing w:before="20" w:after="20" w:line="260" w:lineRule="auto"/>
              <w:ind w:firstLine="0"/>
              <w:jc w:val="center"/>
            </w:pPr>
            <w:r>
              <w:rPr>
                <w:sz w:val="20"/>
                <w:szCs w:val="20"/>
              </w:rPr>
              <w:t xml:space="preserve">1/53/0</w:t>
            </w:r>
          </w:p>
        </w:tc>
        <w:tc>
          <w:tcPr>
            <w:tcW w:type="dxa" w:w="1309"/>
            <w:vAlign w:val="center"/>
          </w:tcPr>
          <w:p>
            <w:pPr>
              <w:spacing w:before="20" w:after="20" w:line="260" w:lineRule="auto"/>
              <w:ind w:firstLine="0"/>
              <w:jc w:val="center"/>
            </w:pPr>
            <w:r>
              <w:rPr>
                <w:sz w:val="20"/>
                <w:szCs w:val="20"/>
              </w:rPr>
              <w:t xml:space="preserve">−4,40%</w:t>
            </w:r>
          </w:p>
        </w:tc>
        <w:tc>
          <w:tcPr>
            <w:tcW w:type="dxa" w:w="1312"/>
            <w:vAlign w:val="center"/>
          </w:tcPr>
          <w:p>
            <w:pPr>
              <w:spacing w:before="20" w:after="20" w:line="260" w:lineRule="auto"/>
              <w:ind w:firstLine="0"/>
              <w:jc w:val="center"/>
            </w:pPr>
            <w:r>
              <w:rPr>
                <w:sz w:val="20"/>
                <w:szCs w:val="20"/>
              </w:rPr>
              <w:t xml:space="preserve">0,56%</w:t>
            </w:r>
          </w:p>
        </w:tc>
      </w:tr>
      <w:tr>
        <w:trPr>
          <w:cantSplit/>
        </w:trPr>
        <w:tc>
          <w:tcPr>
            <w:tcW w:type="dxa" w:w="2111"/>
            <w:vAlign w:val="center"/>
          </w:tcPr>
          <w:p>
            <w:pPr>
              <w:spacing w:before="20" w:after="20" w:line="260" w:lineRule="auto"/>
              <w:ind w:firstLine="0"/>
              <w:jc w:val="left"/>
            </w:pPr>
            <w:r>
              <w:rPr>
                <w:sz w:val="20"/>
                <w:szCs w:val="20"/>
              </w:rPr>
              <w:t xml:space="preserve">EGGS</w:t>
            </w:r>
          </w:p>
        </w:tc>
        <w:tc>
          <w:tcPr>
            <w:tcW w:type="dxa" w:w="1242"/>
            <w:vAlign w:val="center"/>
          </w:tcPr>
          <w:p>
            <w:pPr>
              <w:spacing w:before="20" w:after="20" w:line="260" w:lineRule="auto"/>
              <w:ind w:firstLine="0"/>
              <w:jc w:val="center"/>
            </w:pPr>
            <w:r>
              <w:rPr>
                <w:sz w:val="20"/>
                <w:szCs w:val="20"/>
              </w:rPr>
              <w:t xml:space="preserve">174.867</w:t>
            </w:r>
          </w:p>
        </w:tc>
        <w:tc>
          <w:tcPr>
            <w:tcW w:type="dxa" w:w="1493"/>
            <w:vAlign w:val="center"/>
          </w:tcPr>
          <w:p>
            <w:pPr>
              <w:spacing w:before="20" w:after="20" w:line="260" w:lineRule="auto"/>
              <w:ind w:firstLine="0"/>
              <w:jc w:val="center"/>
            </w:pPr>
            <w:r>
              <w:rPr>
                <w:sz w:val="20"/>
                <w:szCs w:val="20"/>
              </w:rPr>
              <w:t xml:space="preserve">87.423</w:t>
            </w:r>
          </w:p>
        </w:tc>
        <w:tc>
          <w:tcPr>
            <w:tcW w:type="dxa" w:w="1604"/>
            <w:vAlign w:val="center"/>
          </w:tcPr>
          <w:p>
            <w:pPr>
              <w:spacing w:before="20" w:after="20" w:line="260" w:lineRule="auto"/>
              <w:ind w:firstLine="0"/>
              <w:jc w:val="center"/>
            </w:pPr>
            <w:r>
              <w:rPr>
                <w:sz w:val="20"/>
                <w:szCs w:val="20"/>
              </w:rPr>
              <w:t xml:space="preserve">10/44/0</w:t>
            </w:r>
          </w:p>
        </w:tc>
        <w:tc>
          <w:tcPr>
            <w:tcW w:type="dxa" w:w="1309"/>
            <w:vAlign w:val="center"/>
          </w:tcPr>
          <w:p>
            <w:pPr>
              <w:spacing w:before="20" w:after="20" w:line="260" w:lineRule="auto"/>
              <w:ind w:firstLine="0"/>
              <w:jc w:val="center"/>
            </w:pPr>
            <w:r>
              <w:rPr>
                <w:sz w:val="20"/>
                <w:szCs w:val="20"/>
              </w:rPr>
              <w:t xml:space="preserve">−2,93%</w:t>
            </w:r>
          </w:p>
        </w:tc>
        <w:tc>
          <w:tcPr>
            <w:tcW w:type="dxa" w:w="1312"/>
            <w:vAlign w:val="center"/>
          </w:tcPr>
          <w:p>
            <w:pPr>
              <w:spacing w:before="20" w:after="20" w:line="260" w:lineRule="auto"/>
              <w:ind w:firstLine="0"/>
              <w:jc w:val="center"/>
            </w:pPr>
            <w:r>
              <w:rPr>
                <w:sz w:val="20"/>
                <w:szCs w:val="20"/>
              </w:rPr>
              <w:t xml:space="preserve">5,67%</w:t>
            </w:r>
          </w:p>
        </w:tc>
      </w:tr>
      <w:tr>
        <w:trPr>
          <w:cantSplit/>
        </w:trPr>
        <w:tc>
          <w:tcPr>
            <w:tcW w:type="dxa" w:w="2111"/>
            <w:vAlign w:val="center"/>
          </w:tcPr>
          <w:p>
            <w:pPr>
              <w:spacing w:before="20" w:after="20" w:line="260" w:lineRule="auto"/>
              <w:ind w:firstLine="0"/>
              <w:jc w:val="left"/>
            </w:pPr>
            <w:r>
              <w:rPr>
                <w:sz w:val="20"/>
                <w:szCs w:val="20"/>
              </w:rPr>
              <w:t xml:space="preserve">FROZEN FOODS</w:t>
            </w:r>
          </w:p>
        </w:tc>
        <w:tc>
          <w:tcPr>
            <w:tcW w:type="dxa" w:w="1242"/>
            <w:vAlign w:val="center"/>
          </w:tcPr>
          <w:p>
            <w:pPr>
              <w:spacing w:before="20" w:after="20" w:line="260" w:lineRule="auto"/>
              <w:ind w:firstLine="0"/>
              <w:jc w:val="center"/>
            </w:pPr>
            <w:r>
              <w:rPr>
                <w:sz w:val="20"/>
                <w:szCs w:val="20"/>
              </w:rPr>
              <w:t xml:space="preserve">112.076</w:t>
            </w:r>
          </w:p>
        </w:tc>
        <w:tc>
          <w:tcPr>
            <w:tcW w:type="dxa" w:w="1493"/>
            <w:vAlign w:val="center"/>
          </w:tcPr>
          <w:p>
            <w:pPr>
              <w:spacing w:before="20" w:after="20" w:line="260" w:lineRule="auto"/>
              <w:ind w:firstLine="0"/>
              <w:jc w:val="center"/>
            </w:pPr>
            <w:r>
              <w:rPr>
                <w:sz w:val="20"/>
                <w:szCs w:val="20"/>
              </w:rPr>
              <w:t xml:space="preserve">60.898</w:t>
            </w:r>
          </w:p>
        </w:tc>
        <w:tc>
          <w:tcPr>
            <w:tcW w:type="dxa" w:w="1604"/>
            <w:vAlign w:val="center"/>
          </w:tcPr>
          <w:p>
            <w:pPr>
              <w:spacing w:before="20" w:after="20" w:line="260" w:lineRule="auto"/>
              <w:ind w:firstLine="0"/>
              <w:jc w:val="center"/>
            </w:pPr>
            <w:r>
              <w:rPr>
                <w:sz w:val="20"/>
                <w:szCs w:val="20"/>
              </w:rPr>
              <w:t xml:space="preserve">18/36/0</w:t>
            </w:r>
          </w:p>
        </w:tc>
        <w:tc>
          <w:tcPr>
            <w:tcW w:type="dxa" w:w="1309"/>
            <w:vAlign w:val="center"/>
          </w:tcPr>
          <w:p>
            <w:pPr>
              <w:spacing w:before="20" w:after="20" w:line="260" w:lineRule="auto"/>
              <w:ind w:firstLine="0"/>
              <w:jc w:val="center"/>
            </w:pPr>
            <w:r>
              <w:rPr>
                <w:sz w:val="20"/>
                <w:szCs w:val="20"/>
              </w:rPr>
              <w:t xml:space="preserve">−2,98%</w:t>
            </w:r>
          </w:p>
        </w:tc>
        <w:tc>
          <w:tcPr>
            <w:tcW w:type="dxa" w:w="1312"/>
            <w:vAlign w:val="center"/>
          </w:tcPr>
          <w:p>
            <w:pPr>
              <w:spacing w:before="20" w:after="20" w:line="260" w:lineRule="auto"/>
              <w:ind w:firstLine="0"/>
              <w:jc w:val="center"/>
            </w:pPr>
            <w:r>
              <w:rPr>
                <w:sz w:val="20"/>
                <w:szCs w:val="20"/>
              </w:rPr>
              <w:t xml:space="preserve">10,22%</w:t>
            </w:r>
          </w:p>
        </w:tc>
      </w:tr>
      <w:tr>
        <w:trPr>
          <w:cantSplit/>
        </w:trPr>
        <w:tc>
          <w:tcPr>
            <w:tcW w:type="dxa" w:w="2111"/>
            <w:vAlign w:val="center"/>
          </w:tcPr>
          <w:p>
            <w:pPr>
              <w:spacing w:before="20" w:after="20" w:line="260" w:lineRule="auto"/>
              <w:ind w:firstLine="0"/>
              <w:jc w:val="left"/>
            </w:pPr>
            <w:r>
              <w:rPr>
                <w:sz w:val="20"/>
                <w:szCs w:val="20"/>
              </w:rPr>
              <w:t xml:space="preserve">GROCERY I</w:t>
            </w:r>
          </w:p>
        </w:tc>
        <w:tc>
          <w:tcPr>
            <w:tcW w:type="dxa" w:w="1242"/>
            <w:vAlign w:val="center"/>
          </w:tcPr>
          <w:p>
            <w:pPr>
              <w:spacing w:before="20" w:after="20" w:line="260" w:lineRule="auto"/>
              <w:ind w:firstLine="0"/>
              <w:jc w:val="center"/>
            </w:pPr>
            <w:r>
              <w:rPr>
                <w:sz w:val="20"/>
                <w:szCs w:val="20"/>
              </w:rPr>
              <w:t xml:space="preserve">4.050.202</w:t>
            </w:r>
          </w:p>
        </w:tc>
        <w:tc>
          <w:tcPr>
            <w:tcW w:type="dxa" w:w="1493"/>
            <w:vAlign w:val="center"/>
          </w:tcPr>
          <w:p>
            <w:pPr>
              <w:spacing w:before="20" w:after="20" w:line="260" w:lineRule="auto"/>
              <w:ind w:firstLine="0"/>
              <w:jc w:val="center"/>
            </w:pPr>
            <w:r>
              <w:rPr>
                <w:sz w:val="20"/>
                <w:szCs w:val="20"/>
              </w:rPr>
              <w:t xml:space="preserve">1.462.342</w:t>
            </w:r>
          </w:p>
        </w:tc>
        <w:tc>
          <w:tcPr>
            <w:tcW w:type="dxa" w:w="1604"/>
            <w:vAlign w:val="center"/>
          </w:tcPr>
          <w:p>
            <w:pPr>
              <w:spacing w:before="20" w:after="20" w:line="260" w:lineRule="auto"/>
              <w:ind w:firstLine="0"/>
              <w:jc w:val="center"/>
            </w:pPr>
            <w:r>
              <w:rPr>
                <w:sz w:val="20"/>
                <w:szCs w:val="20"/>
              </w:rPr>
              <w:t xml:space="preserve">0/18/36</w:t>
            </w:r>
          </w:p>
        </w:tc>
        <w:tc>
          <w:tcPr>
            <w:tcW w:type="dxa" w:w="1309"/>
            <w:vAlign w:val="center"/>
          </w:tcPr>
          <w:p>
            <w:pPr>
              <w:spacing w:before="20" w:after="20" w:line="260" w:lineRule="auto"/>
              <w:ind w:firstLine="0"/>
              <w:jc w:val="center"/>
            </w:pPr>
            <w:r>
              <w:rPr>
                <w:sz w:val="20"/>
                <w:szCs w:val="20"/>
              </w:rPr>
              <w:t xml:space="preserve">−4,94%</w:t>
            </w:r>
          </w:p>
        </w:tc>
        <w:tc>
          <w:tcPr>
            <w:tcW w:type="dxa" w:w="1312"/>
            <w:vAlign w:val="center"/>
          </w:tcPr>
          <w:p>
            <w:pPr>
              <w:spacing w:before="20" w:after="20" w:line="260" w:lineRule="auto"/>
              <w:ind w:firstLine="0"/>
              <w:jc w:val="center"/>
            </w:pPr>
            <w:r>
              <w:rPr>
                <w:sz w:val="20"/>
                <w:szCs w:val="20"/>
              </w:rPr>
              <w:t xml:space="preserve">−2,65%</w:t>
            </w:r>
          </w:p>
        </w:tc>
      </w:tr>
      <w:tr>
        <w:trPr>
          <w:cantSplit/>
        </w:trPr>
        <w:tc>
          <w:tcPr>
            <w:tcW w:type="dxa" w:w="2111"/>
            <w:vAlign w:val="center"/>
          </w:tcPr>
          <w:p>
            <w:pPr>
              <w:spacing w:before="20" w:after="20" w:line="260" w:lineRule="auto"/>
              <w:ind w:firstLine="0"/>
              <w:jc w:val="left"/>
            </w:pPr>
            <w:r>
              <w:rPr>
                <w:sz w:val="20"/>
                <w:szCs w:val="20"/>
              </w:rPr>
              <w:t xml:space="preserve">GROCERY II</w:t>
            </w:r>
          </w:p>
        </w:tc>
        <w:tc>
          <w:tcPr>
            <w:tcW w:type="dxa" w:w="1242"/>
            <w:vAlign w:val="center"/>
          </w:tcPr>
          <w:p>
            <w:pPr>
              <w:spacing w:before="20" w:after="20" w:line="260" w:lineRule="auto"/>
              <w:ind w:firstLine="0"/>
              <w:jc w:val="center"/>
            </w:pPr>
            <w:r>
              <w:rPr>
                <w:sz w:val="20"/>
                <w:szCs w:val="20"/>
              </w:rPr>
              <w:t xml:space="preserve">26.305</w:t>
            </w:r>
          </w:p>
        </w:tc>
        <w:tc>
          <w:tcPr>
            <w:tcW w:type="dxa" w:w="1493"/>
            <w:vAlign w:val="center"/>
          </w:tcPr>
          <w:p>
            <w:pPr>
              <w:spacing w:before="20" w:after="20" w:line="260" w:lineRule="auto"/>
              <w:ind w:firstLine="0"/>
              <w:jc w:val="center"/>
            </w:pPr>
            <w:r>
              <w:rPr>
                <w:sz w:val="20"/>
                <w:szCs w:val="20"/>
              </w:rPr>
              <w:t xml:space="preserve">21.621</w:t>
            </w:r>
          </w:p>
        </w:tc>
        <w:tc>
          <w:tcPr>
            <w:tcW w:type="dxa" w:w="1604"/>
            <w:vAlign w:val="center"/>
          </w:tcPr>
          <w:p>
            <w:pPr>
              <w:spacing w:before="20" w:after="20" w:line="260" w:lineRule="auto"/>
              <w:ind w:firstLine="0"/>
              <w:jc w:val="center"/>
            </w:pPr>
            <w:r>
              <w:rPr>
                <w:sz w:val="20"/>
                <w:szCs w:val="20"/>
              </w:rPr>
              <w:t xml:space="preserve">51/3/0</w:t>
            </w:r>
          </w:p>
        </w:tc>
        <w:tc>
          <w:tcPr>
            <w:tcW w:type="dxa" w:w="1309"/>
            <w:vAlign w:val="center"/>
          </w:tcPr>
          <w:p>
            <w:pPr>
              <w:spacing w:before="20" w:after="20" w:line="260" w:lineRule="auto"/>
              <w:ind w:firstLine="0"/>
              <w:jc w:val="center"/>
            </w:pPr>
            <w:r>
              <w:rPr>
                <w:sz w:val="20"/>
                <w:szCs w:val="20"/>
              </w:rPr>
              <w:t xml:space="preserve">−4,03%</w:t>
            </w:r>
          </w:p>
        </w:tc>
        <w:tc>
          <w:tcPr>
            <w:tcW w:type="dxa" w:w="1312"/>
            <w:vAlign w:val="center"/>
          </w:tcPr>
          <w:p>
            <w:pPr>
              <w:spacing w:before="20" w:after="20" w:line="260" w:lineRule="auto"/>
              <w:ind w:firstLine="0"/>
              <w:jc w:val="center"/>
            </w:pPr>
            <w:r>
              <w:rPr>
                <w:sz w:val="20"/>
                <w:szCs w:val="20"/>
              </w:rPr>
              <w:t xml:space="preserve">103,29%</w:t>
            </w:r>
          </w:p>
        </w:tc>
      </w:tr>
      <w:tr>
        <w:trPr>
          <w:cantSplit/>
        </w:trPr>
        <w:tc>
          <w:tcPr>
            <w:tcW w:type="dxa" w:w="2111"/>
            <w:vAlign w:val="center"/>
          </w:tcPr>
          <w:p>
            <w:pPr>
              <w:spacing w:before="20" w:after="20" w:line="260" w:lineRule="auto"/>
              <w:ind w:firstLine="0"/>
              <w:jc w:val="left"/>
            </w:pPr>
            <w:r>
              <w:rPr>
                <w:sz w:val="20"/>
                <w:szCs w:val="20"/>
              </w:rPr>
              <w:t xml:space="preserve">HARDWARE</w:t>
            </w:r>
          </w:p>
        </w:tc>
        <w:tc>
          <w:tcPr>
            <w:tcW w:type="dxa" w:w="1242"/>
            <w:vAlign w:val="center"/>
          </w:tcPr>
          <w:p>
            <w:pPr>
              <w:spacing w:before="20" w:after="20" w:line="260" w:lineRule="auto"/>
              <w:ind w:firstLine="0"/>
              <w:jc w:val="center"/>
            </w:pPr>
            <w:r>
              <w:rPr>
                <w:sz w:val="20"/>
                <w:szCs w:val="20"/>
              </w:rPr>
              <w:t xml:space="preserve">1.882</w:t>
            </w:r>
          </w:p>
        </w:tc>
        <w:tc>
          <w:tcPr>
            <w:tcW w:type="dxa" w:w="1493"/>
            <w:vAlign w:val="center"/>
          </w:tcPr>
          <w:p>
            <w:pPr>
              <w:spacing w:before="20" w:after="20" w:line="260" w:lineRule="auto"/>
              <w:ind w:firstLine="0"/>
              <w:jc w:val="center"/>
            </w:pPr>
            <w:r>
              <w:rPr>
                <w:sz w:val="20"/>
                <w:szCs w:val="20"/>
              </w:rPr>
              <w:t xml:space="preserve">5.108</w:t>
            </w:r>
          </w:p>
        </w:tc>
        <w:tc>
          <w:tcPr>
            <w:tcW w:type="dxa" w:w="1604"/>
            <w:vAlign w:val="center"/>
          </w:tcPr>
          <w:p>
            <w:pPr>
              <w:spacing w:before="20" w:after="20" w:line="260" w:lineRule="auto"/>
              <w:ind w:firstLine="0"/>
              <w:jc w:val="center"/>
            </w:pPr>
            <w:r>
              <w:rPr>
                <w:sz w:val="20"/>
                <w:szCs w:val="20"/>
              </w:rPr>
              <w:t xml:space="preserve">54/0/0</w:t>
            </w:r>
          </w:p>
        </w:tc>
        <w:tc>
          <w:tcPr>
            <w:tcW w:type="dxa" w:w="1309"/>
            <w:vAlign w:val="center"/>
          </w:tcPr>
          <w:p>
            <w:pPr>
              <w:spacing w:before="20" w:after="20" w:line="260" w:lineRule="auto"/>
              <w:ind w:firstLine="0"/>
              <w:jc w:val="center"/>
            </w:pPr>
            <w:r>
              <w:rPr>
                <w:sz w:val="20"/>
                <w:szCs w:val="20"/>
              </w:rPr>
              <w:t xml:space="preserve">0,00%</w:t>
            </w:r>
          </w:p>
        </w:tc>
        <w:tc>
          <w:tcPr>
            <w:tcW w:type="dxa" w:w="1312"/>
            <w:vAlign w:val="center"/>
          </w:tcPr>
          <w:p>
            <w:pPr>
              <w:spacing w:before="20" w:after="20" w:line="260" w:lineRule="auto"/>
              <w:ind w:firstLine="0"/>
              <w:jc w:val="center"/>
            </w:pPr>
            <w:r>
              <w:rPr>
                <w:sz w:val="20"/>
                <w:szCs w:val="20"/>
              </w:rPr>
              <w:t xml:space="preserve">5.004,74%</w:t>
            </w:r>
          </w:p>
        </w:tc>
      </w:tr>
      <w:tr>
        <w:trPr>
          <w:cantSplit/>
        </w:trPr>
        <w:tc>
          <w:tcPr>
            <w:tcW w:type="dxa" w:w="2111"/>
            <w:vAlign w:val="center"/>
          </w:tcPr>
          <w:p>
            <w:pPr>
              <w:spacing w:before="20" w:after="20" w:line="260" w:lineRule="auto"/>
              <w:ind w:firstLine="0"/>
              <w:jc w:val="left"/>
            </w:pPr>
            <w:r>
              <w:rPr>
                <w:sz w:val="20"/>
                <w:szCs w:val="20"/>
              </w:rPr>
              <w:t xml:space="preserve">HOME AND KITCHEN I</w:t>
            </w:r>
          </w:p>
        </w:tc>
        <w:tc>
          <w:tcPr>
            <w:tcW w:type="dxa" w:w="1242"/>
            <w:vAlign w:val="center"/>
          </w:tcPr>
          <w:p>
            <w:pPr>
              <w:spacing w:before="20" w:after="20" w:line="260" w:lineRule="auto"/>
              <w:ind w:firstLine="0"/>
              <w:jc w:val="center"/>
            </w:pPr>
            <w:r>
              <w:rPr>
                <w:sz w:val="20"/>
                <w:szCs w:val="20"/>
              </w:rPr>
              <w:t xml:space="preserve">26.820</w:t>
            </w:r>
          </w:p>
        </w:tc>
        <w:tc>
          <w:tcPr>
            <w:tcW w:type="dxa" w:w="1493"/>
            <w:vAlign w:val="center"/>
          </w:tcPr>
          <w:p>
            <w:pPr>
              <w:spacing w:before="20" w:after="20" w:line="260" w:lineRule="auto"/>
              <w:ind w:firstLine="0"/>
              <w:jc w:val="center"/>
            </w:pPr>
            <w:r>
              <w:rPr>
                <w:sz w:val="20"/>
                <w:szCs w:val="20"/>
              </w:rPr>
              <w:t xml:space="preserve">22.882</w:t>
            </w:r>
          </w:p>
        </w:tc>
        <w:tc>
          <w:tcPr>
            <w:tcW w:type="dxa" w:w="1604"/>
            <w:vAlign w:val="center"/>
          </w:tcPr>
          <w:p>
            <w:pPr>
              <w:spacing w:before="20" w:after="20" w:line="260" w:lineRule="auto"/>
              <w:ind w:firstLine="0"/>
              <w:jc w:val="center"/>
            </w:pPr>
            <w:r>
              <w:rPr>
                <w:sz w:val="20"/>
                <w:szCs w:val="20"/>
              </w:rPr>
              <w:t xml:space="preserve">53/1/0</w:t>
            </w:r>
          </w:p>
        </w:tc>
        <w:tc>
          <w:tcPr>
            <w:tcW w:type="dxa" w:w="1309"/>
            <w:vAlign w:val="center"/>
          </w:tcPr>
          <w:p>
            <w:pPr>
              <w:spacing w:before="20" w:after="20" w:line="260" w:lineRule="auto"/>
              <w:ind w:firstLine="0"/>
              <w:jc w:val="center"/>
            </w:pPr>
            <w:r>
              <w:rPr>
                <w:sz w:val="20"/>
                <w:szCs w:val="20"/>
              </w:rPr>
              <w:t xml:space="preserve">−14,78%</w:t>
            </w:r>
          </w:p>
        </w:tc>
        <w:tc>
          <w:tcPr>
            <w:tcW w:type="dxa" w:w="1312"/>
            <w:vAlign w:val="center"/>
          </w:tcPr>
          <w:p>
            <w:pPr>
              <w:spacing w:before="20" w:after="20" w:line="260" w:lineRule="auto"/>
              <w:ind w:firstLine="0"/>
              <w:jc w:val="center"/>
            </w:pPr>
            <w:r>
              <w:rPr>
                <w:sz w:val="20"/>
                <w:szCs w:val="20"/>
              </w:rPr>
              <w:t xml:space="preserve">69,66%</w:t>
            </w:r>
          </w:p>
        </w:tc>
      </w:tr>
      <w:tr>
        <w:trPr>
          <w:cantSplit/>
        </w:trPr>
        <w:tc>
          <w:tcPr>
            <w:tcW w:type="dxa" w:w="2111"/>
            <w:vAlign w:val="center"/>
          </w:tcPr>
          <w:p>
            <w:pPr>
              <w:spacing w:before="20" w:after="20" w:line="260" w:lineRule="auto"/>
              <w:ind w:firstLine="0"/>
              <w:jc w:val="left"/>
            </w:pPr>
            <w:r>
              <w:rPr>
                <w:sz w:val="20"/>
                <w:szCs w:val="20"/>
              </w:rPr>
              <w:t xml:space="preserve">HOME AND KITCHEN II</w:t>
            </w:r>
          </w:p>
        </w:tc>
        <w:tc>
          <w:tcPr>
            <w:tcW w:type="dxa" w:w="1242"/>
            <w:vAlign w:val="center"/>
          </w:tcPr>
          <w:p>
            <w:pPr>
              <w:spacing w:before="20" w:after="20" w:line="260" w:lineRule="auto"/>
              <w:ind w:firstLine="0"/>
              <w:jc w:val="center"/>
            </w:pPr>
            <w:r>
              <w:rPr>
                <w:sz w:val="20"/>
                <w:szCs w:val="20"/>
              </w:rPr>
              <w:t xml:space="preserve">24.823</w:t>
            </w:r>
          </w:p>
        </w:tc>
        <w:tc>
          <w:tcPr>
            <w:tcW w:type="dxa" w:w="1493"/>
            <w:vAlign w:val="center"/>
          </w:tcPr>
          <w:p>
            <w:pPr>
              <w:spacing w:before="20" w:after="20" w:line="260" w:lineRule="auto"/>
              <w:ind w:firstLine="0"/>
              <w:jc w:val="center"/>
            </w:pPr>
            <w:r>
              <w:rPr>
                <w:sz w:val="20"/>
                <w:szCs w:val="20"/>
              </w:rPr>
              <w:t xml:space="preserve">21.609</w:t>
            </w:r>
          </w:p>
        </w:tc>
        <w:tc>
          <w:tcPr>
            <w:tcW w:type="dxa" w:w="1604"/>
            <w:vAlign w:val="center"/>
          </w:tcPr>
          <w:p>
            <w:pPr>
              <w:spacing w:before="20" w:after="20" w:line="260" w:lineRule="auto"/>
              <w:ind w:firstLine="0"/>
              <w:jc w:val="center"/>
            </w:pPr>
            <w:r>
              <w:rPr>
                <w:sz w:val="20"/>
                <w:szCs w:val="20"/>
              </w:rPr>
              <w:t xml:space="preserve">53/1/0</w:t>
            </w:r>
          </w:p>
        </w:tc>
        <w:tc>
          <w:tcPr>
            <w:tcW w:type="dxa" w:w="1309"/>
            <w:vAlign w:val="center"/>
          </w:tcPr>
          <w:p>
            <w:pPr>
              <w:spacing w:before="20" w:after="20" w:line="260" w:lineRule="auto"/>
              <w:ind w:firstLine="0"/>
              <w:jc w:val="center"/>
            </w:pPr>
            <w:r>
              <w:rPr>
                <w:sz w:val="20"/>
                <w:szCs w:val="20"/>
              </w:rPr>
              <w:t xml:space="preserve">−16,80%</w:t>
            </w:r>
          </w:p>
        </w:tc>
        <w:tc>
          <w:tcPr>
            <w:tcW w:type="dxa" w:w="1312"/>
            <w:vAlign w:val="center"/>
          </w:tcPr>
          <w:p>
            <w:pPr>
              <w:spacing w:before="20" w:after="20" w:line="260" w:lineRule="auto"/>
              <w:ind w:firstLine="0"/>
              <w:jc w:val="center"/>
            </w:pPr>
            <w:r>
              <w:rPr>
                <w:sz w:val="20"/>
                <w:szCs w:val="20"/>
              </w:rPr>
              <w:t xml:space="preserve">86,07%</w:t>
            </w:r>
          </w:p>
        </w:tc>
      </w:tr>
      <w:tr>
        <w:trPr>
          <w:cantSplit/>
        </w:trPr>
        <w:tc>
          <w:tcPr>
            <w:tcW w:type="dxa" w:w="2111"/>
            <w:vAlign w:val="center"/>
          </w:tcPr>
          <w:p>
            <w:pPr>
              <w:spacing w:before="20" w:after="20" w:line="260" w:lineRule="auto"/>
              <w:ind w:firstLine="0"/>
              <w:jc w:val="left"/>
            </w:pPr>
            <w:r>
              <w:rPr>
                <w:sz w:val="20"/>
                <w:szCs w:val="20"/>
              </w:rPr>
              <w:t xml:space="preserve">HOME APPLIANCES</w:t>
            </w:r>
          </w:p>
        </w:tc>
        <w:tc>
          <w:tcPr>
            <w:tcW w:type="dxa" w:w="1242"/>
            <w:vAlign w:val="center"/>
          </w:tcPr>
          <w:p>
            <w:pPr>
              <w:spacing w:before="20" w:after="20" w:line="260" w:lineRule="auto"/>
              <w:ind w:firstLine="0"/>
              <w:jc w:val="center"/>
            </w:pPr>
            <w:r>
              <w:rPr>
                <w:sz w:val="20"/>
                <w:szCs w:val="20"/>
              </w:rPr>
              <w:t xml:space="preserve">1.500</w:t>
            </w:r>
          </w:p>
        </w:tc>
        <w:tc>
          <w:tcPr>
            <w:tcW w:type="dxa" w:w="1493"/>
            <w:vAlign w:val="center"/>
          </w:tcPr>
          <w:p>
            <w:pPr>
              <w:spacing w:before="20" w:after="20" w:line="260" w:lineRule="auto"/>
              <w:ind w:firstLine="0"/>
              <w:jc w:val="center"/>
            </w:pPr>
            <w:r>
              <w:rPr>
                <w:sz w:val="20"/>
                <w:szCs w:val="20"/>
              </w:rPr>
              <w:t xml:space="preserve">4.800</w:t>
            </w:r>
          </w:p>
        </w:tc>
        <w:tc>
          <w:tcPr>
            <w:tcW w:type="dxa" w:w="1604"/>
            <w:vAlign w:val="center"/>
          </w:tcPr>
          <w:p>
            <w:pPr>
              <w:spacing w:before="20" w:after="20" w:line="260" w:lineRule="auto"/>
              <w:ind w:firstLine="0"/>
              <w:jc w:val="center"/>
            </w:pPr>
            <w:r>
              <w:rPr>
                <w:sz w:val="20"/>
                <w:szCs w:val="20"/>
              </w:rPr>
              <w:t xml:space="preserve">54/0/0</w:t>
            </w:r>
          </w:p>
        </w:tc>
        <w:tc>
          <w:tcPr>
            <w:tcW w:type="dxa" w:w="1309"/>
            <w:vAlign w:val="center"/>
          </w:tcPr>
          <w:p>
            <w:pPr>
              <w:spacing w:before="20" w:after="20" w:line="260" w:lineRule="auto"/>
              <w:ind w:firstLine="0"/>
              <w:jc w:val="center"/>
            </w:pPr>
            <w:r>
              <w:rPr>
                <w:sz w:val="20"/>
                <w:szCs w:val="20"/>
              </w:rPr>
              <w:t xml:space="preserve">0,00%</w:t>
            </w:r>
          </w:p>
        </w:tc>
        <w:tc>
          <w:tcPr>
            <w:tcW w:type="dxa" w:w="1312"/>
            <w:vAlign w:val="center"/>
          </w:tcPr>
          <w:p>
            <w:pPr>
              <w:spacing w:before="20" w:after="20" w:line="260" w:lineRule="auto"/>
              <w:ind w:firstLine="0"/>
              <w:jc w:val="center"/>
            </w:pPr>
            <w:r>
              <w:rPr>
                <w:sz w:val="20"/>
                <w:szCs w:val="20"/>
              </w:rPr>
              <w:t xml:space="preserve">6.859,34%</w:t>
            </w:r>
          </w:p>
        </w:tc>
      </w:tr>
      <w:tr>
        <w:trPr>
          <w:cantSplit/>
        </w:trPr>
        <w:tc>
          <w:tcPr>
            <w:tcW w:type="dxa" w:w="2111"/>
            <w:vAlign w:val="center"/>
          </w:tcPr>
          <w:p>
            <w:pPr>
              <w:spacing w:before="20" w:after="20" w:line="260" w:lineRule="auto"/>
              <w:ind w:firstLine="0"/>
              <w:jc w:val="left"/>
            </w:pPr>
            <w:r>
              <w:rPr>
                <w:sz w:val="20"/>
                <w:szCs w:val="20"/>
              </w:rPr>
              <w:t xml:space="preserve">HOME CARE</w:t>
            </w:r>
          </w:p>
        </w:tc>
        <w:tc>
          <w:tcPr>
            <w:tcW w:type="dxa" w:w="1242"/>
            <w:vAlign w:val="center"/>
          </w:tcPr>
          <w:p>
            <w:pPr>
              <w:spacing w:before="20" w:after="20" w:line="260" w:lineRule="auto"/>
              <w:ind w:firstLine="0"/>
              <w:jc w:val="center"/>
            </w:pPr>
            <w:r>
              <w:rPr>
                <w:sz w:val="20"/>
                <w:szCs w:val="20"/>
              </w:rPr>
              <w:t xml:space="preserve">276.013</w:t>
            </w:r>
          </w:p>
        </w:tc>
        <w:tc>
          <w:tcPr>
            <w:tcW w:type="dxa" w:w="1493"/>
            <w:vAlign w:val="center"/>
          </w:tcPr>
          <w:p>
            <w:pPr>
              <w:spacing w:before="20" w:after="20" w:line="260" w:lineRule="auto"/>
              <w:ind w:firstLine="0"/>
              <w:jc w:val="center"/>
            </w:pPr>
            <w:r>
              <w:rPr>
                <w:sz w:val="20"/>
                <w:szCs w:val="20"/>
              </w:rPr>
              <w:t xml:space="preserve">128.709</w:t>
            </w:r>
          </w:p>
        </w:tc>
        <w:tc>
          <w:tcPr>
            <w:tcW w:type="dxa" w:w="1604"/>
            <w:vAlign w:val="center"/>
          </w:tcPr>
          <w:p>
            <w:pPr>
              <w:spacing w:before="20" w:after="20" w:line="260" w:lineRule="auto"/>
              <w:ind w:firstLine="0"/>
              <w:jc w:val="center"/>
            </w:pPr>
            <w:r>
              <w:rPr>
                <w:sz w:val="20"/>
                <w:szCs w:val="20"/>
              </w:rPr>
              <w:t xml:space="preserve">1/53/0</w:t>
            </w:r>
          </w:p>
        </w:tc>
        <w:tc>
          <w:tcPr>
            <w:tcW w:type="dxa" w:w="1309"/>
            <w:vAlign w:val="center"/>
          </w:tcPr>
          <w:p>
            <w:pPr>
              <w:spacing w:before="20" w:after="20" w:line="260" w:lineRule="auto"/>
              <w:ind w:firstLine="0"/>
              <w:jc w:val="center"/>
            </w:pPr>
            <w:r>
              <w:rPr>
                <w:sz w:val="20"/>
                <w:szCs w:val="20"/>
              </w:rPr>
              <w:t xml:space="preserve">−4,06%</w:t>
            </w:r>
          </w:p>
        </w:tc>
        <w:tc>
          <w:tcPr>
            <w:tcW w:type="dxa" w:w="1312"/>
            <w:vAlign w:val="center"/>
          </w:tcPr>
          <w:p>
            <w:pPr>
              <w:spacing w:before="20" w:after="20" w:line="260" w:lineRule="auto"/>
              <w:ind w:firstLine="0"/>
              <w:jc w:val="center"/>
            </w:pPr>
            <w:r>
              <w:rPr>
                <w:sz w:val="20"/>
                <w:szCs w:val="20"/>
              </w:rPr>
              <w:t xml:space="preserve">0,90%</w:t>
            </w:r>
          </w:p>
        </w:tc>
      </w:tr>
      <w:tr>
        <w:trPr>
          <w:cantSplit/>
        </w:trPr>
        <w:tc>
          <w:tcPr>
            <w:tcW w:type="dxa" w:w="2111"/>
            <w:vAlign w:val="center"/>
          </w:tcPr>
          <w:p>
            <w:pPr>
              <w:spacing w:before="20" w:after="20" w:line="260" w:lineRule="auto"/>
              <w:ind w:firstLine="0"/>
              <w:jc w:val="left"/>
            </w:pPr>
            <w:r>
              <w:rPr>
                <w:sz w:val="20"/>
                <w:szCs w:val="20"/>
              </w:rPr>
              <w:t xml:space="preserve">LADIESWEAR</w:t>
            </w:r>
          </w:p>
        </w:tc>
        <w:tc>
          <w:tcPr>
            <w:tcW w:type="dxa" w:w="1242"/>
            <w:vAlign w:val="center"/>
          </w:tcPr>
          <w:p>
            <w:pPr>
              <w:spacing w:before="20" w:after="20" w:line="260" w:lineRule="auto"/>
              <w:ind w:firstLine="0"/>
              <w:jc w:val="center"/>
            </w:pPr>
            <w:r>
              <w:rPr>
                <w:sz w:val="20"/>
                <w:szCs w:val="20"/>
              </w:rPr>
              <w:t xml:space="preserve">11.242</w:t>
            </w:r>
          </w:p>
        </w:tc>
        <w:tc>
          <w:tcPr>
            <w:tcW w:type="dxa" w:w="1493"/>
            <w:vAlign w:val="center"/>
          </w:tcPr>
          <w:p>
            <w:pPr>
              <w:spacing w:before="20" w:after="20" w:line="260" w:lineRule="auto"/>
              <w:ind w:firstLine="0"/>
              <w:jc w:val="center"/>
            </w:pPr>
            <w:r>
              <w:rPr>
                <w:sz w:val="20"/>
                <w:szCs w:val="20"/>
              </w:rPr>
              <w:t xml:space="preserve">11.956</w:t>
            </w:r>
          </w:p>
        </w:tc>
        <w:tc>
          <w:tcPr>
            <w:tcW w:type="dxa" w:w="1604"/>
            <w:vAlign w:val="center"/>
          </w:tcPr>
          <w:p>
            <w:pPr>
              <w:spacing w:before="20" w:after="20" w:line="260" w:lineRule="auto"/>
              <w:ind w:firstLine="0"/>
              <w:jc w:val="center"/>
            </w:pPr>
            <w:r>
              <w:rPr>
                <w:sz w:val="20"/>
                <w:szCs w:val="20"/>
              </w:rPr>
              <w:t xml:space="preserve">54/0/0</w:t>
            </w:r>
          </w:p>
        </w:tc>
        <w:tc>
          <w:tcPr>
            <w:tcW w:type="dxa" w:w="1309"/>
            <w:vAlign w:val="center"/>
          </w:tcPr>
          <w:p>
            <w:pPr>
              <w:spacing w:before="20" w:after="20" w:line="260" w:lineRule="auto"/>
              <w:ind w:firstLine="0"/>
              <w:jc w:val="center"/>
            </w:pPr>
            <w:r>
              <w:rPr>
                <w:sz w:val="20"/>
                <w:szCs w:val="20"/>
              </w:rPr>
              <w:t xml:space="preserve">−14,37%</w:t>
            </w:r>
          </w:p>
        </w:tc>
        <w:tc>
          <w:tcPr>
            <w:tcW w:type="dxa" w:w="1312"/>
            <w:vAlign w:val="center"/>
          </w:tcPr>
          <w:p>
            <w:pPr>
              <w:spacing w:before="20" w:after="20" w:line="260" w:lineRule="auto"/>
              <w:ind w:firstLine="0"/>
              <w:jc w:val="center"/>
            </w:pPr>
            <w:r>
              <w:rPr>
                <w:sz w:val="20"/>
                <w:szCs w:val="20"/>
              </w:rPr>
              <w:t xml:space="preserve">690,87%</w:t>
            </w:r>
          </w:p>
        </w:tc>
      </w:tr>
      <w:tr>
        <w:trPr>
          <w:cantSplit/>
        </w:trPr>
        <w:tc>
          <w:tcPr>
            <w:tcW w:type="dxa" w:w="2111"/>
            <w:vAlign w:val="center"/>
          </w:tcPr>
          <w:p>
            <w:pPr>
              <w:spacing w:before="20" w:after="20" w:line="260" w:lineRule="auto"/>
              <w:ind w:firstLine="0"/>
              <w:jc w:val="left"/>
            </w:pPr>
            <w:r>
              <w:rPr>
                <w:sz w:val="20"/>
                <w:szCs w:val="20"/>
              </w:rPr>
              <w:t xml:space="preserve">LAWN AND GARDEN</w:t>
            </w:r>
          </w:p>
        </w:tc>
        <w:tc>
          <w:tcPr>
            <w:tcW w:type="dxa" w:w="1242"/>
            <w:vAlign w:val="center"/>
          </w:tcPr>
          <w:p>
            <w:pPr>
              <w:spacing w:before="20" w:after="20" w:line="260" w:lineRule="auto"/>
              <w:ind w:firstLine="0"/>
              <w:jc w:val="center"/>
            </w:pPr>
            <w:r>
              <w:rPr>
                <w:sz w:val="20"/>
                <w:szCs w:val="20"/>
              </w:rPr>
              <w:t xml:space="preserve">13.071</w:t>
            </w:r>
          </w:p>
        </w:tc>
        <w:tc>
          <w:tcPr>
            <w:tcW w:type="dxa" w:w="1493"/>
            <w:vAlign w:val="center"/>
          </w:tcPr>
          <w:p>
            <w:pPr>
              <w:spacing w:before="20" w:after="20" w:line="260" w:lineRule="auto"/>
              <w:ind w:firstLine="0"/>
              <w:jc w:val="center"/>
            </w:pPr>
            <w:r>
              <w:rPr>
                <w:sz w:val="20"/>
                <w:szCs w:val="20"/>
              </w:rPr>
              <w:t xml:space="preserve">13.616</w:t>
            </w:r>
          </w:p>
        </w:tc>
        <w:tc>
          <w:tcPr>
            <w:tcW w:type="dxa" w:w="1604"/>
            <w:vAlign w:val="center"/>
          </w:tcPr>
          <w:p>
            <w:pPr>
              <w:spacing w:before="20" w:after="20" w:line="260" w:lineRule="auto"/>
              <w:ind w:firstLine="0"/>
              <w:jc w:val="center"/>
            </w:pPr>
            <w:r>
              <w:rPr>
                <w:sz w:val="20"/>
                <w:szCs w:val="20"/>
              </w:rPr>
              <w:t xml:space="preserve">54/0/0</w:t>
            </w:r>
          </w:p>
        </w:tc>
        <w:tc>
          <w:tcPr>
            <w:tcW w:type="dxa" w:w="1309"/>
            <w:vAlign w:val="center"/>
          </w:tcPr>
          <w:p>
            <w:pPr>
              <w:spacing w:before="20" w:after="20" w:line="260" w:lineRule="auto"/>
              <w:ind w:firstLine="0"/>
              <w:jc w:val="center"/>
            </w:pPr>
            <w:r>
              <w:rPr>
                <w:sz w:val="20"/>
                <w:szCs w:val="20"/>
              </w:rPr>
              <w:t xml:space="preserve">−12,10%</w:t>
            </w:r>
          </w:p>
        </w:tc>
        <w:tc>
          <w:tcPr>
            <w:tcW w:type="dxa" w:w="1312"/>
            <w:vAlign w:val="center"/>
          </w:tcPr>
          <w:p>
            <w:pPr>
              <w:spacing w:before="20" w:after="20" w:line="260" w:lineRule="auto"/>
              <w:ind w:firstLine="0"/>
              <w:jc w:val="center"/>
            </w:pPr>
            <w:r>
              <w:rPr>
                <w:sz w:val="20"/>
                <w:szCs w:val="20"/>
              </w:rPr>
              <w:t xml:space="preserve">613,77%</w:t>
            </w:r>
          </w:p>
        </w:tc>
      </w:tr>
      <w:tr>
        <w:trPr>
          <w:cantSplit/>
        </w:trPr>
        <w:tc>
          <w:tcPr>
            <w:tcW w:type="dxa" w:w="2111"/>
            <w:vAlign w:val="center"/>
          </w:tcPr>
          <w:p>
            <w:pPr>
              <w:spacing w:before="20" w:after="20" w:line="260" w:lineRule="auto"/>
              <w:ind w:firstLine="0"/>
              <w:jc w:val="left"/>
            </w:pPr>
            <w:r>
              <w:rPr>
                <w:sz w:val="20"/>
                <w:szCs w:val="20"/>
              </w:rPr>
              <w:t xml:space="preserve">LINGERIE</w:t>
            </w:r>
          </w:p>
        </w:tc>
        <w:tc>
          <w:tcPr>
            <w:tcW w:type="dxa" w:w="1242"/>
            <w:vAlign w:val="center"/>
          </w:tcPr>
          <w:p>
            <w:pPr>
              <w:spacing w:before="20" w:after="20" w:line="260" w:lineRule="auto"/>
              <w:ind w:firstLine="0"/>
              <w:jc w:val="center"/>
            </w:pPr>
            <w:r>
              <w:rPr>
                <w:sz w:val="20"/>
                <w:szCs w:val="20"/>
              </w:rPr>
              <w:t xml:space="preserve">7.532</w:t>
            </w:r>
          </w:p>
        </w:tc>
        <w:tc>
          <w:tcPr>
            <w:tcW w:type="dxa" w:w="1493"/>
            <w:vAlign w:val="center"/>
          </w:tcPr>
          <w:p>
            <w:pPr>
              <w:spacing w:before="20" w:after="20" w:line="260" w:lineRule="auto"/>
              <w:ind w:firstLine="0"/>
              <w:jc w:val="center"/>
            </w:pPr>
            <w:r>
              <w:rPr>
                <w:sz w:val="20"/>
                <w:szCs w:val="20"/>
              </w:rPr>
              <w:t xml:space="preserve">9.592</w:t>
            </w:r>
          </w:p>
        </w:tc>
        <w:tc>
          <w:tcPr>
            <w:tcW w:type="dxa" w:w="1604"/>
            <w:vAlign w:val="center"/>
          </w:tcPr>
          <w:p>
            <w:pPr>
              <w:spacing w:before="20" w:after="20" w:line="260" w:lineRule="auto"/>
              <w:ind w:firstLine="0"/>
              <w:jc w:val="center"/>
            </w:pPr>
            <w:r>
              <w:rPr>
                <w:sz w:val="20"/>
                <w:szCs w:val="20"/>
              </w:rPr>
              <w:t xml:space="preserve">54/0/0</w:t>
            </w:r>
          </w:p>
        </w:tc>
        <w:tc>
          <w:tcPr>
            <w:tcW w:type="dxa" w:w="1309"/>
            <w:vAlign w:val="center"/>
          </w:tcPr>
          <w:p>
            <w:pPr>
              <w:spacing w:before="20" w:after="20" w:line="260" w:lineRule="auto"/>
              <w:ind w:firstLine="0"/>
              <w:jc w:val="center"/>
            </w:pPr>
            <w:r>
              <w:rPr>
                <w:sz w:val="20"/>
                <w:szCs w:val="20"/>
              </w:rPr>
              <w:t xml:space="preserve">−44,10%</w:t>
            </w:r>
          </w:p>
        </w:tc>
        <w:tc>
          <w:tcPr>
            <w:tcW w:type="dxa" w:w="1312"/>
            <w:vAlign w:val="center"/>
          </w:tcPr>
          <w:p>
            <w:pPr>
              <w:spacing w:before="20" w:after="20" w:line="260" w:lineRule="auto"/>
              <w:ind w:firstLine="0"/>
              <w:jc w:val="center"/>
            </w:pPr>
            <w:r>
              <w:rPr>
                <w:sz w:val="20"/>
                <w:szCs w:val="20"/>
              </w:rPr>
              <w:t xml:space="preserve">742,75%</w:t>
            </w:r>
          </w:p>
        </w:tc>
      </w:tr>
      <w:tr>
        <w:trPr>
          <w:cantSplit/>
        </w:trPr>
        <w:tc>
          <w:tcPr>
            <w:tcW w:type="dxa" w:w="2111"/>
            <w:vAlign w:val="center"/>
          </w:tcPr>
          <w:p>
            <w:pPr>
              <w:spacing w:before="20" w:after="20" w:line="260" w:lineRule="auto"/>
              <w:ind w:firstLine="0"/>
              <w:jc w:val="left"/>
            </w:pPr>
            <w:r>
              <w:rPr>
                <w:sz w:val="20"/>
                <w:szCs w:val="20"/>
              </w:rPr>
              <w:t xml:space="preserve">LIQUOR,WINE,BEER</w:t>
            </w:r>
          </w:p>
        </w:tc>
        <w:tc>
          <w:tcPr>
            <w:tcW w:type="dxa" w:w="1242"/>
            <w:vAlign w:val="center"/>
          </w:tcPr>
          <w:p>
            <w:pPr>
              <w:spacing w:before="20" w:after="20" w:line="260" w:lineRule="auto"/>
              <w:ind w:firstLine="0"/>
              <w:jc w:val="center"/>
            </w:pPr>
            <w:r>
              <w:rPr>
                <w:sz w:val="20"/>
                <w:szCs w:val="20"/>
              </w:rPr>
              <w:t xml:space="preserve">86.049</w:t>
            </w:r>
          </w:p>
        </w:tc>
        <w:tc>
          <w:tcPr>
            <w:tcW w:type="dxa" w:w="1493"/>
            <w:vAlign w:val="center"/>
          </w:tcPr>
          <w:p>
            <w:pPr>
              <w:spacing w:before="20" w:after="20" w:line="260" w:lineRule="auto"/>
              <w:ind w:firstLine="0"/>
              <w:jc w:val="center"/>
            </w:pPr>
            <w:r>
              <w:rPr>
                <w:sz w:val="20"/>
                <w:szCs w:val="20"/>
              </w:rPr>
              <w:t xml:space="preserve">49.320</w:t>
            </w:r>
          </w:p>
        </w:tc>
        <w:tc>
          <w:tcPr>
            <w:tcW w:type="dxa" w:w="1604"/>
            <w:vAlign w:val="center"/>
          </w:tcPr>
          <w:p>
            <w:pPr>
              <w:spacing w:before="20" w:after="20" w:line="260" w:lineRule="auto"/>
              <w:ind w:firstLine="0"/>
              <w:jc w:val="center"/>
            </w:pPr>
            <w:r>
              <w:rPr>
                <w:sz w:val="20"/>
                <w:szCs w:val="20"/>
              </w:rPr>
              <w:t xml:space="preserve">28/26/0</w:t>
            </w:r>
          </w:p>
        </w:tc>
        <w:tc>
          <w:tcPr>
            <w:tcW w:type="dxa" w:w="1309"/>
            <w:vAlign w:val="center"/>
          </w:tcPr>
          <w:p>
            <w:pPr>
              <w:spacing w:before="20" w:after="20" w:line="260" w:lineRule="auto"/>
              <w:ind w:firstLine="0"/>
              <w:jc w:val="center"/>
            </w:pPr>
            <w:r>
              <w:rPr>
                <w:sz w:val="20"/>
                <w:szCs w:val="20"/>
              </w:rPr>
              <w:t xml:space="preserve">−10,01%</w:t>
            </w:r>
          </w:p>
        </w:tc>
        <w:tc>
          <w:tcPr>
            <w:tcW w:type="dxa" w:w="1312"/>
            <w:vAlign w:val="center"/>
          </w:tcPr>
          <w:p>
            <w:pPr>
              <w:spacing w:before="20" w:after="20" w:line="260" w:lineRule="auto"/>
              <w:ind w:firstLine="0"/>
              <w:jc w:val="center"/>
            </w:pPr>
            <w:r>
              <w:rPr>
                <w:sz w:val="20"/>
                <w:szCs w:val="20"/>
              </w:rPr>
              <w:t xml:space="preserve">9,56%</w:t>
            </w:r>
          </w:p>
        </w:tc>
      </w:tr>
      <w:tr>
        <w:trPr>
          <w:cantSplit/>
        </w:trPr>
        <w:tc>
          <w:tcPr>
            <w:tcW w:type="dxa" w:w="2111"/>
            <w:vAlign w:val="center"/>
          </w:tcPr>
          <w:p>
            <w:pPr>
              <w:spacing w:before="20" w:after="20" w:line="260" w:lineRule="auto"/>
              <w:ind w:firstLine="0"/>
              <w:jc w:val="left"/>
            </w:pPr>
            <w:r>
              <w:rPr>
                <w:sz w:val="20"/>
                <w:szCs w:val="20"/>
              </w:rPr>
              <w:t xml:space="preserve">MAGAZINES</w:t>
            </w:r>
          </w:p>
        </w:tc>
        <w:tc>
          <w:tcPr>
            <w:tcW w:type="dxa" w:w="1242"/>
            <w:vAlign w:val="center"/>
          </w:tcPr>
          <w:p>
            <w:pPr>
              <w:spacing w:before="20" w:after="20" w:line="260" w:lineRule="auto"/>
              <w:ind w:firstLine="0"/>
              <w:jc w:val="center"/>
            </w:pPr>
            <w:r>
              <w:rPr>
                <w:sz w:val="20"/>
                <w:szCs w:val="20"/>
              </w:rPr>
              <w:t xml:space="preserve">4.915</w:t>
            </w:r>
          </w:p>
        </w:tc>
        <w:tc>
          <w:tcPr>
            <w:tcW w:type="dxa" w:w="1493"/>
            <w:vAlign w:val="center"/>
          </w:tcPr>
          <w:p>
            <w:pPr>
              <w:spacing w:before="20" w:after="20" w:line="260" w:lineRule="auto"/>
              <w:ind w:firstLine="0"/>
              <w:jc w:val="center"/>
            </w:pPr>
            <w:r>
              <w:rPr>
                <w:sz w:val="20"/>
                <w:szCs w:val="20"/>
              </w:rPr>
              <w:t xml:space="preserve">7.488</w:t>
            </w:r>
          </w:p>
        </w:tc>
        <w:tc>
          <w:tcPr>
            <w:tcW w:type="dxa" w:w="1604"/>
            <w:vAlign w:val="center"/>
          </w:tcPr>
          <w:p>
            <w:pPr>
              <w:spacing w:before="20" w:after="20" w:line="260" w:lineRule="auto"/>
              <w:ind w:firstLine="0"/>
              <w:jc w:val="center"/>
            </w:pPr>
            <w:r>
              <w:rPr>
                <w:sz w:val="20"/>
                <w:szCs w:val="20"/>
              </w:rPr>
              <w:t xml:space="preserve">54/0/0</w:t>
            </w:r>
          </w:p>
        </w:tc>
        <w:tc>
          <w:tcPr>
            <w:tcW w:type="dxa" w:w="1309"/>
            <w:vAlign w:val="center"/>
          </w:tcPr>
          <w:p>
            <w:pPr>
              <w:spacing w:before="20" w:after="20" w:line="260" w:lineRule="auto"/>
              <w:ind w:firstLine="0"/>
              <w:jc w:val="center"/>
            </w:pPr>
            <w:r>
              <w:rPr>
                <w:sz w:val="20"/>
                <w:szCs w:val="20"/>
              </w:rPr>
              <w:t xml:space="preserve">0,00%</w:t>
            </w:r>
          </w:p>
        </w:tc>
        <w:tc>
          <w:tcPr>
            <w:tcW w:type="dxa" w:w="1312"/>
            <w:vAlign w:val="center"/>
          </w:tcPr>
          <w:p>
            <w:pPr>
              <w:spacing w:before="20" w:after="20" w:line="260" w:lineRule="auto"/>
              <w:ind w:firstLine="0"/>
              <w:jc w:val="center"/>
            </w:pPr>
            <w:r>
              <w:rPr>
                <w:sz w:val="20"/>
                <w:szCs w:val="20"/>
              </w:rPr>
              <w:t xml:space="preserve">1.365,04%</w:t>
            </w:r>
          </w:p>
        </w:tc>
      </w:tr>
      <w:tr>
        <w:trPr>
          <w:cantSplit/>
        </w:trPr>
        <w:tc>
          <w:tcPr>
            <w:tcW w:type="dxa" w:w="2111"/>
            <w:vAlign w:val="center"/>
          </w:tcPr>
          <w:p>
            <w:pPr>
              <w:spacing w:before="20" w:after="20" w:line="260" w:lineRule="auto"/>
              <w:ind w:firstLine="0"/>
              <w:jc w:val="left"/>
            </w:pPr>
            <w:r>
              <w:rPr>
                <w:sz w:val="20"/>
                <w:szCs w:val="20"/>
              </w:rPr>
              <w:t xml:space="preserve">MEATS</w:t>
            </w:r>
          </w:p>
        </w:tc>
        <w:tc>
          <w:tcPr>
            <w:tcW w:type="dxa" w:w="1242"/>
            <w:vAlign w:val="center"/>
          </w:tcPr>
          <w:p>
            <w:pPr>
              <w:spacing w:before="20" w:after="20" w:line="260" w:lineRule="auto"/>
              <w:ind w:firstLine="0"/>
              <w:jc w:val="center"/>
            </w:pPr>
            <w:r>
              <w:rPr>
                <w:sz w:val="20"/>
                <w:szCs w:val="20"/>
              </w:rPr>
              <w:t xml:space="preserve">322.139</w:t>
            </w:r>
          </w:p>
        </w:tc>
        <w:tc>
          <w:tcPr>
            <w:tcW w:type="dxa" w:w="1493"/>
            <w:vAlign w:val="center"/>
          </w:tcPr>
          <w:p>
            <w:pPr>
              <w:spacing w:before="20" w:after="20" w:line="260" w:lineRule="auto"/>
              <w:ind w:firstLine="0"/>
              <w:jc w:val="center"/>
            </w:pPr>
            <w:r>
              <w:rPr>
                <w:sz w:val="20"/>
                <w:szCs w:val="20"/>
              </w:rPr>
              <w:t xml:space="preserve">153.424</w:t>
            </w:r>
          </w:p>
        </w:tc>
        <w:tc>
          <w:tcPr>
            <w:tcW w:type="dxa" w:w="1604"/>
            <w:vAlign w:val="center"/>
          </w:tcPr>
          <w:p>
            <w:pPr>
              <w:spacing w:before="20" w:after="20" w:line="260" w:lineRule="auto"/>
              <w:ind w:firstLine="0"/>
              <w:jc w:val="center"/>
            </w:pPr>
            <w:r>
              <w:rPr>
                <w:sz w:val="20"/>
                <w:szCs w:val="20"/>
              </w:rPr>
              <w:t xml:space="preserve">5/49/0</w:t>
            </w:r>
          </w:p>
        </w:tc>
        <w:tc>
          <w:tcPr>
            <w:tcW w:type="dxa" w:w="1309"/>
            <w:vAlign w:val="center"/>
          </w:tcPr>
          <w:p>
            <w:pPr>
              <w:spacing w:before="20" w:after="20" w:line="260" w:lineRule="auto"/>
              <w:ind w:firstLine="0"/>
              <w:jc w:val="center"/>
            </w:pPr>
            <w:r>
              <w:rPr>
                <w:sz w:val="20"/>
                <w:szCs w:val="20"/>
              </w:rPr>
              <w:t xml:space="preserve">−1,69%</w:t>
            </w:r>
          </w:p>
        </w:tc>
        <w:tc>
          <w:tcPr>
            <w:tcW w:type="dxa" w:w="1312"/>
            <w:vAlign w:val="center"/>
          </w:tcPr>
          <w:p>
            <w:pPr>
              <w:spacing w:before="20" w:after="20" w:line="260" w:lineRule="auto"/>
              <w:ind w:firstLine="0"/>
              <w:jc w:val="center"/>
            </w:pPr>
            <w:r>
              <w:rPr>
                <w:sz w:val="20"/>
                <w:szCs w:val="20"/>
              </w:rPr>
              <w:t xml:space="preserve">3,01%</w:t>
            </w:r>
          </w:p>
        </w:tc>
      </w:tr>
      <w:tr>
        <w:trPr>
          <w:cantSplit/>
        </w:trPr>
        <w:tc>
          <w:tcPr>
            <w:tcW w:type="dxa" w:w="2111"/>
            <w:vAlign w:val="center"/>
          </w:tcPr>
          <w:p>
            <w:pPr>
              <w:spacing w:before="20" w:after="20" w:line="260" w:lineRule="auto"/>
              <w:ind w:firstLine="0"/>
              <w:jc w:val="left"/>
            </w:pPr>
            <w:r>
              <w:rPr>
                <w:sz w:val="20"/>
                <w:szCs w:val="20"/>
              </w:rPr>
              <w:t xml:space="preserve">PERSONAL CARE</w:t>
            </w:r>
          </w:p>
        </w:tc>
        <w:tc>
          <w:tcPr>
            <w:tcW w:type="dxa" w:w="1242"/>
            <w:vAlign w:val="center"/>
          </w:tcPr>
          <w:p>
            <w:pPr>
              <w:spacing w:before="20" w:after="20" w:line="260" w:lineRule="auto"/>
              <w:ind w:firstLine="0"/>
              <w:jc w:val="center"/>
            </w:pPr>
            <w:r>
              <w:rPr>
                <w:sz w:val="20"/>
                <w:szCs w:val="20"/>
              </w:rPr>
              <w:t xml:space="preserve">274.228</w:t>
            </w:r>
          </w:p>
        </w:tc>
        <w:tc>
          <w:tcPr>
            <w:tcW w:type="dxa" w:w="1493"/>
            <w:vAlign w:val="center"/>
          </w:tcPr>
          <w:p>
            <w:pPr>
              <w:spacing w:before="20" w:after="20" w:line="260" w:lineRule="auto"/>
              <w:ind w:firstLine="0"/>
              <w:jc w:val="center"/>
            </w:pPr>
            <w:r>
              <w:rPr>
                <w:sz w:val="20"/>
                <w:szCs w:val="20"/>
              </w:rPr>
              <w:t xml:space="preserve">127.704</w:t>
            </w:r>
          </w:p>
        </w:tc>
        <w:tc>
          <w:tcPr>
            <w:tcW w:type="dxa" w:w="1604"/>
            <w:vAlign w:val="center"/>
          </w:tcPr>
          <w:p>
            <w:pPr>
              <w:spacing w:before="20" w:after="20" w:line="260" w:lineRule="auto"/>
              <w:ind w:firstLine="0"/>
              <w:jc w:val="center"/>
            </w:pPr>
            <w:r>
              <w:rPr>
                <w:sz w:val="20"/>
                <w:szCs w:val="20"/>
              </w:rPr>
              <w:t xml:space="preserve">2/52/0</w:t>
            </w:r>
          </w:p>
        </w:tc>
        <w:tc>
          <w:tcPr>
            <w:tcW w:type="dxa" w:w="1309"/>
            <w:vAlign w:val="center"/>
          </w:tcPr>
          <w:p>
            <w:pPr>
              <w:spacing w:before="20" w:after="20" w:line="260" w:lineRule="auto"/>
              <w:ind w:firstLine="0"/>
              <w:jc w:val="center"/>
            </w:pPr>
            <w:r>
              <w:rPr>
                <w:sz w:val="20"/>
                <w:szCs w:val="20"/>
              </w:rPr>
              <w:t xml:space="preserve">−4,88%</w:t>
            </w:r>
          </w:p>
        </w:tc>
        <w:tc>
          <w:tcPr>
            <w:tcW w:type="dxa" w:w="1312"/>
            <w:vAlign w:val="center"/>
          </w:tcPr>
          <w:p>
            <w:pPr>
              <w:spacing w:before="20" w:after="20" w:line="260" w:lineRule="auto"/>
              <w:ind w:firstLine="0"/>
              <w:jc w:val="center"/>
            </w:pPr>
            <w:r>
              <w:rPr>
                <w:sz w:val="20"/>
                <w:szCs w:val="20"/>
              </w:rPr>
              <w:t xml:space="preserve">0,30%</w:t>
            </w:r>
          </w:p>
        </w:tc>
      </w:tr>
      <w:tr>
        <w:trPr>
          <w:cantSplit/>
        </w:trPr>
        <w:tc>
          <w:tcPr>
            <w:tcW w:type="dxa" w:w="2111"/>
            <w:vAlign w:val="center"/>
          </w:tcPr>
          <w:p>
            <w:pPr>
              <w:spacing w:before="20" w:after="20" w:line="260" w:lineRule="auto"/>
              <w:ind w:firstLine="0"/>
              <w:jc w:val="left"/>
            </w:pPr>
            <w:r>
              <w:rPr>
                <w:sz w:val="20"/>
                <w:szCs w:val="20"/>
              </w:rPr>
              <w:t xml:space="preserve">PET SUPPLIES</w:t>
            </w:r>
          </w:p>
        </w:tc>
        <w:tc>
          <w:tcPr>
            <w:tcW w:type="dxa" w:w="1242"/>
            <w:vAlign w:val="center"/>
          </w:tcPr>
          <w:p>
            <w:pPr>
              <w:spacing w:before="20" w:after="20" w:line="260" w:lineRule="auto"/>
              <w:ind w:firstLine="0"/>
              <w:jc w:val="center"/>
            </w:pPr>
            <w:r>
              <w:rPr>
                <w:sz w:val="20"/>
                <w:szCs w:val="20"/>
              </w:rPr>
              <w:t xml:space="preserve">6.737</w:t>
            </w:r>
          </w:p>
        </w:tc>
        <w:tc>
          <w:tcPr>
            <w:tcW w:type="dxa" w:w="1493"/>
            <w:vAlign w:val="center"/>
          </w:tcPr>
          <w:p>
            <w:pPr>
              <w:spacing w:before="20" w:after="20" w:line="260" w:lineRule="auto"/>
              <w:ind w:firstLine="0"/>
              <w:jc w:val="center"/>
            </w:pPr>
            <w:r>
              <w:rPr>
                <w:sz w:val="20"/>
                <w:szCs w:val="20"/>
              </w:rPr>
              <w:t xml:space="preserve">9.062</w:t>
            </w:r>
          </w:p>
        </w:tc>
        <w:tc>
          <w:tcPr>
            <w:tcW w:type="dxa" w:w="1604"/>
            <w:vAlign w:val="center"/>
          </w:tcPr>
          <w:p>
            <w:pPr>
              <w:spacing w:before="20" w:after="20" w:line="260" w:lineRule="auto"/>
              <w:ind w:firstLine="0"/>
              <w:jc w:val="center"/>
            </w:pPr>
            <w:r>
              <w:rPr>
                <w:sz w:val="20"/>
                <w:szCs w:val="20"/>
              </w:rPr>
              <w:t xml:space="preserve">54/0/0</w:t>
            </w:r>
          </w:p>
        </w:tc>
        <w:tc>
          <w:tcPr>
            <w:tcW w:type="dxa" w:w="1309"/>
            <w:vAlign w:val="center"/>
          </w:tcPr>
          <w:p>
            <w:pPr>
              <w:spacing w:before="20" w:after="20" w:line="260" w:lineRule="auto"/>
              <w:ind w:firstLine="0"/>
              <w:jc w:val="center"/>
            </w:pPr>
            <w:r>
              <w:rPr>
                <w:sz w:val="20"/>
                <w:szCs w:val="20"/>
              </w:rPr>
              <w:t xml:space="preserve">0,00%</w:t>
            </w:r>
          </w:p>
        </w:tc>
        <w:tc>
          <w:tcPr>
            <w:tcW w:type="dxa" w:w="1312"/>
            <w:vAlign w:val="center"/>
          </w:tcPr>
          <w:p>
            <w:pPr>
              <w:spacing w:before="20" w:after="20" w:line="260" w:lineRule="auto"/>
              <w:ind w:firstLine="0"/>
              <w:jc w:val="center"/>
            </w:pPr>
            <w:r>
              <w:rPr>
                <w:sz w:val="20"/>
                <w:szCs w:val="20"/>
              </w:rPr>
              <w:t xml:space="preserve">837,30%</w:t>
            </w:r>
          </w:p>
        </w:tc>
      </w:tr>
      <w:tr>
        <w:trPr>
          <w:cantSplit/>
        </w:trPr>
        <w:tc>
          <w:tcPr>
            <w:tcW w:type="dxa" w:w="2111"/>
            <w:vAlign w:val="center"/>
          </w:tcPr>
          <w:p>
            <w:pPr>
              <w:spacing w:before="20" w:after="20" w:line="260" w:lineRule="auto"/>
              <w:ind w:firstLine="0"/>
              <w:jc w:val="left"/>
            </w:pPr>
            <w:r>
              <w:rPr>
                <w:sz w:val="20"/>
                <w:szCs w:val="20"/>
              </w:rPr>
              <w:t xml:space="preserve">PLAYERS AND ELECTRONICS</w:t>
            </w:r>
          </w:p>
        </w:tc>
        <w:tc>
          <w:tcPr>
            <w:tcW w:type="dxa" w:w="1242"/>
            <w:vAlign w:val="center"/>
          </w:tcPr>
          <w:p>
            <w:pPr>
              <w:spacing w:before="20" w:after="20" w:line="260" w:lineRule="auto"/>
              <w:ind w:firstLine="0"/>
              <w:jc w:val="center"/>
            </w:pPr>
            <w:r>
              <w:rPr>
                <w:sz w:val="20"/>
                <w:szCs w:val="20"/>
              </w:rPr>
              <w:t xml:space="preserve">8.543</w:t>
            </w:r>
          </w:p>
        </w:tc>
        <w:tc>
          <w:tcPr>
            <w:tcW w:type="dxa" w:w="1493"/>
            <w:vAlign w:val="center"/>
          </w:tcPr>
          <w:p>
            <w:pPr>
              <w:spacing w:before="20" w:after="20" w:line="260" w:lineRule="auto"/>
              <w:ind w:firstLine="0"/>
              <w:jc w:val="center"/>
            </w:pPr>
            <w:r>
              <w:rPr>
                <w:sz w:val="20"/>
                <w:szCs w:val="20"/>
              </w:rPr>
              <w:t xml:space="preserve">10.104</w:t>
            </w:r>
          </w:p>
        </w:tc>
        <w:tc>
          <w:tcPr>
            <w:tcW w:type="dxa" w:w="1604"/>
            <w:vAlign w:val="center"/>
          </w:tcPr>
          <w:p>
            <w:pPr>
              <w:spacing w:before="20" w:after="20" w:line="260" w:lineRule="auto"/>
              <w:ind w:firstLine="0"/>
              <w:jc w:val="center"/>
            </w:pPr>
            <w:r>
              <w:rPr>
                <w:sz w:val="20"/>
                <w:szCs w:val="20"/>
              </w:rPr>
              <w:t xml:space="preserve">54/0/0</w:t>
            </w:r>
          </w:p>
        </w:tc>
        <w:tc>
          <w:tcPr>
            <w:tcW w:type="dxa" w:w="1309"/>
            <w:vAlign w:val="center"/>
          </w:tcPr>
          <w:p>
            <w:pPr>
              <w:spacing w:before="20" w:after="20" w:line="260" w:lineRule="auto"/>
              <w:ind w:firstLine="0"/>
              <w:jc w:val="center"/>
            </w:pPr>
            <w:r>
              <w:rPr>
                <w:sz w:val="20"/>
                <w:szCs w:val="20"/>
              </w:rPr>
              <w:t xml:space="preserve">−1,17%</w:t>
            </w:r>
          </w:p>
        </w:tc>
        <w:tc>
          <w:tcPr>
            <w:tcW w:type="dxa" w:w="1312"/>
            <w:vAlign w:val="center"/>
          </w:tcPr>
          <w:p>
            <w:pPr>
              <w:spacing w:before="20" w:after="20" w:line="260" w:lineRule="auto"/>
              <w:ind w:firstLine="0"/>
              <w:jc w:val="center"/>
            </w:pPr>
            <w:r>
              <w:rPr>
                <w:sz w:val="20"/>
                <w:szCs w:val="20"/>
              </w:rPr>
              <w:t xml:space="preserve">623,82%</w:t>
            </w:r>
          </w:p>
        </w:tc>
      </w:tr>
      <w:tr>
        <w:trPr>
          <w:cantSplit/>
        </w:trPr>
        <w:tc>
          <w:tcPr>
            <w:tcW w:type="dxa" w:w="2111"/>
            <w:vAlign w:val="center"/>
          </w:tcPr>
          <w:p>
            <w:pPr>
              <w:spacing w:before="20" w:after="20" w:line="260" w:lineRule="auto"/>
              <w:ind w:firstLine="0"/>
              <w:jc w:val="left"/>
            </w:pPr>
            <w:r>
              <w:rPr>
                <w:sz w:val="20"/>
                <w:szCs w:val="20"/>
              </w:rPr>
              <w:t xml:space="preserve">POULTRY</w:t>
            </w:r>
          </w:p>
        </w:tc>
        <w:tc>
          <w:tcPr>
            <w:tcW w:type="dxa" w:w="1242"/>
            <w:vAlign w:val="center"/>
          </w:tcPr>
          <w:p>
            <w:pPr>
              <w:spacing w:before="20" w:after="20" w:line="260" w:lineRule="auto"/>
              <w:ind w:firstLine="0"/>
              <w:jc w:val="center"/>
            </w:pPr>
            <w:r>
              <w:rPr>
                <w:sz w:val="20"/>
                <w:szCs w:val="20"/>
              </w:rPr>
              <w:t xml:space="preserve">339.986</w:t>
            </w:r>
          </w:p>
        </w:tc>
        <w:tc>
          <w:tcPr>
            <w:tcW w:type="dxa" w:w="1493"/>
            <w:vAlign w:val="center"/>
          </w:tcPr>
          <w:p>
            <w:pPr>
              <w:spacing w:before="20" w:after="20" w:line="260" w:lineRule="auto"/>
              <w:ind w:firstLine="0"/>
              <w:jc w:val="center"/>
            </w:pPr>
            <w:r>
              <w:rPr>
                <w:sz w:val="20"/>
                <w:szCs w:val="20"/>
              </w:rPr>
              <w:t xml:space="preserve">168.232</w:t>
            </w:r>
          </w:p>
        </w:tc>
        <w:tc>
          <w:tcPr>
            <w:tcW w:type="dxa" w:w="1604"/>
            <w:vAlign w:val="center"/>
          </w:tcPr>
          <w:p>
            <w:pPr>
              <w:spacing w:before="20" w:after="20" w:line="260" w:lineRule="auto"/>
              <w:ind w:firstLine="0"/>
              <w:jc w:val="center"/>
            </w:pPr>
            <w:r>
              <w:rPr>
                <w:sz w:val="20"/>
                <w:szCs w:val="20"/>
              </w:rPr>
              <w:t xml:space="preserve">4/50/0</w:t>
            </w:r>
          </w:p>
        </w:tc>
        <w:tc>
          <w:tcPr>
            <w:tcW w:type="dxa" w:w="1309"/>
            <w:vAlign w:val="center"/>
          </w:tcPr>
          <w:p>
            <w:pPr>
              <w:spacing w:before="20" w:after="20" w:line="260" w:lineRule="auto"/>
              <w:ind w:firstLine="0"/>
              <w:jc w:val="center"/>
            </w:pPr>
            <w:r>
              <w:rPr>
                <w:sz w:val="20"/>
                <w:szCs w:val="20"/>
              </w:rPr>
              <w:t xml:space="preserve">−2,03%</w:t>
            </w:r>
          </w:p>
        </w:tc>
        <w:tc>
          <w:tcPr>
            <w:tcW w:type="dxa" w:w="1312"/>
            <w:vAlign w:val="center"/>
          </w:tcPr>
          <w:p>
            <w:pPr>
              <w:spacing w:before="20" w:after="20" w:line="260" w:lineRule="auto"/>
              <w:ind w:firstLine="0"/>
              <w:jc w:val="center"/>
            </w:pPr>
            <w:r>
              <w:rPr>
                <w:sz w:val="20"/>
                <w:szCs w:val="20"/>
              </w:rPr>
              <w:t xml:space="preserve">2,68%</w:t>
            </w:r>
          </w:p>
        </w:tc>
      </w:tr>
      <w:tr>
        <w:trPr>
          <w:cantSplit/>
        </w:trPr>
        <w:tc>
          <w:tcPr>
            <w:tcW w:type="dxa" w:w="2111"/>
            <w:vAlign w:val="center"/>
          </w:tcPr>
          <w:p>
            <w:pPr>
              <w:spacing w:before="20" w:after="20" w:line="260" w:lineRule="auto"/>
              <w:ind w:firstLine="0"/>
              <w:jc w:val="left"/>
            </w:pPr>
            <w:r>
              <w:rPr>
                <w:sz w:val="20"/>
                <w:szCs w:val="20"/>
              </w:rPr>
              <w:t xml:space="preserve">PREPARED FOODS</w:t>
            </w:r>
          </w:p>
        </w:tc>
        <w:tc>
          <w:tcPr>
            <w:tcW w:type="dxa" w:w="1242"/>
            <w:vAlign w:val="center"/>
          </w:tcPr>
          <w:p>
            <w:pPr>
              <w:spacing w:before="20" w:after="20" w:line="260" w:lineRule="auto"/>
              <w:ind w:firstLine="0"/>
              <w:jc w:val="center"/>
            </w:pPr>
            <w:r>
              <w:rPr>
                <w:sz w:val="20"/>
                <w:szCs w:val="20"/>
              </w:rPr>
              <w:t xml:space="preserve">70.686</w:t>
            </w:r>
          </w:p>
        </w:tc>
        <w:tc>
          <w:tcPr>
            <w:tcW w:type="dxa" w:w="1493"/>
            <w:vAlign w:val="center"/>
          </w:tcPr>
          <w:p>
            <w:pPr>
              <w:spacing w:before="20" w:after="20" w:line="260" w:lineRule="auto"/>
              <w:ind w:firstLine="0"/>
              <w:jc w:val="center"/>
            </w:pPr>
            <w:r>
              <w:rPr>
                <w:sz w:val="20"/>
                <w:szCs w:val="20"/>
              </w:rPr>
              <w:t xml:space="preserve">42.768</w:t>
            </w:r>
          </w:p>
        </w:tc>
        <w:tc>
          <w:tcPr>
            <w:tcW w:type="dxa" w:w="1604"/>
            <w:vAlign w:val="center"/>
          </w:tcPr>
          <w:p>
            <w:pPr>
              <w:spacing w:before="20" w:after="20" w:line="260" w:lineRule="auto"/>
              <w:ind w:firstLine="0"/>
              <w:jc w:val="center"/>
            </w:pPr>
            <w:r>
              <w:rPr>
                <w:sz w:val="20"/>
                <w:szCs w:val="20"/>
              </w:rPr>
              <w:t xml:space="preserve">36/18/0</w:t>
            </w:r>
          </w:p>
        </w:tc>
        <w:tc>
          <w:tcPr>
            <w:tcW w:type="dxa" w:w="1309"/>
            <w:vAlign w:val="center"/>
          </w:tcPr>
          <w:p>
            <w:pPr>
              <w:spacing w:before="20" w:after="20" w:line="260" w:lineRule="auto"/>
              <w:ind w:firstLine="0"/>
              <w:jc w:val="center"/>
            </w:pPr>
            <w:r>
              <w:rPr>
                <w:sz w:val="20"/>
                <w:szCs w:val="20"/>
              </w:rPr>
              <w:t xml:space="preserve">−1,12%</w:t>
            </w:r>
          </w:p>
        </w:tc>
        <w:tc>
          <w:tcPr>
            <w:tcW w:type="dxa" w:w="1312"/>
            <w:vAlign w:val="center"/>
          </w:tcPr>
          <w:p>
            <w:pPr>
              <w:spacing w:before="20" w:after="20" w:line="260" w:lineRule="auto"/>
              <w:ind w:firstLine="0"/>
              <w:jc w:val="center"/>
            </w:pPr>
            <w:r>
              <w:rPr>
                <w:sz w:val="20"/>
                <w:szCs w:val="20"/>
              </w:rPr>
              <w:t xml:space="preserve">22,14%</w:t>
            </w:r>
          </w:p>
        </w:tc>
      </w:tr>
      <w:tr>
        <w:trPr>
          <w:cantSplit/>
        </w:trPr>
        <w:tc>
          <w:tcPr>
            <w:tcW w:type="dxa" w:w="2111"/>
            <w:vAlign w:val="center"/>
          </w:tcPr>
          <w:p>
            <w:pPr>
              <w:spacing w:before="20" w:after="20" w:line="260" w:lineRule="auto"/>
              <w:ind w:firstLine="0"/>
              <w:jc w:val="left"/>
            </w:pPr>
            <w:r>
              <w:rPr>
                <w:sz w:val="20"/>
                <w:szCs w:val="20"/>
              </w:rPr>
              <w:t xml:space="preserve">PRODUCE</w:t>
            </w:r>
          </w:p>
        </w:tc>
        <w:tc>
          <w:tcPr>
            <w:tcW w:type="dxa" w:w="1242"/>
            <w:vAlign w:val="center"/>
          </w:tcPr>
          <w:p>
            <w:pPr>
              <w:spacing w:before="20" w:after="20" w:line="260" w:lineRule="auto"/>
              <w:ind w:firstLine="0"/>
              <w:jc w:val="center"/>
            </w:pPr>
            <w:r>
              <w:rPr>
                <w:sz w:val="20"/>
                <w:szCs w:val="20"/>
              </w:rPr>
              <w:t xml:space="preserve">2.060.937</w:t>
            </w:r>
          </w:p>
        </w:tc>
        <w:tc>
          <w:tcPr>
            <w:tcW w:type="dxa" w:w="1493"/>
            <w:vAlign w:val="center"/>
          </w:tcPr>
          <w:p>
            <w:pPr>
              <w:spacing w:before="20" w:after="20" w:line="260" w:lineRule="auto"/>
              <w:ind w:firstLine="0"/>
              <w:jc w:val="center"/>
            </w:pPr>
            <w:r>
              <w:rPr>
                <w:sz w:val="20"/>
                <w:szCs w:val="20"/>
              </w:rPr>
              <w:t xml:space="preserve">875.092</w:t>
            </w:r>
          </w:p>
        </w:tc>
        <w:tc>
          <w:tcPr>
            <w:tcW w:type="dxa" w:w="1604"/>
            <w:vAlign w:val="center"/>
          </w:tcPr>
          <w:p>
            <w:pPr>
              <w:spacing w:before="20" w:after="20" w:line="260" w:lineRule="auto"/>
              <w:ind w:firstLine="0"/>
              <w:jc w:val="center"/>
            </w:pPr>
            <w:r>
              <w:rPr>
                <w:sz w:val="20"/>
                <w:szCs w:val="20"/>
              </w:rPr>
              <w:t xml:space="preserve">0/44/10</w:t>
            </w:r>
          </w:p>
        </w:tc>
        <w:tc>
          <w:tcPr>
            <w:tcW w:type="dxa" w:w="1309"/>
            <w:vAlign w:val="center"/>
          </w:tcPr>
          <w:p>
            <w:pPr>
              <w:spacing w:before="20" w:after="20" w:line="260" w:lineRule="auto"/>
              <w:ind w:firstLine="0"/>
              <w:jc w:val="center"/>
            </w:pPr>
            <w:r>
              <w:rPr>
                <w:sz w:val="20"/>
                <w:szCs w:val="20"/>
              </w:rPr>
              <w:t xml:space="preserve">−4,87%</w:t>
            </w:r>
          </w:p>
        </w:tc>
        <w:tc>
          <w:tcPr>
            <w:tcW w:type="dxa" w:w="1312"/>
            <w:vAlign w:val="center"/>
          </w:tcPr>
          <w:p>
            <w:pPr>
              <w:spacing w:before="20" w:after="20" w:line="260" w:lineRule="auto"/>
              <w:ind w:firstLine="0"/>
              <w:jc w:val="center"/>
            </w:pPr>
            <w:r>
              <w:rPr>
                <w:sz w:val="20"/>
                <w:szCs w:val="20"/>
              </w:rPr>
              <w:t xml:space="preserve">−1,70%</w:t>
            </w:r>
          </w:p>
        </w:tc>
      </w:tr>
      <w:tr>
        <w:trPr>
          <w:cantSplit/>
        </w:trPr>
        <w:tc>
          <w:tcPr>
            <w:tcW w:type="dxa" w:w="2111"/>
            <w:vAlign w:val="center"/>
          </w:tcPr>
          <w:p>
            <w:pPr>
              <w:spacing w:before="20" w:after="20" w:line="260" w:lineRule="auto"/>
              <w:ind w:firstLine="0"/>
              <w:jc w:val="left"/>
            </w:pPr>
            <w:r>
              <w:rPr>
                <w:sz w:val="20"/>
                <w:szCs w:val="20"/>
              </w:rPr>
              <w:t xml:space="preserve">SCHOOL AND OFFICE SUPPLIES</w:t>
            </w:r>
          </w:p>
        </w:tc>
        <w:tc>
          <w:tcPr>
            <w:tcW w:type="dxa" w:w="1242"/>
            <w:vAlign w:val="center"/>
          </w:tcPr>
          <w:p>
            <w:pPr>
              <w:spacing w:before="20" w:after="20" w:line="260" w:lineRule="auto"/>
              <w:ind w:firstLine="0"/>
              <w:jc w:val="center"/>
            </w:pPr>
            <w:r>
              <w:rPr>
                <w:sz w:val="20"/>
                <w:szCs w:val="20"/>
              </w:rPr>
              <w:t xml:space="preserve">18.944</w:t>
            </w:r>
          </w:p>
        </w:tc>
        <w:tc>
          <w:tcPr>
            <w:tcW w:type="dxa" w:w="1493"/>
            <w:vAlign w:val="center"/>
          </w:tcPr>
          <w:p>
            <w:pPr>
              <w:spacing w:before="20" w:after="20" w:line="260" w:lineRule="auto"/>
              <w:ind w:firstLine="0"/>
              <w:jc w:val="center"/>
            </w:pPr>
            <w:r>
              <w:rPr>
                <w:sz w:val="20"/>
                <w:szCs w:val="20"/>
              </w:rPr>
              <w:t xml:space="preserve">14.434</w:t>
            </w:r>
          </w:p>
        </w:tc>
        <w:tc>
          <w:tcPr>
            <w:tcW w:type="dxa" w:w="1604"/>
            <w:vAlign w:val="center"/>
          </w:tcPr>
          <w:p>
            <w:pPr>
              <w:spacing w:before="20" w:after="20" w:line="260" w:lineRule="auto"/>
              <w:ind w:firstLine="0"/>
              <w:jc w:val="center"/>
            </w:pPr>
            <w:r>
              <w:rPr>
                <w:sz w:val="20"/>
                <w:szCs w:val="20"/>
              </w:rPr>
              <w:t xml:space="preserve">47/7/0</w:t>
            </w:r>
          </w:p>
        </w:tc>
        <w:tc>
          <w:tcPr>
            <w:tcW w:type="dxa" w:w="1309"/>
            <w:vAlign w:val="center"/>
          </w:tcPr>
          <w:p>
            <w:pPr>
              <w:spacing w:before="20" w:after="20" w:line="260" w:lineRule="auto"/>
              <w:ind w:firstLine="0"/>
              <w:jc w:val="center"/>
            </w:pPr>
            <w:r>
              <w:rPr>
                <w:sz w:val="20"/>
                <w:szCs w:val="20"/>
              </w:rPr>
              <w:t xml:space="preserve">−87,33%</w:t>
            </w:r>
          </w:p>
        </w:tc>
        <w:tc>
          <w:tcPr>
            <w:tcW w:type="dxa" w:w="1312"/>
            <w:vAlign w:val="center"/>
          </w:tcPr>
          <w:p>
            <w:pPr>
              <w:spacing w:before="20" w:after="20" w:line="260" w:lineRule="auto"/>
              <w:ind w:firstLine="0"/>
              <w:jc w:val="center"/>
            </w:pPr>
            <w:r>
              <w:rPr>
                <w:sz w:val="20"/>
                <w:szCs w:val="20"/>
              </w:rPr>
              <w:t xml:space="preserve">446,40%</w:t>
            </w:r>
          </w:p>
        </w:tc>
      </w:tr>
      <w:tr>
        <w:trPr>
          <w:cantSplit/>
        </w:trPr>
        <w:tc>
          <w:tcPr>
            <w:tcW w:type="dxa" w:w="2111"/>
            <w:vAlign w:val="center"/>
          </w:tcPr>
          <w:p>
            <w:pPr>
              <w:spacing w:before="20" w:after="20" w:line="260" w:lineRule="auto"/>
              <w:ind w:firstLine="0"/>
              <w:jc w:val="left"/>
            </w:pPr>
            <w:r>
              <w:rPr>
                <w:sz w:val="20"/>
                <w:szCs w:val="20"/>
              </w:rPr>
              <w:t xml:space="preserve">SEAFOOD</w:t>
            </w:r>
          </w:p>
        </w:tc>
        <w:tc>
          <w:tcPr>
            <w:tcW w:type="dxa" w:w="1242"/>
            <w:vAlign w:val="center"/>
          </w:tcPr>
          <w:p>
            <w:pPr>
              <w:spacing w:before="20" w:after="20" w:line="260" w:lineRule="auto"/>
              <w:ind w:firstLine="0"/>
              <w:jc w:val="center"/>
            </w:pPr>
            <w:r>
              <w:rPr>
                <w:sz w:val="20"/>
                <w:szCs w:val="20"/>
              </w:rPr>
              <w:t xml:space="preserve">14.404</w:t>
            </w:r>
          </w:p>
        </w:tc>
        <w:tc>
          <w:tcPr>
            <w:tcW w:type="dxa" w:w="1493"/>
            <w:vAlign w:val="center"/>
          </w:tcPr>
          <w:p>
            <w:pPr>
              <w:spacing w:before="20" w:after="20" w:line="260" w:lineRule="auto"/>
              <w:ind w:firstLine="0"/>
              <w:jc w:val="center"/>
            </w:pPr>
            <w:r>
              <w:rPr>
                <w:sz w:val="20"/>
                <w:szCs w:val="20"/>
              </w:rPr>
              <w:t xml:space="preserve">13.839</w:t>
            </w:r>
          </w:p>
        </w:tc>
        <w:tc>
          <w:tcPr>
            <w:tcW w:type="dxa" w:w="1604"/>
            <w:vAlign w:val="center"/>
          </w:tcPr>
          <w:p>
            <w:pPr>
              <w:spacing w:before="20" w:after="20" w:line="260" w:lineRule="auto"/>
              <w:ind w:firstLine="0"/>
              <w:jc w:val="center"/>
            </w:pPr>
            <w:r>
              <w:rPr>
                <w:sz w:val="20"/>
                <w:szCs w:val="20"/>
              </w:rPr>
              <w:t xml:space="preserve">52/2/0</w:t>
            </w:r>
          </w:p>
        </w:tc>
        <w:tc>
          <w:tcPr>
            <w:tcW w:type="dxa" w:w="1309"/>
            <w:vAlign w:val="center"/>
          </w:tcPr>
          <w:p>
            <w:pPr>
              <w:spacing w:before="20" w:after="20" w:line="260" w:lineRule="auto"/>
              <w:ind w:firstLine="0"/>
              <w:jc w:val="center"/>
            </w:pPr>
            <w:r>
              <w:rPr>
                <w:sz w:val="20"/>
                <w:szCs w:val="20"/>
              </w:rPr>
              <w:t xml:space="preserve">−9,29%</w:t>
            </w:r>
          </w:p>
        </w:tc>
        <w:tc>
          <w:tcPr>
            <w:tcW w:type="dxa" w:w="1312"/>
            <w:vAlign w:val="center"/>
          </w:tcPr>
          <w:p>
            <w:pPr>
              <w:spacing w:before="20" w:after="20" w:line="260" w:lineRule="auto"/>
              <w:ind w:firstLine="0"/>
              <w:jc w:val="center"/>
            </w:pPr>
            <w:r>
              <w:rPr>
                <w:sz w:val="20"/>
                <w:szCs w:val="20"/>
              </w:rPr>
              <w:t xml:space="preserve">259,45%</w:t>
            </w:r>
          </w:p>
        </w:tc>
      </w:tr>
    </w:tbl>
    <w:p>
      <w:pPr>
        <w:spacing w:before="40" w:after="160"/>
        <w:ind w:firstLine="0"/>
      </w:pPr>
      <w:r>
        <w:rPr>
          <w:i/>
          <w:sz w:val="22"/>
          <w:szCs w:val="22"/>
        </w:rPr>
        <w:t xml:space="preserve">Nguồn: inventory_recommendations.csv và promotion_sensitivity_by_series.csv. Δ = (tổng P50 kịch bản − tổng P50 hiện tại)/tổng P50 hiện tại của nhóm.</w:t>
      </w:r>
    </w:p>
    <w:p>
      <w:pPr>
        <w:pStyle w:val="Heading3"/>
        <w:keepNext/>
      </w:pPr>
      <w:r>
        <w:t xml:space="preserve">B.1. Nhóm sản phẩm AUTOMOTIVE</w:t>
      </w:r>
    </w:p>
    <w:p>
      <w:pPr>
        <w:keepLines w:val="0"/>
        <w:spacing w:after="120"/>
        <w:ind w:firstLine="567"/>
      </w:pPr>
      <w:r>
        <w:t xml:space="preserve">Nhóm AUTOMOTIVE có tổng doanh số thực tế 6.381 trong 16 ngày trên 54 cửa hàng (hạng 27/33 về quy mô) và tổng dự báo 4.296, tức dự báo thấp hơn thực tế 32,68%. WAPE của nhóm là 48,43% (hạng 23/33 từ thấp đến cao), bias 2,414, độ bao phủ P10–P90 87,38% với độ rộng khoảng trung bình 12,442. Cửa hàng có doanh số lớn nhất của nhóm là cửa hàng 47 (285; WAPE 40,85%; bao phủ 87,50%).</w:t>
      </w:r>
    </w:p>
    <w:p>
      <w:pPr>
        <w:keepLines w:val="0"/>
        <w:spacing w:after="120"/>
        <w:ind w:firstLine="567"/>
      </w:pPr>
      <w:r>
        <w:t xml:space="preserve">Ở lớp tồn kho, tổng P50 của nhóm là 5.617 và tổng lượng bổ sung gợi ý là 7.787; nhóm có 54 cửa hàng mang nhãn HIGH, 0 cửa hàng MEDIUM và 0 cửa hàng LOW. Ở lớp kịch bản, tổng P50 của nhóm dưới kịch bản không khuyến mãi thay đổi −2,08% và dưới kịch bản khuyến mãi cao thay đổi 1.376,10% so với kịch bản hiện tại.</w:t>
      </w:r>
    </w:p>
    <w:p>
      <w:pPr>
        <w:pStyle w:val="Heading3"/>
        <w:keepNext/>
      </w:pPr>
      <w:r>
        <w:t xml:space="preserve">B.2. Nhóm sản phẩm BABY CARE</w:t>
      </w:r>
    </w:p>
    <w:p>
      <w:pPr>
        <w:keepLines w:val="0"/>
        <w:spacing w:after="120"/>
        <w:ind w:firstLine="567"/>
      </w:pPr>
      <w:r>
        <w:t xml:space="preserve">Nhóm BABY CARE có tổng doanh số thực tế 160 trong 16 ngày trên 54 cửa hàng (hạng 32/33 về quy mô) và tổng dự báo 1.092, tức dự báo cao hơn thực tế 582,51%. WAPE của nhóm là 650,14% (hạng 32/33 từ thấp đến cao), bias −1,079, độ bao phủ P10–P90 58,80% với độ rộng khoảng trung bình 6,496. Cửa hàng có doanh số lớn nhất của nhóm là cửa hàng 3 (15; WAPE 192,44%; bao phủ 56,25%). Có 30 cửa hàng không phát sinh doanh số của nhóm này trong 16 ngày.</w:t>
      </w:r>
    </w:p>
    <w:p>
      <w:pPr>
        <w:keepLines w:val="0"/>
        <w:spacing w:after="120"/>
        <w:ind w:firstLine="567"/>
      </w:pPr>
      <w:r>
        <w:t xml:space="preserve">Ở lớp tồn kho, tổng P50 của nhóm là 1.432 và tổng lượng bổ sung gợi ý là 4.719; nhóm có 54 cửa hàng mang nhãn HIGH, 0 cửa hàng MEDIUM và 0 cửa hàng LOW. Ở lớp kịch bản, tổng P50 của nhóm dưới kịch bản không khuyến mãi thay đổi −6,58% và dưới kịch bản khuyến mãi cao thay đổi 22.743,28% so với kịch bản hiện tại.</w:t>
      </w:r>
    </w:p>
    <w:p>
      <w:pPr>
        <w:pStyle w:val="Heading3"/>
        <w:keepNext/>
      </w:pPr>
      <w:r>
        <w:t xml:space="preserve">B.3. Nhóm sản phẩm BEAUTY</w:t>
      </w:r>
    </w:p>
    <w:p>
      <w:pPr>
        <w:keepLines w:val="0"/>
        <w:spacing w:after="120"/>
        <w:ind w:firstLine="567"/>
      </w:pPr>
      <w:r>
        <w:t xml:space="preserve">Nhóm BEAUTY có tổng doanh số thực tế 5.757 trong 16 ngày trên 54 cửa hàng (hạng 29/33 về quy mô) và tổng dự báo 8.810, tức dự báo cao hơn thực tế 53,03%. WAPE của nhóm là 73,34% (hạng 28/33 từ thấp đến cao), bias −3,534, độ bao phủ P10–P90 74,65% với độ rộng khoảng trung bình 17,787. Cửa hàng có doanh số lớn nhất của nhóm là cửa hàng 48 (423; WAPE 25,01%; bao phủ 87,50%).</w:t>
      </w:r>
    </w:p>
    <w:p>
      <w:pPr>
        <w:keepLines w:val="0"/>
        <w:spacing w:after="120"/>
        <w:ind w:firstLine="567"/>
      </w:pPr>
      <w:r>
        <w:t xml:space="preserve">Ở lớp tồn kho, tổng P50 của nhóm là 8.844 và tổng lượng bổ sung gợi ý là 11.056; nhóm có 54 cửa hàng mang nhãn HIGH, 0 cửa hàng MEDIUM và 0 cửa hàng LOW. Ở lớp kịch bản, tổng P50 của nhóm dưới kịch bản không khuyến mãi thay đổi −61,24% và dưới kịch bản khuyến mãi cao thay đổi 673,97% so với kịch bản hiện tại.</w:t>
      </w:r>
    </w:p>
    <w:p>
      <w:pPr>
        <w:pStyle w:val="Heading3"/>
        <w:keepNext/>
      </w:pPr>
      <w:r>
        <w:t xml:space="preserve">B.4. Nhóm sản phẩm BEVERAGES</w:t>
      </w:r>
    </w:p>
    <w:p>
      <w:pPr>
        <w:keepLines w:val="0"/>
        <w:spacing w:after="120"/>
        <w:ind w:firstLine="567"/>
      </w:pPr>
      <w:r>
        <w:t xml:space="preserve">Nhóm BEVERAGES có tổng doanh số thực tế 3.005.407 trong 16 ngày trên 54 cửa hàng (hạng 2/33 về quy mô) và tổng dự báo 3.116.299, tức dự báo cao hơn thực tế 3,69%. WAPE của nhóm là 15,89% (hạng 9/33 từ thấp đến cao), bias −128,347, độ bao phủ P10–P90 60,53% với độ rộng khoảng trung bình 1.138,480. Cửa hàng có doanh số lớn nhất của nhóm là cửa hàng 44 (147.313; WAPE 17,13%; bao phủ 12,50%).</w:t>
      </w:r>
    </w:p>
    <w:p>
      <w:pPr>
        <w:keepLines w:val="0"/>
        <w:spacing w:after="120"/>
        <w:ind w:firstLine="567"/>
      </w:pPr>
      <w:r>
        <w:t xml:space="preserve">Ở lớp tồn kho, tổng P50 của nhóm là 3.123.373 và tổng lượng bổ sung gợi ý là 1.258.235; nhóm có 1 cửa hàng mang nhãn HIGH, 29 cửa hàng MEDIUM và 24 cửa hàng LOW. Ở lớp kịch bản, tổng P50 của nhóm dưới kịch bản không khuyến mãi thay đổi −6,18% và dưới kịch bản khuyến mãi cao thay đổi −2,34% so với kịch bản hiện tại.</w:t>
      </w:r>
    </w:p>
    <w:p>
      <w:pPr>
        <w:pStyle w:val="Heading3"/>
        <w:keepNext/>
      </w:pPr>
      <w:r>
        <w:t xml:space="preserve">B.5. Nhóm sản phẩm BOOKS</w:t>
      </w:r>
    </w:p>
    <w:p>
      <w:pPr>
        <w:keepLines w:val="0"/>
        <w:spacing w:after="120"/>
        <w:ind w:firstLine="567"/>
      </w:pPr>
      <w:r>
        <w:t xml:space="preserve">Nhóm BOOKS có tổng doanh số thực tế 9 trong 16 ngày trên 54 cửa hàng (hạng 33/33 về quy mô) và tổng dự báo 963, tức dự báo cao hơn thực tế 10.601,67%. WAPE của nhóm là 10.654,83% (hạng 33/33 từ thấp đến cao), bias −1,104, độ bao phủ P10–P90 53,12% với độ rộng khoảng trung bình 6,264. Cửa hàng có doanh số lớn nhất của nhóm là cửa hàng 7 (3; WAPE 827,68%; bao phủ 50,00%). Có 49 cửa hàng không phát sinh doanh số của nhóm này trong 16 ngày.</w:t>
      </w:r>
    </w:p>
    <w:p>
      <w:pPr>
        <w:keepLines w:val="0"/>
        <w:spacing w:after="120"/>
        <w:ind w:firstLine="567"/>
      </w:pPr>
      <w:r>
        <w:t xml:space="preserve">Ở lớp tồn kho, tổng P50 của nhóm là 1.276 và tổng lượng bổ sung gợi ý là 4.593; nhóm có 54 cửa hàng mang nhãn HIGH, 0 cửa hàng MEDIUM và 0 cửa hàng LOW. Ở lớp kịch bản, tổng P50 của nhóm dưới kịch bản không khuyến mãi thay đổi 0,00% và dưới kịch bản khuyến mãi cao thay đổi 29.713,32% so với kịch bản hiện tại.</w:t>
      </w:r>
    </w:p>
    <w:p>
      <w:pPr>
        <w:pStyle w:val="Heading3"/>
        <w:keepNext/>
      </w:pPr>
      <w:r>
        <w:t xml:space="preserve">B.6. Nhóm sản phẩm BREAD/BAKERY</w:t>
      </w:r>
    </w:p>
    <w:p>
      <w:pPr>
        <w:keepLines w:val="0"/>
        <w:spacing w:after="120"/>
        <w:ind w:firstLine="567"/>
      </w:pPr>
      <w:r>
        <w:t xml:space="preserve">Nhóm BREAD/BAKERY có tổng doanh số thực tế 466.796 trong 16 ngày trên 54 cửa hàng (hạng 6/33 về quy mô) và tổng dự báo 489.567, tức dự báo cao hơn thực tế 4,88%. WAPE của nhóm là 13,29% (hạng 3/33 từ thấp đến cao), bias −26,356, độ bao phủ P10–P90 79,63% với độ rộng khoảng trung bình 271,194. Cửa hàng có doanh số lớn nhất của nhóm là cửa hàng 44 (25.508; WAPE 11,15%; bao phủ 93,75%).</w:t>
      </w:r>
    </w:p>
    <w:p>
      <w:pPr>
        <w:keepLines w:val="0"/>
        <w:spacing w:after="120"/>
        <w:ind w:firstLine="567"/>
      </w:pPr>
      <w:r>
        <w:t xml:space="preserve">Ở lớp tồn kho, tổng P50 của nhóm là 485.312 và tổng lượng bổ sung gợi ý là 233.323; nhóm có 0 cửa hàng mang nhãn HIGH, 51 cửa hàng MEDIUM và 3 cửa hàng LOW. Ở lớp kịch bản, tổng P50 của nhóm dưới kịch bản không khuyến mãi thay đổi −2,82% và dưới kịch bản khuyến mãi cao thay đổi 0,48% so với kịch bản hiện tại.</w:t>
      </w:r>
    </w:p>
    <w:p>
      <w:pPr>
        <w:pStyle w:val="Heading3"/>
        <w:keepNext/>
      </w:pPr>
      <w:r>
        <w:t xml:space="preserve">B.7. Nhóm sản phẩm CELEBRATION</w:t>
      </w:r>
    </w:p>
    <w:p>
      <w:pPr>
        <w:keepLines w:val="0"/>
        <w:spacing w:after="120"/>
        <w:ind w:firstLine="567"/>
      </w:pPr>
      <w:r>
        <w:t xml:space="preserve">Nhóm CELEBRATION có tổng doanh số thực tế 10.768 trong 16 ngày trên 54 cửa hàng (hạng 22/33 về quy mô) và tổng dự báo 10.402, tức dự báo thấp hơn thực tế 3,40%. WAPE của nhóm là 50,83% (hạng 25/33 từ thấp đến cao), bias 0,424, độ bao phủ P10–P90 82,18% với độ rộng khoảng trung bình 19,673. Cửa hàng có doanh số lớn nhất của nhóm là cửa hàng 3 (603; WAPE 63,51%; bao phủ 62,50%).</w:t>
      </w:r>
    </w:p>
    <w:p>
      <w:pPr>
        <w:keepLines w:val="0"/>
        <w:spacing w:after="120"/>
        <w:ind w:firstLine="567"/>
      </w:pPr>
      <w:r>
        <w:t xml:space="preserve">Ở lớp tồn kho, tổng P50 của nhóm là 10.551 và tổng lượng bổ sung gợi ý là 12.181; nhóm có 54 cửa hàng mang nhãn HIGH, 0 cửa hàng MEDIUM và 0 cửa hàng LOW. Ở lớp kịch bản, tổng P50 của nhóm dưới kịch bản không khuyến mãi thay đổi −0,70% và dưới kịch bản khuyến mãi cao thay đổi 407,50% so với kịch bản hiện tại.</w:t>
      </w:r>
    </w:p>
    <w:p>
      <w:pPr>
        <w:pStyle w:val="Heading3"/>
        <w:keepNext/>
      </w:pPr>
      <w:r>
        <w:t xml:space="preserve">B.8. Nhóm sản phẩm CLEANING</w:t>
      </w:r>
    </w:p>
    <w:p>
      <w:pPr>
        <w:keepLines w:val="0"/>
        <w:spacing w:after="120"/>
        <w:ind w:firstLine="567"/>
      </w:pPr>
      <w:r>
        <w:t xml:space="preserve">Nhóm CLEANING có tổng doanh số thực tế 1.065.243 trong 16 ngày trên 54 cửa hàng (hạng 4/33 về quy mô) và tổng dự báo 1.112.819, tức dự báo cao hơn thực tế 4,47%. WAPE của nhóm là 21,99% (hạng 14/33 từ thấp đến cao), bias −55,065, độ bao phủ P10–P90 60,88% với độ rộng khoảng trung bình 655,948. Cửa hàng có doanh số lớn nhất của nhóm là cửa hàng 45 (41.314; WAPE 12,67%; bao phủ 75,00%).</w:t>
      </w:r>
    </w:p>
    <w:p>
      <w:pPr>
        <w:keepLines w:val="0"/>
        <w:spacing w:after="120"/>
        <w:ind w:firstLine="567"/>
      </w:pPr>
      <w:r>
        <w:t xml:space="preserve">Ở lớp tồn kho, tổng P50 của nhóm là 1.111.558 và tổng lượng bổ sung gợi ý là 576.045; nhóm có 0 cửa hàng mang nhãn HIGH, 46 cửa hàng MEDIUM và 8 cửa hàng LOW. Ở lớp kịch bản, tổng P50 của nhóm dưới kịch bản không khuyến mãi thay đổi −4,67% và dưới kịch bản khuyến mãi cao thay đổi −1,37% so với kịch bản hiện tại.</w:t>
      </w:r>
    </w:p>
    <w:p>
      <w:pPr>
        <w:pStyle w:val="Heading3"/>
        <w:keepNext/>
      </w:pPr>
      <w:r>
        <w:t xml:space="preserve">B.9. Nhóm sản phẩm DAIRY</w:t>
      </w:r>
    </w:p>
    <w:p>
      <w:pPr>
        <w:keepLines w:val="0"/>
        <w:spacing w:after="120"/>
        <w:ind w:firstLine="567"/>
      </w:pPr>
      <w:r>
        <w:t xml:space="preserve">Nhóm DAIRY có tổng doanh số thực tế 721.034 trong 16 ngày trên 54 cửa hàng (hạng 5/33 về quy mô) và tổng dự báo 796.534, tức dự báo cao hơn thực tế 10,47%. WAPE của nhóm là 13,39% (hạng 4/33 từ thấp đến cao), bias −87,384, độ bao phủ P10–P90 77,66% với độ rộng khoảng trung bình 440,643. Cửa hàng có doanh số lớn nhất của nhóm là cửa hàng 44 (38.695; WAPE 12,51%; bao phủ 68,75%).</w:t>
      </w:r>
    </w:p>
    <w:p>
      <w:pPr>
        <w:keepLines w:val="0"/>
        <w:spacing w:after="120"/>
        <w:ind w:firstLine="567"/>
      </w:pPr>
      <w:r>
        <w:t xml:space="preserve">Ở lớp tồn kho, tổng P50 của nhóm là 793.277 và tổng lượng bổ sung gợi ý là 390.206; nhóm có 0 cửa hàng mang nhãn HIGH, 51 cửa hàng MEDIUM và 3 cửa hàng LOW. Ở lớp kịch bản, tổng P50 của nhóm dưới kịch bản không khuyến mãi thay đổi −3,40% và dưới kịch bản khuyến mãi cao thay đổi −0,91% so với kịch bản hiện tại.</w:t>
      </w:r>
    </w:p>
    <w:p>
      <w:pPr>
        <w:pStyle w:val="Heading3"/>
        <w:keepNext/>
      </w:pPr>
      <w:r>
        <w:t xml:space="preserve">B.10. Nhóm sản phẩm DELI</w:t>
      </w:r>
    </w:p>
    <w:p>
      <w:pPr>
        <w:keepLines w:val="0"/>
        <w:spacing w:after="120"/>
        <w:ind w:firstLine="567"/>
      </w:pPr>
      <w:r>
        <w:t xml:space="preserve">Nhóm DELI có tổng doanh số thực tế 261.903 trong 16 ngày trên 54 cửa hàng (hạng 10/33 về quy mô) và tổng dự báo 285.981, tức dự báo cao hơn thực tế 9,19%. WAPE của nhóm là 14,69% (hạng 7/33 từ thấp đến cao), bias −27,868, độ bao phủ P10–P90 78,36% với độ rộng khoảng trung bình 152,831. Cửa hàng có doanh số lớn nhất của nhóm là cửa hàng 46 (13.500; WAPE 9,51%; bao phủ 81,25%).</w:t>
      </w:r>
    </w:p>
    <w:p>
      <w:pPr>
        <w:keepLines w:val="0"/>
        <w:spacing w:after="120"/>
        <w:ind w:firstLine="567"/>
      </w:pPr>
      <w:r>
        <w:t xml:space="preserve">Ở lớp tồn kho, tổng P50 của nhóm là 283.575 và tổng lượng bổ sung gợi ý là 130.442; nhóm có 1 cửa hàng mang nhãn HIGH, 53 cửa hàng MEDIUM và 0 cửa hàng LOW. Ở lớp kịch bản, tổng P50 của nhóm dưới kịch bản không khuyến mãi thay đổi −4,40% và dưới kịch bản khuyến mãi cao thay đổi 0,56% so với kịch bản hiện tại.</w:t>
      </w:r>
    </w:p>
    <w:p>
      <w:pPr>
        <w:pStyle w:val="Heading3"/>
        <w:keepNext/>
      </w:pPr>
      <w:r>
        <w:t xml:space="preserve">B.11. Nhóm sản phẩm EGGS</w:t>
      </w:r>
    </w:p>
    <w:p>
      <w:pPr>
        <w:keepLines w:val="0"/>
        <w:spacing w:after="120"/>
        <w:ind w:firstLine="567"/>
      </w:pPr>
      <w:r>
        <w:t xml:space="preserve">Nhóm EGGS có tổng doanh số thực tế 172.529 trong 16 ngày trên 54 cửa hàng (hạng 12/33 về quy mô) và tổng dự báo 176.471, tức dự báo cao hơn thực tế 2,28%. WAPE của nhóm là 18,96% (hạng 11/33 từ thấp đến cao), bias −4,562, độ bao phủ P10–P90 75,58% với độ rộng khoảng trung bình 108,830. Cửa hàng có doanh số lớn nhất của nhóm là cửa hàng 44 (9.876; WAPE 10,48%; bao phủ 93,75%).</w:t>
      </w:r>
    </w:p>
    <w:p>
      <w:pPr>
        <w:keepLines w:val="0"/>
        <w:spacing w:after="120"/>
        <w:ind w:firstLine="567"/>
      </w:pPr>
      <w:r>
        <w:t xml:space="preserve">Ở lớp tồn kho, tổng P50 của nhóm là 174.867 và tổng lượng bổ sung gợi ý là 87.423; nhóm có 10 cửa hàng mang nhãn HIGH, 44 cửa hàng MEDIUM và 0 cửa hàng LOW. Ở lớp kịch bản, tổng P50 của nhóm dưới kịch bản không khuyến mãi thay đổi −2,93% và dưới kịch bản khuyến mãi cao thay đổi 5,67% so với kịch bản hiện tại.</w:t>
      </w:r>
    </w:p>
    <w:p>
      <w:pPr>
        <w:pStyle w:val="Heading3"/>
        <w:keepNext/>
      </w:pPr>
      <w:r>
        <w:t xml:space="preserve">B.12. Nhóm sản phẩm FROZEN FOODS</w:t>
      </w:r>
    </w:p>
    <w:p>
      <w:pPr>
        <w:keepLines w:val="0"/>
        <w:spacing w:after="120"/>
        <w:ind w:firstLine="567"/>
      </w:pPr>
      <w:r>
        <w:t xml:space="preserve">Nhóm FROZEN FOODS có tổng doanh số thực tế 110.014 trong 16 ngày trên 54 cửa hàng (hạng 13/33 về quy mô) và tổng dự báo 114.244, tức dự báo cao hơn thực tế 3,84%. WAPE của nhóm là 19,92% (hạng 12/33 từ thấp đến cao), bias −4,895, độ bao phủ P10–P90 81,02% với độ rộng khoảng trung bình 79,847. Cửa hàng có doanh số lớn nhất của nhóm là cửa hàng 44 (6.903; WAPE 17,50%; bao phủ 68,75%).</w:t>
      </w:r>
    </w:p>
    <w:p>
      <w:pPr>
        <w:keepLines w:val="0"/>
        <w:spacing w:after="120"/>
        <w:ind w:firstLine="567"/>
      </w:pPr>
      <w:r>
        <w:t xml:space="preserve">Ở lớp tồn kho, tổng P50 của nhóm là 112.076 và tổng lượng bổ sung gợi ý là 60.898; nhóm có 18 cửa hàng mang nhãn HIGH, 36 cửa hàng MEDIUM và 0 cửa hàng LOW. Ở lớp kịch bản, tổng P50 của nhóm dưới kịch bản không khuyến mãi thay đổi −2,98% và dưới kịch bản khuyến mãi cao thay đổi 10,22% so với kịch bản hiện tại.</w:t>
      </w:r>
    </w:p>
    <w:p>
      <w:pPr>
        <w:pStyle w:val="Heading3"/>
        <w:keepNext/>
      </w:pPr>
      <w:r>
        <w:t xml:space="preserve">B.13. Nhóm sản phẩm GROCERY I</w:t>
      </w:r>
    </w:p>
    <w:p>
      <w:pPr>
        <w:keepLines w:val="0"/>
        <w:spacing w:after="120"/>
        <w:ind w:firstLine="567"/>
      </w:pPr>
      <w:r>
        <w:t xml:space="preserve">Nhóm GROCERY I có tổng doanh số thực tế 3.980.412 trong 16 ngày trên 54 cửa hàng (hạng 1/33 về quy mô) và tổng dự báo 4.042.554, tức dự báo cao hơn thực tế 1,56%. WAPE của nhóm là 10,56% (hạng 2/33 từ thấp đến cao), bias −71,923, độ bao phủ P10–P90 67,36% với độ rộng khoảng trung bình 1.170,756. Cửa hàng có doanh số lớn nhất của nhóm là cửa hàng 45 (176.225; WAPE 6,36%; bao phủ 62,50%).</w:t>
      </w:r>
    </w:p>
    <w:p>
      <w:pPr>
        <w:keepLines w:val="0"/>
        <w:spacing w:after="120"/>
        <w:ind w:firstLine="567"/>
      </w:pPr>
      <w:r>
        <w:t xml:space="preserve">Ở lớp tồn kho, tổng P50 của nhóm là 4.050.202 và tổng lượng bổ sung gợi ý là 1.462.342; nhóm có 0 cửa hàng mang nhãn HIGH, 18 cửa hàng MEDIUM và 36 cửa hàng LOW. Ở lớp kịch bản, tổng P50 của nhóm dưới kịch bản không khuyến mãi thay đổi −4,94% và dưới kịch bản khuyến mãi cao thay đổi −2,65% so với kịch bản hiện tại.</w:t>
      </w:r>
    </w:p>
    <w:p>
      <w:pPr>
        <w:pStyle w:val="Heading3"/>
        <w:keepNext/>
      </w:pPr>
      <w:r>
        <w:t xml:space="preserve">B.14. Nhóm sản phẩm GROCERY II</w:t>
      </w:r>
    </w:p>
    <w:p>
      <w:pPr>
        <w:keepLines w:val="0"/>
        <w:spacing w:after="120"/>
        <w:ind w:firstLine="567"/>
      </w:pPr>
      <w:r>
        <w:t xml:space="preserve">Nhóm GROCERY II có tổng doanh số thực tế 25.031 trong 16 ngày trên 54 cửa hàng (hạng 19/33 về quy mô) và tổng dự báo 27.771, tức dự báo cao hơn thực tế 10,95%. WAPE của nhóm là 41,93% (hạng 22/33 từ thấp đến cao), bias −3,172, độ bao phủ P10–P90 73,96% với độ rộng khoảng trung bình 32,807. Cửa hàng có doanh số lớn nhất của nhóm là cửa hàng 45 (1.938; WAPE 49,79%; bao phủ 18,75%).</w:t>
      </w:r>
    </w:p>
    <w:p>
      <w:pPr>
        <w:keepLines w:val="0"/>
        <w:spacing w:after="120"/>
        <w:ind w:firstLine="567"/>
      </w:pPr>
      <w:r>
        <w:t xml:space="preserve">Ở lớp tồn kho, tổng P50 của nhóm là 26.305 và tổng lượng bổ sung gợi ý là 21.621; nhóm có 51 cửa hàng mang nhãn HIGH, 3 cửa hàng MEDIUM và 0 cửa hàng LOW. Ở lớp kịch bản, tổng P50 của nhóm dưới kịch bản không khuyến mãi thay đổi −4,03% và dưới kịch bản khuyến mãi cao thay đổi 103,29% so với kịch bản hiện tại.</w:t>
      </w:r>
    </w:p>
    <w:p>
      <w:pPr>
        <w:pStyle w:val="Heading3"/>
        <w:keepNext/>
      </w:pPr>
      <w:r>
        <w:t xml:space="preserve">B.15. Nhóm sản phẩm HARDWARE</w:t>
      </w:r>
    </w:p>
    <w:p>
      <w:pPr>
        <w:keepLines w:val="0"/>
        <w:spacing w:after="120"/>
        <w:ind w:firstLine="567"/>
      </w:pPr>
      <w:r>
        <w:t xml:space="preserve">Nhóm HARDWARE có tổng doanh số thực tế 1.252 trong 16 ngày trên 54 cửa hàng (hạng 30/33 về quy mô) và tổng dự báo 1.365, tức dự báo cao hơn thực tế 9,04%. WAPE của nhóm là 91,59% (hạng 30/33 từ thấp đến cao), bias −0,131, độ bao phủ P10–P90 78,24% với độ rộng khoảng trung bình 7,321. Cửa hàng có doanh số lớn nhất của nhóm là cửa hàng 44 (75; WAPE 55,36%; bao phủ 87,50%).</w:t>
      </w:r>
    </w:p>
    <w:p>
      <w:pPr>
        <w:keepLines w:val="0"/>
        <w:spacing w:after="120"/>
        <w:ind w:firstLine="567"/>
      </w:pPr>
      <w:r>
        <w:t xml:space="preserve">Ở lớp tồn kho, tổng P50 của nhóm là 1.882 và tổng lượng bổ sung gợi ý là 5.108; nhóm có 54 cửa hàng mang nhãn HIGH, 0 cửa hàng MEDIUM và 0 cửa hàng LOW. Ở lớp kịch bản, tổng P50 của nhóm dưới kịch bản không khuyến mãi thay đổi 0,00% và dưới kịch bản khuyến mãi cao thay đổi 5.004,74% so với kịch bản hiện tại.</w:t>
      </w:r>
    </w:p>
    <w:p>
      <w:pPr>
        <w:pStyle w:val="Heading3"/>
        <w:keepNext/>
      </w:pPr>
      <w:r>
        <w:t xml:space="preserve">B.16. Nhóm sản phẩm HOME AND KITCHEN I</w:t>
      </w:r>
    </w:p>
    <w:p>
      <w:pPr>
        <w:keepLines w:val="0"/>
        <w:spacing w:after="120"/>
        <w:ind w:firstLine="567"/>
      </w:pPr>
      <w:r>
        <w:t xml:space="preserve">Nhóm HOME AND KITCHEN I có tổng doanh số thực tế 27.020 trong 16 ngày trên 54 cửa hàng (hạng 17/33 về quy mô) và tổng dự báo 29.185, tức dự báo cao hơn thực tế 8,01%. WAPE của nhóm là 41,44% (hạng 21/33 từ thấp đến cao), bias −2,506, độ bao phủ P10–P90 77,78% với độ rộng khoảng trung bình 35,086. Cửa hàng có doanh số lớn nhất của nhóm là cửa hàng 44 (1.770; WAPE 30,20%; bao phủ 62,50%).</w:t>
      </w:r>
    </w:p>
    <w:p>
      <w:pPr>
        <w:keepLines w:val="0"/>
        <w:spacing w:after="120"/>
        <w:ind w:firstLine="567"/>
      </w:pPr>
      <w:r>
        <w:t xml:space="preserve">Ở lớp tồn kho, tổng P50 của nhóm là 26.820 và tổng lượng bổ sung gợi ý là 22.882; nhóm có 53 cửa hàng mang nhãn HIGH, 1 cửa hàng MEDIUM và 0 cửa hàng LOW. Ở lớp kịch bản, tổng P50 của nhóm dưới kịch bản không khuyến mãi thay đổi −14,78% và dưới kịch bản khuyến mãi cao thay đổi 69,66% so với kịch bản hiện tại.</w:t>
      </w:r>
    </w:p>
    <w:p>
      <w:pPr>
        <w:pStyle w:val="Heading3"/>
        <w:keepNext/>
      </w:pPr>
      <w:r>
        <w:t xml:space="preserve">B.17. Nhóm sản phẩm HOME AND KITCHEN II</w:t>
      </w:r>
    </w:p>
    <w:p>
      <w:pPr>
        <w:keepLines w:val="0"/>
        <w:spacing w:after="120"/>
        <w:ind w:firstLine="567"/>
      </w:pPr>
      <w:r>
        <w:t xml:space="preserve">Nhóm HOME AND KITCHEN II có tổng doanh số thực tế 26.789 trong 16 ngày trên 54 cửa hàng (hạng 18/33 về quy mô) và tổng dự báo 26.701, tức dự báo thấp hơn thực tế 0,33%. WAPE của nhóm là 41,24% (hạng 20/33 từ thấp đến cao), bias 0,102, độ bao phủ P10–P90 82,18% với độ rộng khoảng trung bình 33,323. Cửa hàng có doanh số lớn nhất của nhóm là cửa hàng 44 (1.914; WAPE 23,74%; bao phủ 68,75%).</w:t>
      </w:r>
    </w:p>
    <w:p>
      <w:pPr>
        <w:keepLines w:val="0"/>
        <w:spacing w:after="120"/>
        <w:ind w:firstLine="567"/>
      </w:pPr>
      <w:r>
        <w:t xml:space="preserve">Ở lớp tồn kho, tổng P50 của nhóm là 24.823 và tổng lượng bổ sung gợi ý là 21.609; nhóm có 53 cửa hàng mang nhãn HIGH, 1 cửa hàng MEDIUM và 0 cửa hàng LOW. Ở lớp kịch bản, tổng P50 của nhóm dưới kịch bản không khuyến mãi thay đổi −16,80% và dưới kịch bản khuyến mãi cao thay đổi 86,07% so với kịch bản hiện tại.</w:t>
      </w:r>
    </w:p>
    <w:p>
      <w:pPr>
        <w:pStyle w:val="Heading3"/>
        <w:keepNext/>
      </w:pPr>
      <w:r>
        <w:t xml:space="preserve">B.18. Nhóm sản phẩm HOME APPLIANCES</w:t>
      </w:r>
    </w:p>
    <w:p>
      <w:pPr>
        <w:keepLines w:val="0"/>
        <w:spacing w:after="120"/>
        <w:ind w:firstLine="567"/>
      </w:pPr>
      <w:r>
        <w:t xml:space="preserve">Nhóm HOME APPLIANCES có tổng doanh số thực tế 173 trong 16 ngày trên 54 cửa hàng (hạng 31/33 về quy mô) và tổng dự báo 1.099, tức dự báo cao hơn thực tế 535,12%. WAPE của nhóm là 586,27% (hạng 31/33 từ thấp đến cao), bias −1,071, độ bao phủ P10–P90 59,38% với độ rộng khoảng trung bình 6,698. Cửa hàng có doanh số lớn nhất của nhóm là cửa hàng 47 (19; WAPE 126,63%; bao phủ 81,25%). Có 14 cửa hàng không phát sinh doanh số của nhóm này trong 16 ngày.</w:t>
      </w:r>
    </w:p>
    <w:p>
      <w:pPr>
        <w:keepLines w:val="0"/>
        <w:spacing w:after="120"/>
        <w:ind w:firstLine="567"/>
      </w:pPr>
      <w:r>
        <w:t xml:space="preserve">Ở lớp tồn kho, tổng P50 của nhóm là 1.500 và tổng lượng bổ sung gợi ý là 4.800; nhóm có 54 cửa hàng mang nhãn HIGH, 0 cửa hàng MEDIUM và 0 cửa hàng LOW. Ở lớp kịch bản, tổng P50 của nhóm dưới kịch bản không khuyến mãi thay đổi 0,00% và dưới kịch bản khuyến mãi cao thay đổi 6.859,34% so với kịch bản hiện tại.</w:t>
      </w:r>
    </w:p>
    <w:p>
      <w:pPr>
        <w:pStyle w:val="Heading3"/>
        <w:keepNext/>
      </w:pPr>
      <w:r>
        <w:t xml:space="preserve">B.19. Nhóm sản phẩm HOME CARE</w:t>
      </w:r>
    </w:p>
    <w:p>
      <w:pPr>
        <w:keepLines w:val="0"/>
        <w:spacing w:after="120"/>
        <w:ind w:firstLine="567"/>
      </w:pPr>
      <w:r>
        <w:t xml:space="preserve">Nhóm HOME CARE có tổng doanh số thực tế 251.893 trong 16 ngày trên 54 cửa hàng (hạng 11/33 về quy mô) và tổng dự báo 278.387, tức dự báo cao hơn thực tế 10,52%. WAPE của nhóm là 20,02% (hạng 13/33 từ thấp đến cao), bias −30,665, độ bao phủ P10–P90 73,38% với độ rộng khoảng trung bình 152,242. Cửa hàng có doanh số lớn nhất của nhóm là cửa hàng 45 (10.806; WAPE 17,59%; bao phủ 75,00%).</w:t>
      </w:r>
    </w:p>
    <w:p>
      <w:pPr>
        <w:keepLines w:val="0"/>
        <w:spacing w:after="120"/>
        <w:ind w:firstLine="567"/>
      </w:pPr>
      <w:r>
        <w:t xml:space="preserve">Ở lớp tồn kho, tổng P50 của nhóm là 276.013 và tổng lượng bổ sung gợi ý là 128.709; nhóm có 1 cửa hàng mang nhãn HIGH, 53 cửa hàng MEDIUM và 0 cửa hàng LOW. Ở lớp kịch bản, tổng P50 của nhóm dưới kịch bản không khuyến mãi thay đổi −4,06% và dưới kịch bản khuyến mãi cao thay đổi 0,90% so với kịch bản hiện tại.</w:t>
      </w:r>
    </w:p>
    <w:p>
      <w:pPr>
        <w:pStyle w:val="Heading3"/>
        <w:keepNext/>
      </w:pPr>
      <w:r>
        <w:t xml:space="preserve">B.20. Nhóm sản phẩm LADIESWEAR</w:t>
      </w:r>
    </w:p>
    <w:p>
      <w:pPr>
        <w:keepLines w:val="0"/>
        <w:spacing w:after="120"/>
        <w:ind w:firstLine="567"/>
      </w:pPr>
      <w:r>
        <w:t xml:space="preserve">Nhóm LADIESWEAR có tổng doanh số thực tế 8.711 trong 16 ngày trên 54 cửa hàng (hạng 24/33 về quy mô) và tổng dự báo 11.590, tức dự báo cao hơn thực tế 33,05%. WAPE của nhóm là 62,37% (hạng 26/33 từ thấp đến cao), bias −3,332, độ bao phủ P10–P90 69,44% với độ rộng khoảng trung bình 18,370. Cửa hàng có doanh số lớn nhất của nhóm là cửa hàng 3 (672; WAPE 18,22%; bao phủ 100,00%). Có 11 cửa hàng không phát sinh doanh số của nhóm này trong 16 ngày.</w:t>
      </w:r>
    </w:p>
    <w:p>
      <w:pPr>
        <w:keepLines w:val="0"/>
        <w:spacing w:after="120"/>
        <w:ind w:firstLine="567"/>
      </w:pPr>
      <w:r>
        <w:t xml:space="preserve">Ở lớp tồn kho, tổng P50 của nhóm là 11.242 và tổng lượng bổ sung gợi ý là 11.956; nhóm có 54 cửa hàng mang nhãn HIGH, 0 cửa hàng MEDIUM và 0 cửa hàng LOW. Ở lớp kịch bản, tổng P50 của nhóm dưới kịch bản không khuyến mãi thay đổi −14,37% và dưới kịch bản khuyến mãi cao thay đổi 690,87% so với kịch bản hiện tại.</w:t>
      </w:r>
    </w:p>
    <w:p>
      <w:pPr>
        <w:pStyle w:val="Heading3"/>
        <w:keepNext/>
      </w:pPr>
      <w:r>
        <w:t xml:space="preserve">B.21. Nhóm sản phẩm LAWN AND GARDEN</w:t>
      </w:r>
    </w:p>
    <w:p>
      <w:pPr>
        <w:keepLines w:val="0"/>
        <w:spacing w:after="120"/>
        <w:ind w:firstLine="567"/>
      </w:pPr>
      <w:r>
        <w:t xml:space="preserve">Nhóm LAWN AND GARDEN có tổng doanh số thực tế 12.908 trong 16 ngày trên 54 cửa hàng (hạng 21/33 về quy mô) và tổng dự báo 13.886, tức dự báo cao hơn thực tế 7,58%. WAPE của nhóm là 39,65% (hạng 18/33 từ thấp đến cao), bias −1,132, độ bao phủ P10–P90 81,83% với độ rộng khoảng trung bình 21,035. Cửa hàng có doanh số lớn nhất của nhóm là cửa hàng 52 (864; WAPE 31,87%; bao phủ 81,25%). Có 14 cửa hàng không phát sinh doanh số của nhóm này trong 16 ngày.</w:t>
      </w:r>
    </w:p>
    <w:p>
      <w:pPr>
        <w:keepLines w:val="0"/>
        <w:spacing w:after="120"/>
        <w:ind w:firstLine="567"/>
      </w:pPr>
      <w:r>
        <w:t xml:space="preserve">Ở lớp tồn kho, tổng P50 của nhóm là 13.071 và tổng lượng bổ sung gợi ý là 13.616; nhóm có 54 cửa hàng mang nhãn HIGH, 0 cửa hàng MEDIUM và 0 cửa hàng LOW. Ở lớp kịch bản, tổng P50 của nhóm dưới kịch bản không khuyến mãi thay đổi −12,10% và dưới kịch bản khuyến mãi cao thay đổi 613,77% so với kịch bản hiện tại.</w:t>
      </w:r>
    </w:p>
    <w:p>
      <w:pPr>
        <w:pStyle w:val="Heading3"/>
        <w:keepNext/>
      </w:pPr>
      <w:r>
        <w:t xml:space="preserve">B.22. Nhóm sản phẩm LINGERIE</w:t>
      </w:r>
    </w:p>
    <w:p>
      <w:pPr>
        <w:keepLines w:val="0"/>
        <w:spacing w:after="120"/>
        <w:ind w:firstLine="567"/>
      </w:pPr>
      <w:r>
        <w:t xml:space="preserve">Nhóm LINGERIE có tổng doanh số thực tế 6.716 trong 16 ngày trên 54 cửa hàng (hạng 26/33 về quy mô) và tổng dự báo 6.991, tức dự báo cao hơn thực tế 4,09%. WAPE của nhóm là 68,51% (hạng 27/33 từ thấp đến cao), bias −0,318, độ bao phủ P10–P90 79,28% với độ rộng khoảng trung bình 15,284. Cửa hàng có doanh số lớn nhất của nhóm là cửa hàng 44 (770; WAPE 48,20%; bao phủ 50,00%).</w:t>
      </w:r>
    </w:p>
    <w:p>
      <w:pPr>
        <w:keepLines w:val="0"/>
        <w:spacing w:after="120"/>
        <w:ind w:firstLine="567"/>
      </w:pPr>
      <w:r>
        <w:t xml:space="preserve">Ở lớp tồn kho, tổng P50 của nhóm là 7.532 và tổng lượng bổ sung gợi ý là 9.592; nhóm có 54 cửa hàng mang nhãn HIGH, 0 cửa hàng MEDIUM và 0 cửa hàng LOW. Ở lớp kịch bản, tổng P50 của nhóm dưới kịch bản không khuyến mãi thay đổi −44,10% và dưới kịch bản khuyến mãi cao thay đổi 742,75% so với kịch bản hiện tại.</w:t>
      </w:r>
    </w:p>
    <w:p>
      <w:pPr>
        <w:pStyle w:val="Heading3"/>
        <w:keepNext/>
      </w:pPr>
      <w:r>
        <w:t xml:space="preserve">B.23. Nhóm sản phẩm LIQUOR,WINE,BEER</w:t>
      </w:r>
    </w:p>
    <w:p>
      <w:pPr>
        <w:keepLines w:val="0"/>
        <w:spacing w:after="120"/>
        <w:ind w:firstLine="567"/>
      </w:pPr>
      <w:r>
        <w:t xml:space="preserve">Nhóm LIQUOR,WINE,BEER có tổng doanh số thực tế 84.091 trong 16 ngày trên 54 cửa hàng (hạng 14/33 về quy mô) và tổng dự báo 88.448, tức dự báo cao hơn thực tế 5,18%. WAPE của nhóm là 35,46% (hạng 17/33 từ thấp đến cao), bias −5,042, độ bao phủ P10–P90 61,92% với độ rộng khoảng trung bình 66,401. Cửa hàng có doanh số lớn nhất của nhóm là cửa hàng 44 (5.053; WAPE 21,01%; bao phủ 62,50%).</w:t>
      </w:r>
    </w:p>
    <w:p>
      <w:pPr>
        <w:keepLines w:val="0"/>
        <w:spacing w:after="120"/>
        <w:ind w:firstLine="567"/>
      </w:pPr>
      <w:r>
        <w:t xml:space="preserve">Ở lớp tồn kho, tổng P50 của nhóm là 86.049 và tổng lượng bổ sung gợi ý là 49.320; nhóm có 28 cửa hàng mang nhãn HIGH, 26 cửa hàng MEDIUM và 0 cửa hàng LOW. Ở lớp kịch bản, tổng P50 của nhóm dưới kịch bản không khuyến mãi thay đổi −10,01% và dưới kịch bản khuyến mãi cao thay đổi 9,56% so với kịch bản hiện tại.</w:t>
      </w:r>
    </w:p>
    <w:p>
      <w:pPr>
        <w:pStyle w:val="Heading3"/>
        <w:keepNext/>
      </w:pPr>
      <w:r>
        <w:t xml:space="preserve">B.24. Nhóm sản phẩm MAGAZINES</w:t>
      </w:r>
    </w:p>
    <w:p>
      <w:pPr>
        <w:keepLines w:val="0"/>
        <w:spacing w:after="120"/>
        <w:ind w:firstLine="567"/>
      </w:pPr>
      <w:r>
        <w:t xml:space="preserve">Nhóm MAGAZINES có tổng doanh số thực tế 6.146 trong 16 ngày trên 54 cửa hàng (hạng 28/33 về quy mô) và tổng dự báo 4.115, tức dự báo thấp hơn thực tế 33,05%. WAPE của nhóm là 49,62% (hạng 24/33 từ thấp đến cao), bias 2,351, độ bao phủ P10–P90 81,60% với độ rộng khoảng trung bình 11,692. Cửa hàng có doanh số lớn nhất của nhóm là cửa hàng 3 (485; WAPE 36,31%; bao phủ 68,75%).</w:t>
      </w:r>
    </w:p>
    <w:p>
      <w:pPr>
        <w:keepLines w:val="0"/>
        <w:spacing w:after="120"/>
        <w:ind w:firstLine="567"/>
      </w:pPr>
      <w:r>
        <w:t xml:space="preserve">Ở lớp tồn kho, tổng P50 của nhóm là 4.915 và tổng lượng bổ sung gợi ý là 7.488; nhóm có 54 cửa hàng mang nhãn HIGH, 0 cửa hàng MEDIUM và 0 cửa hàng LOW. Ở lớp kịch bản, tổng P50 của nhóm dưới kịch bản không khuyến mãi thay đổi 0,00% và dưới kịch bản khuyến mãi cao thay đổi 1.365,04% so với kịch bản hiện tại.</w:t>
      </w:r>
    </w:p>
    <w:p>
      <w:pPr>
        <w:pStyle w:val="Heading3"/>
        <w:keepNext/>
      </w:pPr>
      <w:r>
        <w:t xml:space="preserve">B.25. Nhóm sản phẩm MEATS</w:t>
      </w:r>
    </w:p>
    <w:p>
      <w:pPr>
        <w:keepLines w:val="0"/>
        <w:spacing w:after="120"/>
        <w:ind w:firstLine="567"/>
      </w:pPr>
      <w:r>
        <w:t xml:space="preserve">Nhóm MEATS có tổng doanh số thực tế 321.071 trong 16 ngày trên 54 cửa hàng (hạng 8/33 về quy mô) và tổng dự báo 324.764, tức dự báo cao hơn thực tế 1,15%. WAPE của nhóm là 13,87% (hạng 5/33 từ thấp đến cao), bias −4,275, độ bao phủ P10–P90 79,17% với độ rộng khoảng trung bình 179,776. Cửa hàng có doanh số lớn nhất của nhóm là cửa hàng 45 (19.265; WAPE 8,17%; bao phủ 100,00%).</w:t>
      </w:r>
    </w:p>
    <w:p>
      <w:pPr>
        <w:keepLines w:val="0"/>
        <w:spacing w:after="120"/>
        <w:ind w:firstLine="567"/>
      </w:pPr>
      <w:r>
        <w:t xml:space="preserve">Ở lớp tồn kho, tổng P50 của nhóm là 322.139 và tổng lượng bổ sung gợi ý là 153.424; nhóm có 5 cửa hàng mang nhãn HIGH, 49 cửa hàng MEDIUM và 0 cửa hàng LOW. Ở lớp kịch bản, tổng P50 của nhóm dưới kịch bản không khuyến mãi thay đổi −1,69% và dưới kịch bản khuyến mãi cao thay đổi 3,01% so với kịch bản hiện tại.</w:t>
      </w:r>
    </w:p>
    <w:p>
      <w:pPr>
        <w:pStyle w:val="Heading3"/>
        <w:keepNext/>
      </w:pPr>
      <w:r>
        <w:t xml:space="preserve">B.26. Nhóm sản phẩm PERSONAL CARE</w:t>
      </w:r>
    </w:p>
    <w:p>
      <w:pPr>
        <w:keepLines w:val="0"/>
        <w:spacing w:after="120"/>
        <w:ind w:firstLine="567"/>
      </w:pPr>
      <w:r>
        <w:t xml:space="preserve">Nhóm PERSONAL CARE có tổng doanh số thực tế 277.631 trong 16 ngày trên 54 cửa hàng (hạng 9/33 về quy mô) và tổng dự báo 276.442, tức dự báo thấp hơn thực tế 0,43%. WAPE của nhóm là 15,88% (hạng 8/33 từ thấp đến cao), bias 1,376, độ bao phủ P10–P90 76,97% với độ rộng khoảng trung bình 150,570. Cửa hàng có doanh số lớn nhất của nhóm là cửa hàng 48 (13.994; WAPE 17,98%; bao phủ 62,50%).</w:t>
      </w:r>
    </w:p>
    <w:p>
      <w:pPr>
        <w:keepLines w:val="0"/>
        <w:spacing w:after="120"/>
        <w:ind w:firstLine="567"/>
      </w:pPr>
      <w:r>
        <w:t xml:space="preserve">Ở lớp tồn kho, tổng P50 của nhóm là 274.228 và tổng lượng bổ sung gợi ý là 127.704; nhóm có 2 cửa hàng mang nhãn HIGH, 52 cửa hàng MEDIUM và 0 cửa hàng LOW. Ở lớp kịch bản, tổng P50 của nhóm dưới kịch bản không khuyến mãi thay đổi −4,88% và dưới kịch bản khuyến mãi cao thay đổi 0,30% so với kịch bản hiện tại.</w:t>
      </w:r>
    </w:p>
    <w:p>
      <w:pPr>
        <w:pStyle w:val="Heading3"/>
        <w:keepNext/>
      </w:pPr>
      <w:r>
        <w:t xml:space="preserve">B.27. Nhóm sản phẩm PET SUPPLIES</w:t>
      </w:r>
    </w:p>
    <w:p>
      <w:pPr>
        <w:keepLines w:val="0"/>
        <w:spacing w:after="120"/>
        <w:ind w:firstLine="567"/>
      </w:pPr>
      <w:r>
        <w:t xml:space="preserve">Nhóm PET SUPPLIES có tổng doanh số thực tế 7.283 trong 16 ngày trên 54 cửa hàng (hạng 25/33 về quy mô) và tổng dự báo 6.276, tức dự báo thấp hơn thực tế 13,83%. WAPE của nhóm là 39,90% (hạng 19/33 từ thấp đến cao), bias 1,166, độ bao phủ P10–P90 89,00% với độ rộng khoảng trung bình 14,304. Cửa hàng có doanh số lớn nhất của nhóm là cửa hàng 44 (637; WAPE 44,33%; bao phủ 75,00%).</w:t>
      </w:r>
    </w:p>
    <w:p>
      <w:pPr>
        <w:keepLines w:val="0"/>
        <w:spacing w:after="120"/>
        <w:ind w:firstLine="567"/>
      </w:pPr>
      <w:r>
        <w:t xml:space="preserve">Ở lớp tồn kho, tổng P50 của nhóm là 6.737 và tổng lượng bổ sung gợi ý là 9.062; nhóm có 54 cửa hàng mang nhãn HIGH, 0 cửa hàng MEDIUM và 0 cửa hàng LOW. Ở lớp kịch bản, tổng P50 của nhóm dưới kịch bản không khuyến mãi thay đổi 0,00% và dưới kịch bản khuyến mãi cao thay đổi 837,30% so với kịch bản hiện tại.</w:t>
      </w:r>
    </w:p>
    <w:p>
      <w:pPr>
        <w:pStyle w:val="Heading3"/>
        <w:keepNext/>
      </w:pPr>
      <w:r>
        <w:t xml:space="preserve">B.28. Nhóm sản phẩm PLAYERS AND ELECTRONICS</w:t>
      </w:r>
    </w:p>
    <w:p>
      <w:pPr>
        <w:keepLines w:val="0"/>
        <w:spacing w:after="120"/>
        <w:ind w:firstLine="567"/>
      </w:pPr>
      <w:r>
        <w:t xml:space="preserve">Nhóm PLAYERS AND ELECTRONICS có tổng doanh số thực tế 10.084 trong 16 ngày trên 54 cửa hàng (hạng 23/33 về quy mô) và tổng dự báo 7.786, tức dự báo thấp hơn thực tế 22,79%. WAPE của nhóm là 35,41% (hạng 16/33 từ thấp đến cao), bias 2,660, độ bao phủ P10–P90 89,93% với độ rộng khoảng trung bình 16,160. Cửa hàng có doanh số lớn nhất của nhóm là cửa hàng 46 (726; WAPE 13,61%; bao phủ 100,00%).</w:t>
      </w:r>
    </w:p>
    <w:p>
      <w:pPr>
        <w:keepLines w:val="0"/>
        <w:spacing w:after="120"/>
        <w:ind w:firstLine="567"/>
      </w:pPr>
      <w:r>
        <w:t xml:space="preserve">Ở lớp tồn kho, tổng P50 của nhóm là 8.543 và tổng lượng bổ sung gợi ý là 10.104; nhóm có 54 cửa hàng mang nhãn HIGH, 0 cửa hàng MEDIUM và 0 cửa hàng LOW. Ở lớp kịch bản, tổng P50 của nhóm dưới kịch bản không khuyến mãi thay đổi −1,17% và dưới kịch bản khuyến mãi cao thay đổi 623,82% so với kịch bản hiện tại.</w:t>
      </w:r>
    </w:p>
    <w:p>
      <w:pPr>
        <w:pStyle w:val="Heading3"/>
        <w:keepNext/>
      </w:pPr>
      <w:r>
        <w:t xml:space="preserve">B.29. Nhóm sản phẩm POULTRY</w:t>
      </w:r>
    </w:p>
    <w:p>
      <w:pPr>
        <w:keepLines w:val="0"/>
        <w:spacing w:after="120"/>
        <w:ind w:firstLine="567"/>
      </w:pPr>
      <w:r>
        <w:t xml:space="preserve">Nhóm POULTRY có tổng doanh số thực tế 323.560 trong 16 ngày trên 54 cửa hàng (hạng 7/33 về quy mô) và tổng dự báo 342.339, tức dự báo cao hơn thực tế 5,80%. WAPE của nhóm là 14,26% (hạng 6/33 từ thấp đến cao), bias −21,734, độ bao phủ P10–P90 82,41% với độ rộng khoảng trung bình 199,155. Cửa hàng có doanh số lớn nhất của nhóm là cửa hàng 45 (21.445; WAPE 7,09%; bao phủ 100,00%).</w:t>
      </w:r>
    </w:p>
    <w:p>
      <w:pPr>
        <w:keepLines w:val="0"/>
        <w:spacing w:after="120"/>
        <w:ind w:firstLine="567"/>
      </w:pPr>
      <w:r>
        <w:t xml:space="preserve">Ở lớp tồn kho, tổng P50 của nhóm là 339.986 và tổng lượng bổ sung gợi ý là 168.232; nhóm có 4 cửa hàng mang nhãn HIGH, 50 cửa hàng MEDIUM và 0 cửa hàng LOW. Ở lớp kịch bản, tổng P50 của nhóm dưới kịch bản không khuyến mãi thay đổi −2,03% và dưới kịch bản khuyến mãi cao thay đổi 2,68% so với kịch bản hiện tại.</w:t>
      </w:r>
    </w:p>
    <w:p>
      <w:pPr>
        <w:pStyle w:val="Heading3"/>
        <w:keepNext/>
      </w:pPr>
      <w:r>
        <w:t xml:space="preserve">B.30. Nhóm sản phẩm PREPARED FOODS</w:t>
      </w:r>
    </w:p>
    <w:p>
      <w:pPr>
        <w:keepLines w:val="0"/>
        <w:spacing w:after="120"/>
        <w:ind w:firstLine="567"/>
      </w:pPr>
      <w:r>
        <w:t xml:space="preserve">Nhóm PREPARED FOODS có tổng doanh số thực tế 75.872 trong 16 ngày trên 54 cửa hàng (hạng 15/33 về quy mô) và tổng dự báo 73.012, tức dự báo thấp hơn thực tế 3,77%. WAPE của nhóm là 18,90% (hạng 10/33 từ thấp đến cao), bias 3,309, độ bao phủ P10–P90 83,68% với độ rộng khoảng trung bình 58,954. Cửa hàng có doanh số lớn nhất của nhóm là cửa hàng 44 (4.837; WAPE 8,70%; bao phủ 87,50%).</w:t>
      </w:r>
    </w:p>
    <w:p>
      <w:pPr>
        <w:keepLines w:val="0"/>
        <w:spacing w:after="120"/>
        <w:ind w:firstLine="567"/>
      </w:pPr>
      <w:r>
        <w:t xml:space="preserve">Ở lớp tồn kho, tổng P50 của nhóm là 70.686 và tổng lượng bổ sung gợi ý là 42.768; nhóm có 36 cửa hàng mang nhãn HIGH, 18 cửa hàng MEDIUM và 0 cửa hàng LOW. Ở lớp kịch bản, tổng P50 của nhóm dưới kịch bản không khuyến mãi thay đổi −1,12% và dưới kịch bản khuyến mãi cao thay đổi 22,14% so với kịch bản hiện tại.</w:t>
      </w:r>
    </w:p>
    <w:p>
      <w:pPr>
        <w:pStyle w:val="Heading3"/>
        <w:keepNext/>
      </w:pPr>
      <w:r>
        <w:t xml:space="preserve">B.31. Nhóm sản phẩm PRODUCE</w:t>
      </w:r>
    </w:p>
    <w:p>
      <w:pPr>
        <w:keepLines w:val="0"/>
        <w:spacing w:after="120"/>
        <w:ind w:firstLine="567"/>
      </w:pPr>
      <w:r>
        <w:t xml:space="preserve">Nhóm PRODUCE có tổng doanh số thực tế 1.977.480 trong 16 ngày trên 54 cửa hàng (hạng 3/33 về quy mô) và tổng dự báo 2.058.194, tức dự báo cao hơn thực tế 4,08%. WAPE của nhóm là 8,76% (hạng 1/33 từ thấp đến cao), bias −93,418, độ bao phủ P10–P90 82,87% với độ rộng khoảng trung bình 842,093. Cửa hàng có doanh số lớn nhất của nhóm là cửa hàng 44 (148.685; WAPE 7,64%; bao phủ 43,75%).</w:t>
      </w:r>
    </w:p>
    <w:p>
      <w:pPr>
        <w:keepLines w:val="0"/>
        <w:spacing w:after="120"/>
        <w:ind w:firstLine="567"/>
      </w:pPr>
      <w:r>
        <w:t xml:space="preserve">Ở lớp tồn kho, tổng P50 của nhóm là 2.060.937 và tổng lượng bổ sung gợi ý là 875.092; nhóm có 0 cửa hàng mang nhãn HIGH, 44 cửa hàng MEDIUM và 10 cửa hàng LOW. Ở lớp kịch bản, tổng P50 của nhóm dưới kịch bản không khuyến mãi thay đổi −4,87% và dưới kịch bản khuyến mãi cao thay đổi −1,70% so với kịch bản hiện tại.</w:t>
      </w:r>
    </w:p>
    <w:p>
      <w:pPr>
        <w:pStyle w:val="Heading3"/>
        <w:keepNext/>
      </w:pPr>
      <w:r>
        <w:t xml:space="preserve">B.32. Nhóm sản phẩm SCHOOL AND OFFICE SUPPLIES</w:t>
      </w:r>
    </w:p>
    <w:p>
      <w:pPr>
        <w:keepLines w:val="0"/>
        <w:spacing w:after="120"/>
        <w:ind w:firstLine="567"/>
      </w:pPr>
      <w:r>
        <w:t xml:space="preserve">Nhóm SCHOOL AND OFFICE SUPPLIES có tổng doanh số thực tế 51.795 trong 16 ngày trên 54 cửa hàng (hạng 16/33 về quy mô) và tổng dự báo 19.422, tức dự báo thấp hơn thực tế 62,50%. WAPE của nhóm là 80,92% (hạng 29/33 từ thấp đến cao), bias 37,469, độ bao phủ P10–P90 72,57% với độ rộng khoảng trung bình 19,924. Cửa hàng có doanh số lớn nhất của nhóm là cửa hàng 45 (8.422; WAPE 72,84%; bao phủ 0,00%). Có 11 cửa hàng không phát sinh doanh số của nhóm này trong 16 ngày.</w:t>
      </w:r>
    </w:p>
    <w:p>
      <w:pPr>
        <w:keepLines w:val="0"/>
        <w:spacing w:after="120"/>
        <w:ind w:firstLine="567"/>
      </w:pPr>
      <w:r>
        <w:t xml:space="preserve">Ở lớp tồn kho, tổng P50 của nhóm là 18.944 và tổng lượng bổ sung gợi ý là 14.434; nhóm có 47 cửa hàng mang nhãn HIGH, 7 cửa hàng MEDIUM và 0 cửa hàng LOW. Ở lớp kịch bản, tổng P50 của nhóm dưới kịch bản không khuyến mãi thay đổi −87,33% và dưới kịch bản khuyến mãi cao thay đổi 446,40% so với kịch bản hiện tại.</w:t>
      </w:r>
    </w:p>
    <w:p>
      <w:pPr>
        <w:pStyle w:val="Heading3"/>
        <w:keepNext/>
      </w:pPr>
      <w:r>
        <w:t xml:space="preserve">B.33. Nhóm sản phẩm SEAFOOD</w:t>
      </w:r>
    </w:p>
    <w:p>
      <w:pPr>
        <w:keepLines w:val="0"/>
        <w:spacing w:after="120"/>
        <w:ind w:firstLine="567"/>
      </w:pPr>
      <w:r>
        <w:t xml:space="preserve">Nhóm SEAFOOD có tổng doanh số thực tế 17.261 trong 16 ngày trên 54 cửa hàng (hạng 20/33 về quy mô) và tổng dự báo 15.277, tức dự báo thấp hơn thực tế 11,50%. WAPE của nhóm là 31,42% (hạng 15/33 từ thấp đến cao), bias 2,297, độ bao phủ P10–P90 75,35% với độ rộng khoảng trung bình 20,754. Cửa hàng có doanh số lớn nhất của nhóm là cửa hàng 45 (1.511; WAPE 16,49%; bao phủ 81,25%).</w:t>
      </w:r>
    </w:p>
    <w:p>
      <w:pPr>
        <w:keepLines w:val="0"/>
        <w:spacing w:after="120"/>
        <w:ind w:firstLine="567"/>
      </w:pPr>
      <w:r>
        <w:t xml:space="preserve">Ở lớp tồn kho, tổng P50 của nhóm là 14.404 và tổng lượng bổ sung gợi ý là 13.839; nhóm có 52 cửa hàng mang nhãn HIGH, 2 cửa hàng MEDIUM và 0 cửa hàng LOW. Ở lớp kịch bản, tổng P50 của nhóm dưới kịch bản không khuyến mãi thay đổi −9,29% và dưới kịch bản khuyến mãi cao thay đổi 259,45% so với kịch bản hiện tại.</w:t>
      </w:r>
    </w:p>
    <w:p>
      <w:pPr>
        <w:pStyle w:val="Heading1"/>
        <w:pageBreakBefore/>
      </w:pPr>
      <w:r>
        <w:t xml:space="preserve">PHỤ LỤC C. PHIẾU KHUYẾN NGHỊ ƯU TIÊN CAO NHẤT CỦA STAGE 08</w:t>
      </w:r>
    </w:p>
    <w:p>
      <w:pPr>
        <w:keepLines w:val="0"/>
        <w:spacing w:after="120"/>
        <w:ind w:firstLine="567"/>
      </w:pPr>
      <w:r>
        <w:t xml:space="preserve">Phụ lục C trình bày 30 phiếu khuyến nghị đứng đầu hàng đợi ưu tiên của Stage 08 trong lần chạy chính thức. Stage 08 tạo phiếu cho toàn bộ 1.782 chuỗi cửa hàng × nhóm sản phẩm; điểm ưu tiên của mỗi phiếu là tổng điểm các mã lý do: LARGE_SERIES (+3, khi P50 trung bình mỗi ngày của chuỗi không nhỏ hơn phân vị 75% của P50 theo ngày trên toàn bộ chuỗi), RISK_HIGH (+2), RISK_MEDIUM (+1), RISK_LOW (0) và PROMO_EXTRAPOLATION (+1, khi có kịch bản khuyến mãi làm P50 thay đổi quá 100% so với hiện tại); các phiếu cùng điểm được xếp theo P50 giảm dần. Tất cả phiếu được tạo ở chế độ bộ máy quy tắc có căn cứ (RULE_BASED) vì lần chạy không có khóa API cho mô hình ngôn ngữ, và đều ở trạng thái chờ người phê duyệt (PENDING_HUMAN_REVIEW).</w:t>
      </w:r>
    </w:p>
    <w:p>
      <w:pPr>
        <w:keepLines w:val="0"/>
        <w:spacing w:after="120"/>
        <w:ind w:firstLine="567"/>
      </w:pPr>
      <w:r>
        <w:t xml:space="preserve">Bảng C.1 tóm tắt 30 phiếu: mã lý do, hành động đề xuất, phương án số lượng được chọn, số lượng bổ sung, mức mục tiêu, mức tin cậy và lập trường khuyến mãi. Mục C.1 trình bày toàn văn phiếu đứng đầu hàng đợi như một mẫu đầy đủ của phiếu khuyến nghị; các phiếu còn lại có cùng cấu trúc và được lưu trong thư mục outputs/08_genai_decision_support/decision_briefs của folder. Các số lượng bổ sung dựa trên vị thế tồn kho giả định bằng 0,8 × P50 của Stage 07, không phải tồn kho thực; mọi phiếu cần người phê duyệt đối chiếu tồn kho thực, thời gian cung ứng và sức chứa trước khi ra quyết định.</w:t>
      </w:r>
    </w:p>
    <w:p>
      <w:pPr>
        <w:keepNext/>
        <w:spacing w:before="120" w:after="60"/>
        <w:ind w:firstLine="0"/>
        <w:jc w:val="center"/>
      </w:pPr>
      <w:r>
        <w:t xml:space="preserve">Bảng C.1. Ba mươi phiếu khuyến nghị đứng đầu hàng đợi ưu tiên của Stage 08 (kỳ 16 ngày)</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36"/>
        <w:gridCol w:w="1074"/>
        <w:gridCol w:w="736"/>
        <w:gridCol w:w="736"/>
        <w:gridCol w:w="1647"/>
        <w:gridCol w:w="736"/>
        <w:gridCol w:w="736"/>
        <w:gridCol w:w="736"/>
        <w:gridCol w:w="823"/>
        <w:gridCol w:w="1111"/>
      </w:tblGrid>
      <w:tr>
        <w:trPr>
          <w:tblHeader/>
          <w:cantSplit/>
        </w:trPr>
        <w:tc>
          <w:tcPr>
            <w:tcW w:type="dxa" w:w="736"/>
            <w:shd w:val="clear" w:color="auto" w:fill="D9E2F3"/>
            <w:vAlign w:val="center"/>
          </w:tcPr>
          <w:p>
            <w:pPr>
              <w:spacing w:before="20" w:after="20" w:line="260" w:lineRule="auto"/>
              <w:ind w:firstLine="0"/>
              <w:jc w:val="center"/>
            </w:pPr>
            <w:r>
              <w:rPr>
                <w:b/>
                <w:sz w:val="20"/>
                <w:szCs w:val="20"/>
              </w:rPr>
              <w:t xml:space="preserve">#</w:t>
            </w:r>
          </w:p>
        </w:tc>
        <w:tc>
          <w:tcPr>
            <w:tcW w:type="dxa" w:w="1074"/>
            <w:shd w:val="clear" w:color="auto" w:fill="D9E2F3"/>
            <w:vAlign w:val="center"/>
          </w:tcPr>
          <w:p>
            <w:pPr>
              <w:spacing w:before="20" w:after="20" w:line="260" w:lineRule="auto"/>
              <w:ind w:firstLine="0"/>
              <w:jc w:val="center"/>
            </w:pPr>
            <w:r>
              <w:rPr>
                <w:b/>
                <w:sz w:val="20"/>
                <w:szCs w:val="20"/>
              </w:rPr>
              <w:t xml:space="preserve">Mã phiếu</w:t>
            </w:r>
          </w:p>
        </w:tc>
        <w:tc>
          <w:tcPr>
            <w:tcW w:type="dxa" w:w="736"/>
            <w:shd w:val="clear" w:color="auto" w:fill="D9E2F3"/>
            <w:vAlign w:val="center"/>
          </w:tcPr>
          <w:p>
            <w:pPr>
              <w:spacing w:before="20" w:after="20" w:line="260" w:lineRule="auto"/>
              <w:ind w:firstLine="0"/>
              <w:jc w:val="center"/>
            </w:pPr>
            <w:r>
              <w:rPr>
                <w:b/>
                <w:sz w:val="20"/>
                <w:szCs w:val="20"/>
              </w:rPr>
              <w:t xml:space="preserve">Nhãn</w:t>
            </w:r>
          </w:p>
        </w:tc>
        <w:tc>
          <w:tcPr>
            <w:tcW w:type="dxa" w:w="736"/>
            <w:shd w:val="clear" w:color="auto" w:fill="D9E2F3"/>
            <w:vAlign w:val="center"/>
          </w:tcPr>
          <w:p>
            <w:pPr>
              <w:spacing w:before="20" w:after="20" w:line="260" w:lineRule="auto"/>
              <w:ind w:firstLine="0"/>
              <w:jc w:val="center"/>
            </w:pPr>
            <w:r>
              <w:rPr>
                <w:b/>
                <w:sz w:val="20"/>
                <w:szCs w:val="20"/>
              </w:rPr>
              <w:t xml:space="preserve">Điểm</w:t>
            </w:r>
          </w:p>
        </w:tc>
        <w:tc>
          <w:tcPr>
            <w:tcW w:type="dxa" w:w="1647"/>
            <w:shd w:val="clear" w:color="auto" w:fill="D9E2F3"/>
            <w:vAlign w:val="center"/>
          </w:tcPr>
          <w:p>
            <w:pPr>
              <w:spacing w:before="20" w:after="20" w:line="260" w:lineRule="auto"/>
              <w:ind w:firstLine="0"/>
              <w:jc w:val="center"/>
            </w:pPr>
            <w:r>
              <w:rPr>
                <w:b/>
                <w:sz w:val="20"/>
                <w:szCs w:val="20"/>
              </w:rPr>
              <w:t xml:space="preserve">Hành động</w:t>
            </w:r>
          </w:p>
        </w:tc>
        <w:tc>
          <w:tcPr>
            <w:tcW w:type="dxa" w:w="736"/>
            <w:shd w:val="clear" w:color="auto" w:fill="D9E2F3"/>
            <w:vAlign w:val="center"/>
          </w:tcPr>
          <w:p>
            <w:pPr>
              <w:spacing w:before="20" w:after="20" w:line="260" w:lineRule="auto"/>
              <w:ind w:firstLine="0"/>
              <w:jc w:val="center"/>
            </w:pPr>
            <w:r>
              <w:rPr>
                <w:b/>
                <w:sz w:val="20"/>
                <w:szCs w:val="20"/>
              </w:rPr>
              <w:t xml:space="preserve">PA</w:t>
            </w:r>
          </w:p>
        </w:tc>
        <w:tc>
          <w:tcPr>
            <w:tcW w:type="dxa" w:w="736"/>
            <w:shd w:val="clear" w:color="auto" w:fill="D9E2F3"/>
            <w:vAlign w:val="center"/>
          </w:tcPr>
          <w:p>
            <w:pPr>
              <w:spacing w:before="20" w:after="20" w:line="260" w:lineRule="auto"/>
              <w:ind w:firstLine="0"/>
              <w:jc w:val="center"/>
            </w:pPr>
            <w:r>
              <w:rPr>
                <w:b/>
                <w:sz w:val="20"/>
                <w:szCs w:val="20"/>
              </w:rPr>
              <w:t xml:space="preserve">Bổ sung</w:t>
            </w:r>
          </w:p>
        </w:tc>
        <w:tc>
          <w:tcPr>
            <w:tcW w:type="dxa" w:w="736"/>
            <w:shd w:val="clear" w:color="auto" w:fill="D9E2F3"/>
            <w:vAlign w:val="center"/>
          </w:tcPr>
          <w:p>
            <w:pPr>
              <w:spacing w:before="20" w:after="20" w:line="260" w:lineRule="auto"/>
              <w:ind w:firstLine="0"/>
              <w:jc w:val="center"/>
            </w:pPr>
            <w:r>
              <w:rPr>
                <w:b/>
                <w:sz w:val="20"/>
                <w:szCs w:val="20"/>
              </w:rPr>
              <w:t xml:space="preserve">Mục tiêu</w:t>
            </w:r>
          </w:p>
        </w:tc>
        <w:tc>
          <w:tcPr>
            <w:tcW w:type="dxa" w:w="823"/>
            <w:shd w:val="clear" w:color="auto" w:fill="D9E2F3"/>
            <w:vAlign w:val="center"/>
          </w:tcPr>
          <w:p>
            <w:pPr>
              <w:spacing w:before="20" w:after="20" w:line="260" w:lineRule="auto"/>
              <w:ind w:firstLine="0"/>
              <w:jc w:val="center"/>
            </w:pPr>
            <w:r>
              <w:rPr>
                <w:b/>
                <w:sz w:val="20"/>
                <w:szCs w:val="20"/>
              </w:rPr>
              <w:t xml:space="preserve">Tin cậy</w:t>
            </w:r>
          </w:p>
        </w:tc>
        <w:tc>
          <w:tcPr>
            <w:tcW w:type="dxa" w:w="1111"/>
            <w:shd w:val="clear" w:color="auto" w:fill="D9E2F3"/>
            <w:vAlign w:val="center"/>
          </w:tcPr>
          <w:p>
            <w:pPr>
              <w:spacing w:before="20" w:after="20" w:line="260" w:lineRule="auto"/>
              <w:ind w:firstLine="0"/>
              <w:jc w:val="center"/>
            </w:pPr>
            <w:r>
              <w:rPr>
                <w:b/>
                <w:sz w:val="20"/>
                <w:szCs w:val="20"/>
              </w:rPr>
              <w:t xml:space="preserve">Khuyến mãi</w:t>
            </w:r>
          </w:p>
        </w:tc>
      </w:tr>
      <w:tr>
        <w:trPr>
          <w:cantSplit/>
        </w:trPr>
        <w:tc>
          <w:tcPr>
            <w:tcW w:type="dxa" w:w="736"/>
            <w:vAlign w:val="center"/>
          </w:tcPr>
          <w:p>
            <w:pPr>
              <w:spacing w:before="20" w:after="20" w:line="260" w:lineRule="auto"/>
              <w:ind w:firstLine="0"/>
              <w:jc w:val="center"/>
            </w:pPr>
            <w:r>
              <w:rPr>
                <w:sz w:val="20"/>
                <w:szCs w:val="20"/>
              </w:rPr>
              <w:t xml:space="preserve">1</w:t>
            </w:r>
          </w:p>
        </w:tc>
        <w:tc>
          <w:tcPr>
            <w:tcW w:type="dxa" w:w="1074"/>
            <w:vAlign w:val="center"/>
          </w:tcPr>
          <w:p>
            <w:pPr>
              <w:spacing w:before="20" w:after="20" w:line="260" w:lineRule="auto"/>
              <w:ind w:firstLine="0"/>
              <w:jc w:val="left"/>
            </w:pPr>
            <w:r>
              <w:rPr>
                <w:sz w:val="20"/>
                <w:szCs w:val="20"/>
              </w:rPr>
              <w:t xml:space="preserve">DEC-S10-BEVERAGES</w:t>
            </w:r>
          </w:p>
        </w:tc>
        <w:tc>
          <w:tcPr>
            <w:tcW w:type="dxa" w:w="736"/>
            <w:vAlign w:val="center"/>
          </w:tcPr>
          <w:p>
            <w:pPr>
              <w:spacing w:before="20" w:after="20" w:line="260" w:lineRule="auto"/>
              <w:ind w:firstLine="0"/>
              <w:jc w:val="left"/>
            </w:pPr>
            <w:r>
              <w:rPr>
                <w:sz w:val="20"/>
                <w:szCs w:val="20"/>
              </w:rPr>
              <w:t xml:space="preserve">HIGH</w:t>
            </w:r>
          </w:p>
        </w:tc>
        <w:tc>
          <w:tcPr>
            <w:tcW w:type="dxa" w:w="736"/>
            <w:vAlign w:val="center"/>
          </w:tcPr>
          <w:p>
            <w:pPr>
              <w:spacing w:before="20" w:after="20" w:line="260" w:lineRule="auto"/>
              <w:ind w:firstLine="0"/>
              <w:jc w:val="center"/>
            </w:pPr>
            <w:r>
              <w:rPr>
                <w:sz w:val="20"/>
                <w:szCs w:val="20"/>
              </w:rPr>
              <w:t xml:space="preserve">5</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15.361</w:t>
            </w:r>
          </w:p>
        </w:tc>
        <w:tc>
          <w:tcPr>
            <w:tcW w:type="dxa" w:w="736"/>
            <w:vAlign w:val="center"/>
          </w:tcPr>
          <w:p>
            <w:pPr>
              <w:spacing w:before="20" w:after="20" w:line="260" w:lineRule="auto"/>
              <w:ind w:firstLine="0"/>
              <w:jc w:val="center"/>
            </w:pPr>
            <w:r>
              <w:rPr>
                <w:sz w:val="20"/>
                <w:szCs w:val="20"/>
              </w:rPr>
              <w:t xml:space="preserve">33.099</w:t>
            </w:r>
          </w:p>
        </w:tc>
        <w:tc>
          <w:tcPr>
            <w:tcW w:type="dxa" w:w="823"/>
            <w:vAlign w:val="center"/>
          </w:tcPr>
          <w:p>
            <w:pPr>
              <w:spacing w:before="20" w:after="20" w:line="260" w:lineRule="auto"/>
              <w:ind w:firstLine="0"/>
              <w:jc w:val="left"/>
            </w:pPr>
            <w:r>
              <w:rPr>
                <w:sz w:val="20"/>
                <w:szCs w:val="20"/>
              </w:rPr>
              <w:t xml:space="preserve">THẤP</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2</w:t>
            </w:r>
          </w:p>
        </w:tc>
        <w:tc>
          <w:tcPr>
            <w:tcW w:type="dxa" w:w="1074"/>
            <w:vAlign w:val="center"/>
          </w:tcPr>
          <w:p>
            <w:pPr>
              <w:spacing w:before="20" w:after="20" w:line="260" w:lineRule="auto"/>
              <w:ind w:firstLine="0"/>
              <w:jc w:val="left"/>
            </w:pPr>
            <w:r>
              <w:rPr>
                <w:sz w:val="20"/>
                <w:szCs w:val="20"/>
              </w:rPr>
              <w:t xml:space="preserve">DEC-S54-GROCERY_I</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22.730</w:t>
            </w:r>
          </w:p>
        </w:tc>
        <w:tc>
          <w:tcPr>
            <w:tcW w:type="dxa" w:w="736"/>
            <w:vAlign w:val="center"/>
          </w:tcPr>
          <w:p>
            <w:pPr>
              <w:spacing w:before="20" w:after="20" w:line="260" w:lineRule="auto"/>
              <w:ind w:firstLine="0"/>
              <w:jc w:val="center"/>
            </w:pPr>
            <w:r>
              <w:rPr>
                <w:sz w:val="20"/>
                <w:szCs w:val="20"/>
              </w:rPr>
              <w:t xml:space="preserve">65.109</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3</w:t>
            </w:r>
          </w:p>
        </w:tc>
        <w:tc>
          <w:tcPr>
            <w:tcW w:type="dxa" w:w="1074"/>
            <w:vAlign w:val="center"/>
          </w:tcPr>
          <w:p>
            <w:pPr>
              <w:spacing w:before="20" w:after="20" w:line="260" w:lineRule="auto"/>
              <w:ind w:firstLine="0"/>
              <w:jc w:val="left"/>
            </w:pPr>
            <w:r>
              <w:rPr>
                <w:sz w:val="20"/>
                <w:szCs w:val="20"/>
              </w:rPr>
              <w:t xml:space="preserve">DEC-S31-BEVERAGES</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22.615</w:t>
            </w:r>
          </w:p>
        </w:tc>
        <w:tc>
          <w:tcPr>
            <w:tcW w:type="dxa" w:w="736"/>
            <w:vAlign w:val="center"/>
          </w:tcPr>
          <w:p>
            <w:pPr>
              <w:spacing w:before="20" w:after="20" w:line="260" w:lineRule="auto"/>
              <w:ind w:firstLine="0"/>
              <w:jc w:val="center"/>
            </w:pPr>
            <w:r>
              <w:rPr>
                <w:sz w:val="20"/>
                <w:szCs w:val="20"/>
              </w:rPr>
              <w:t xml:space="preserve">64.532</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4</w:t>
            </w:r>
          </w:p>
        </w:tc>
        <w:tc>
          <w:tcPr>
            <w:tcW w:type="dxa" w:w="1074"/>
            <w:vAlign w:val="center"/>
          </w:tcPr>
          <w:p>
            <w:pPr>
              <w:spacing w:before="20" w:after="20" w:line="260" w:lineRule="auto"/>
              <w:ind w:firstLine="0"/>
              <w:jc w:val="left"/>
            </w:pPr>
            <w:r>
              <w:rPr>
                <w:sz w:val="20"/>
                <w:szCs w:val="20"/>
              </w:rPr>
              <w:t xml:space="preserve">DEC-S02-BEVERAGES</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22.505</w:t>
            </w:r>
          </w:p>
        </w:tc>
        <w:tc>
          <w:tcPr>
            <w:tcW w:type="dxa" w:w="736"/>
            <w:vAlign w:val="center"/>
          </w:tcPr>
          <w:p>
            <w:pPr>
              <w:spacing w:before="20" w:after="20" w:line="260" w:lineRule="auto"/>
              <w:ind w:firstLine="0"/>
              <w:jc w:val="center"/>
            </w:pPr>
            <w:r>
              <w:rPr>
                <w:sz w:val="20"/>
                <w:szCs w:val="20"/>
              </w:rPr>
              <w:t xml:space="preserve">63.984</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5</w:t>
            </w:r>
          </w:p>
        </w:tc>
        <w:tc>
          <w:tcPr>
            <w:tcW w:type="dxa" w:w="1074"/>
            <w:vAlign w:val="center"/>
          </w:tcPr>
          <w:p>
            <w:pPr>
              <w:spacing w:before="20" w:after="20" w:line="260" w:lineRule="auto"/>
              <w:ind w:firstLine="0"/>
              <w:jc w:val="left"/>
            </w:pPr>
            <w:r>
              <w:rPr>
                <w:sz w:val="20"/>
                <w:szCs w:val="20"/>
              </w:rPr>
              <w:t xml:space="preserve">DEC-S29-BEVERAGES</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22.412</w:t>
            </w:r>
          </w:p>
        </w:tc>
        <w:tc>
          <w:tcPr>
            <w:tcW w:type="dxa" w:w="736"/>
            <w:vAlign w:val="center"/>
          </w:tcPr>
          <w:p>
            <w:pPr>
              <w:spacing w:before="20" w:after="20" w:line="260" w:lineRule="auto"/>
              <w:ind w:firstLine="0"/>
              <w:jc w:val="center"/>
            </w:pPr>
            <w:r>
              <w:rPr>
                <w:sz w:val="20"/>
                <w:szCs w:val="20"/>
              </w:rPr>
              <w:t xml:space="preserve">63.515</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6</w:t>
            </w:r>
          </w:p>
        </w:tc>
        <w:tc>
          <w:tcPr>
            <w:tcW w:type="dxa" w:w="1074"/>
            <w:vAlign w:val="center"/>
          </w:tcPr>
          <w:p>
            <w:pPr>
              <w:spacing w:before="20" w:after="20" w:line="260" w:lineRule="auto"/>
              <w:ind w:firstLine="0"/>
              <w:jc w:val="left"/>
            </w:pPr>
            <w:r>
              <w:rPr>
                <w:sz w:val="20"/>
                <w:szCs w:val="20"/>
              </w:rPr>
              <w:t xml:space="preserve">DEC-S33-GROCERY_I</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22.383</w:t>
            </w:r>
          </w:p>
        </w:tc>
        <w:tc>
          <w:tcPr>
            <w:tcW w:type="dxa" w:w="736"/>
            <w:vAlign w:val="center"/>
          </w:tcPr>
          <w:p>
            <w:pPr>
              <w:spacing w:before="20" w:after="20" w:line="260" w:lineRule="auto"/>
              <w:ind w:firstLine="0"/>
              <w:jc w:val="center"/>
            </w:pPr>
            <w:r>
              <w:rPr>
                <w:sz w:val="20"/>
                <w:szCs w:val="20"/>
              </w:rPr>
              <w:t xml:space="preserve">63.371</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7</w:t>
            </w:r>
          </w:p>
        </w:tc>
        <w:tc>
          <w:tcPr>
            <w:tcW w:type="dxa" w:w="1074"/>
            <w:vAlign w:val="center"/>
          </w:tcPr>
          <w:p>
            <w:pPr>
              <w:spacing w:before="20" w:after="20" w:line="260" w:lineRule="auto"/>
              <w:ind w:firstLine="0"/>
              <w:jc w:val="left"/>
            </w:pPr>
            <w:r>
              <w:rPr>
                <w:sz w:val="20"/>
                <w:szCs w:val="20"/>
              </w:rPr>
              <w:t xml:space="preserve">DEC-S05-GROCERY_I</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22.203</w:t>
            </w:r>
          </w:p>
        </w:tc>
        <w:tc>
          <w:tcPr>
            <w:tcW w:type="dxa" w:w="736"/>
            <w:vAlign w:val="center"/>
          </w:tcPr>
          <w:p>
            <w:pPr>
              <w:spacing w:before="20" w:after="20" w:line="260" w:lineRule="auto"/>
              <w:ind w:firstLine="0"/>
              <w:jc w:val="center"/>
            </w:pPr>
            <w:r>
              <w:rPr>
                <w:sz w:val="20"/>
                <w:szCs w:val="20"/>
              </w:rPr>
              <w:t xml:space="preserve">62.473</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8</w:t>
            </w:r>
          </w:p>
        </w:tc>
        <w:tc>
          <w:tcPr>
            <w:tcW w:type="dxa" w:w="1074"/>
            <w:vAlign w:val="center"/>
          </w:tcPr>
          <w:p>
            <w:pPr>
              <w:spacing w:before="20" w:after="20" w:line="260" w:lineRule="auto"/>
              <w:ind w:firstLine="0"/>
              <w:jc w:val="left"/>
            </w:pPr>
            <w:r>
              <w:rPr>
                <w:sz w:val="20"/>
                <w:szCs w:val="20"/>
              </w:rPr>
              <w:t xml:space="preserve">DEC-S18-GROCERY_I</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21.986</w:t>
            </w:r>
          </w:p>
        </w:tc>
        <w:tc>
          <w:tcPr>
            <w:tcW w:type="dxa" w:w="736"/>
            <w:vAlign w:val="center"/>
          </w:tcPr>
          <w:p>
            <w:pPr>
              <w:spacing w:before="20" w:after="20" w:line="260" w:lineRule="auto"/>
              <w:ind w:firstLine="0"/>
              <w:jc w:val="center"/>
            </w:pPr>
            <w:r>
              <w:rPr>
                <w:sz w:val="20"/>
                <w:szCs w:val="20"/>
              </w:rPr>
              <w:t xml:space="preserve">61.388</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9</w:t>
            </w:r>
          </w:p>
        </w:tc>
        <w:tc>
          <w:tcPr>
            <w:tcW w:type="dxa" w:w="1074"/>
            <w:vAlign w:val="center"/>
          </w:tcPr>
          <w:p>
            <w:pPr>
              <w:spacing w:before="20" w:after="20" w:line="260" w:lineRule="auto"/>
              <w:ind w:firstLine="0"/>
              <w:jc w:val="left"/>
            </w:pPr>
            <w:r>
              <w:rPr>
                <w:sz w:val="20"/>
                <w:szCs w:val="20"/>
              </w:rPr>
              <w:t xml:space="preserve">DEC-S37-BEVERAGES</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21.903</w:t>
            </w:r>
          </w:p>
        </w:tc>
        <w:tc>
          <w:tcPr>
            <w:tcW w:type="dxa" w:w="736"/>
            <w:vAlign w:val="center"/>
          </w:tcPr>
          <w:p>
            <w:pPr>
              <w:spacing w:before="20" w:after="20" w:line="260" w:lineRule="auto"/>
              <w:ind w:firstLine="0"/>
              <w:jc w:val="center"/>
            </w:pPr>
            <w:r>
              <w:rPr>
                <w:sz w:val="20"/>
                <w:szCs w:val="20"/>
              </w:rPr>
              <w:t xml:space="preserve">60.970</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10</w:t>
            </w:r>
          </w:p>
        </w:tc>
        <w:tc>
          <w:tcPr>
            <w:tcW w:type="dxa" w:w="1074"/>
            <w:vAlign w:val="center"/>
          </w:tcPr>
          <w:p>
            <w:pPr>
              <w:spacing w:before="20" w:after="20" w:line="260" w:lineRule="auto"/>
              <w:ind w:firstLine="0"/>
              <w:jc w:val="left"/>
            </w:pPr>
            <w:r>
              <w:rPr>
                <w:sz w:val="20"/>
                <w:szCs w:val="20"/>
              </w:rPr>
              <w:t xml:space="preserve">DEC-S41-BEVERAGES</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21.888</w:t>
            </w:r>
          </w:p>
        </w:tc>
        <w:tc>
          <w:tcPr>
            <w:tcW w:type="dxa" w:w="736"/>
            <w:vAlign w:val="center"/>
          </w:tcPr>
          <w:p>
            <w:pPr>
              <w:spacing w:before="20" w:after="20" w:line="260" w:lineRule="auto"/>
              <w:ind w:firstLine="0"/>
              <w:jc w:val="center"/>
            </w:pPr>
            <w:r>
              <w:rPr>
                <w:sz w:val="20"/>
                <w:szCs w:val="20"/>
              </w:rPr>
              <w:t xml:space="preserve">60.896</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11</w:t>
            </w:r>
          </w:p>
        </w:tc>
        <w:tc>
          <w:tcPr>
            <w:tcW w:type="dxa" w:w="1074"/>
            <w:vAlign w:val="center"/>
          </w:tcPr>
          <w:p>
            <w:pPr>
              <w:spacing w:before="20" w:after="20" w:line="260" w:lineRule="auto"/>
              <w:ind w:firstLine="0"/>
              <w:jc w:val="left"/>
            </w:pPr>
            <w:r>
              <w:rPr>
                <w:sz w:val="20"/>
                <w:szCs w:val="20"/>
              </w:rPr>
              <w:t xml:space="preserve">DEC-S21-BEVERAGES</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21.864</w:t>
            </w:r>
          </w:p>
        </w:tc>
        <w:tc>
          <w:tcPr>
            <w:tcW w:type="dxa" w:w="736"/>
            <w:vAlign w:val="center"/>
          </w:tcPr>
          <w:p>
            <w:pPr>
              <w:spacing w:before="20" w:after="20" w:line="260" w:lineRule="auto"/>
              <w:ind w:firstLine="0"/>
              <w:jc w:val="center"/>
            </w:pPr>
            <w:r>
              <w:rPr>
                <w:sz w:val="20"/>
                <w:szCs w:val="20"/>
              </w:rPr>
              <w:t xml:space="preserve">60.777</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12</w:t>
            </w:r>
          </w:p>
        </w:tc>
        <w:tc>
          <w:tcPr>
            <w:tcW w:type="dxa" w:w="1074"/>
            <w:vAlign w:val="center"/>
          </w:tcPr>
          <w:p>
            <w:pPr>
              <w:spacing w:before="20" w:after="20" w:line="260" w:lineRule="auto"/>
              <w:ind w:firstLine="0"/>
              <w:jc w:val="left"/>
            </w:pPr>
            <w:r>
              <w:rPr>
                <w:sz w:val="20"/>
                <w:szCs w:val="20"/>
              </w:rPr>
              <w:t xml:space="preserve">DEC-S36-BEVERAGES</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21.786</w:t>
            </w:r>
          </w:p>
        </w:tc>
        <w:tc>
          <w:tcPr>
            <w:tcW w:type="dxa" w:w="736"/>
            <w:vAlign w:val="center"/>
          </w:tcPr>
          <w:p>
            <w:pPr>
              <w:spacing w:before="20" w:after="20" w:line="260" w:lineRule="auto"/>
              <w:ind w:firstLine="0"/>
              <w:jc w:val="center"/>
            </w:pPr>
            <w:r>
              <w:rPr>
                <w:sz w:val="20"/>
                <w:szCs w:val="20"/>
              </w:rPr>
              <w:t xml:space="preserve">60.390</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13</w:t>
            </w:r>
          </w:p>
        </w:tc>
        <w:tc>
          <w:tcPr>
            <w:tcW w:type="dxa" w:w="1074"/>
            <w:vAlign w:val="center"/>
          </w:tcPr>
          <w:p>
            <w:pPr>
              <w:spacing w:before="20" w:after="20" w:line="260" w:lineRule="auto"/>
              <w:ind w:firstLine="0"/>
              <w:jc w:val="left"/>
            </w:pPr>
            <w:r>
              <w:rPr>
                <w:sz w:val="20"/>
                <w:szCs w:val="20"/>
              </w:rPr>
              <w:t xml:space="preserve">DEC-S12-GROCERY_I</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21.772</w:t>
            </w:r>
          </w:p>
        </w:tc>
        <w:tc>
          <w:tcPr>
            <w:tcW w:type="dxa" w:w="736"/>
            <w:vAlign w:val="center"/>
          </w:tcPr>
          <w:p>
            <w:pPr>
              <w:spacing w:before="20" w:after="20" w:line="260" w:lineRule="auto"/>
              <w:ind w:firstLine="0"/>
              <w:jc w:val="center"/>
            </w:pPr>
            <w:r>
              <w:rPr>
                <w:sz w:val="20"/>
                <w:szCs w:val="20"/>
              </w:rPr>
              <w:t xml:space="preserve">60.317</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14</w:t>
            </w:r>
          </w:p>
        </w:tc>
        <w:tc>
          <w:tcPr>
            <w:tcW w:type="dxa" w:w="1074"/>
            <w:vAlign w:val="center"/>
          </w:tcPr>
          <w:p>
            <w:pPr>
              <w:spacing w:before="20" w:after="20" w:line="260" w:lineRule="auto"/>
              <w:ind w:firstLine="0"/>
              <w:jc w:val="left"/>
            </w:pPr>
            <w:r>
              <w:rPr>
                <w:sz w:val="20"/>
                <w:szCs w:val="20"/>
              </w:rPr>
              <w:t xml:space="preserve">DEC-S14-GROCERY_I</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21.770</w:t>
            </w:r>
          </w:p>
        </w:tc>
        <w:tc>
          <w:tcPr>
            <w:tcW w:type="dxa" w:w="736"/>
            <w:vAlign w:val="center"/>
          </w:tcPr>
          <w:p>
            <w:pPr>
              <w:spacing w:before="20" w:after="20" w:line="260" w:lineRule="auto"/>
              <w:ind w:firstLine="0"/>
              <w:jc w:val="center"/>
            </w:pPr>
            <w:r>
              <w:rPr>
                <w:sz w:val="20"/>
                <w:szCs w:val="20"/>
              </w:rPr>
              <w:t xml:space="preserve">60.310</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15</w:t>
            </w:r>
          </w:p>
        </w:tc>
        <w:tc>
          <w:tcPr>
            <w:tcW w:type="dxa" w:w="1074"/>
            <w:vAlign w:val="center"/>
          </w:tcPr>
          <w:p>
            <w:pPr>
              <w:spacing w:before="20" w:after="20" w:line="260" w:lineRule="auto"/>
              <w:ind w:firstLine="0"/>
              <w:jc w:val="left"/>
            </w:pPr>
            <w:r>
              <w:rPr>
                <w:sz w:val="20"/>
                <w:szCs w:val="20"/>
              </w:rPr>
              <w:t xml:space="preserve">DEC-S46-PRODUCE</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21.725</w:t>
            </w:r>
          </w:p>
        </w:tc>
        <w:tc>
          <w:tcPr>
            <w:tcW w:type="dxa" w:w="736"/>
            <w:vAlign w:val="center"/>
          </w:tcPr>
          <w:p>
            <w:pPr>
              <w:spacing w:before="20" w:after="20" w:line="260" w:lineRule="auto"/>
              <w:ind w:firstLine="0"/>
              <w:jc w:val="center"/>
            </w:pPr>
            <w:r>
              <w:rPr>
                <w:sz w:val="20"/>
                <w:szCs w:val="20"/>
              </w:rPr>
              <w:t xml:space="preserve">60.083</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16</w:t>
            </w:r>
          </w:p>
        </w:tc>
        <w:tc>
          <w:tcPr>
            <w:tcW w:type="dxa" w:w="1074"/>
            <w:vAlign w:val="center"/>
          </w:tcPr>
          <w:p>
            <w:pPr>
              <w:spacing w:before="20" w:after="20" w:line="260" w:lineRule="auto"/>
              <w:ind w:firstLine="0"/>
              <w:jc w:val="left"/>
            </w:pPr>
            <w:r>
              <w:rPr>
                <w:sz w:val="20"/>
                <w:szCs w:val="20"/>
              </w:rPr>
              <w:t xml:space="preserve">DEC-S38-BEVERAGES</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21.604</w:t>
            </w:r>
          </w:p>
        </w:tc>
        <w:tc>
          <w:tcPr>
            <w:tcW w:type="dxa" w:w="736"/>
            <w:vAlign w:val="center"/>
          </w:tcPr>
          <w:p>
            <w:pPr>
              <w:spacing w:before="20" w:after="20" w:line="260" w:lineRule="auto"/>
              <w:ind w:firstLine="0"/>
              <w:jc w:val="center"/>
            </w:pPr>
            <w:r>
              <w:rPr>
                <w:sz w:val="20"/>
                <w:szCs w:val="20"/>
              </w:rPr>
              <w:t xml:space="preserve">59.480</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17</w:t>
            </w:r>
          </w:p>
        </w:tc>
        <w:tc>
          <w:tcPr>
            <w:tcW w:type="dxa" w:w="1074"/>
            <w:vAlign w:val="center"/>
          </w:tcPr>
          <w:p>
            <w:pPr>
              <w:spacing w:before="20" w:after="20" w:line="260" w:lineRule="auto"/>
              <w:ind w:firstLine="0"/>
              <w:jc w:val="left"/>
            </w:pPr>
            <w:r>
              <w:rPr>
                <w:sz w:val="20"/>
                <w:szCs w:val="20"/>
              </w:rPr>
              <w:t xml:space="preserve">DEC-S42-BEVERAGES</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21.499</w:t>
            </w:r>
          </w:p>
        </w:tc>
        <w:tc>
          <w:tcPr>
            <w:tcW w:type="dxa" w:w="736"/>
            <w:vAlign w:val="center"/>
          </w:tcPr>
          <w:p>
            <w:pPr>
              <w:spacing w:before="20" w:after="20" w:line="260" w:lineRule="auto"/>
              <w:ind w:firstLine="0"/>
              <w:jc w:val="center"/>
            </w:pPr>
            <w:r>
              <w:rPr>
                <w:sz w:val="20"/>
                <w:szCs w:val="20"/>
              </w:rPr>
              <w:t xml:space="preserve">58.953</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18</w:t>
            </w:r>
          </w:p>
        </w:tc>
        <w:tc>
          <w:tcPr>
            <w:tcW w:type="dxa" w:w="1074"/>
            <w:vAlign w:val="center"/>
          </w:tcPr>
          <w:p>
            <w:pPr>
              <w:spacing w:before="20" w:after="20" w:line="260" w:lineRule="auto"/>
              <w:ind w:firstLine="0"/>
              <w:jc w:val="left"/>
            </w:pPr>
            <w:r>
              <w:rPr>
                <w:sz w:val="20"/>
                <w:szCs w:val="20"/>
              </w:rPr>
              <w:t xml:space="preserve">DEC-S15-GROCERY_I</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21.332</w:t>
            </w:r>
          </w:p>
        </w:tc>
        <w:tc>
          <w:tcPr>
            <w:tcW w:type="dxa" w:w="736"/>
            <w:vAlign w:val="center"/>
          </w:tcPr>
          <w:p>
            <w:pPr>
              <w:spacing w:before="20" w:after="20" w:line="260" w:lineRule="auto"/>
              <w:ind w:firstLine="0"/>
              <w:jc w:val="center"/>
            </w:pPr>
            <w:r>
              <w:rPr>
                <w:sz w:val="20"/>
                <w:szCs w:val="20"/>
              </w:rPr>
              <w:t xml:space="preserve">58.119</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19</w:t>
            </w:r>
          </w:p>
        </w:tc>
        <w:tc>
          <w:tcPr>
            <w:tcW w:type="dxa" w:w="1074"/>
            <w:vAlign w:val="center"/>
          </w:tcPr>
          <w:p>
            <w:pPr>
              <w:spacing w:before="20" w:after="20" w:line="260" w:lineRule="auto"/>
              <w:ind w:firstLine="0"/>
              <w:jc w:val="left"/>
            </w:pPr>
            <w:r>
              <w:rPr>
                <w:sz w:val="20"/>
                <w:szCs w:val="20"/>
              </w:rPr>
              <w:t xml:space="preserve">DEC-S13-GROCERY_I</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21.319</w:t>
            </w:r>
          </w:p>
        </w:tc>
        <w:tc>
          <w:tcPr>
            <w:tcW w:type="dxa" w:w="736"/>
            <w:vAlign w:val="center"/>
          </w:tcPr>
          <w:p>
            <w:pPr>
              <w:spacing w:before="20" w:after="20" w:line="260" w:lineRule="auto"/>
              <w:ind w:firstLine="0"/>
              <w:jc w:val="center"/>
            </w:pPr>
            <w:r>
              <w:rPr>
                <w:sz w:val="20"/>
                <w:szCs w:val="20"/>
              </w:rPr>
              <w:t xml:space="preserve">58.054</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20</w:t>
            </w:r>
          </w:p>
        </w:tc>
        <w:tc>
          <w:tcPr>
            <w:tcW w:type="dxa" w:w="1074"/>
            <w:vAlign w:val="center"/>
          </w:tcPr>
          <w:p>
            <w:pPr>
              <w:spacing w:before="20" w:after="20" w:line="260" w:lineRule="auto"/>
              <w:ind w:firstLine="0"/>
              <w:jc w:val="left"/>
            </w:pPr>
            <w:r>
              <w:rPr>
                <w:sz w:val="20"/>
                <w:szCs w:val="20"/>
              </w:rPr>
              <w:t xml:space="preserve">DEC-S27-PRODUCE</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21.265</w:t>
            </w:r>
          </w:p>
        </w:tc>
        <w:tc>
          <w:tcPr>
            <w:tcW w:type="dxa" w:w="736"/>
            <w:vAlign w:val="center"/>
          </w:tcPr>
          <w:p>
            <w:pPr>
              <w:spacing w:before="20" w:after="20" w:line="260" w:lineRule="auto"/>
              <w:ind w:firstLine="0"/>
              <w:jc w:val="center"/>
            </w:pPr>
            <w:r>
              <w:rPr>
                <w:sz w:val="20"/>
                <w:szCs w:val="20"/>
              </w:rPr>
              <w:t xml:space="preserve">57.780</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21</w:t>
            </w:r>
          </w:p>
        </w:tc>
        <w:tc>
          <w:tcPr>
            <w:tcW w:type="dxa" w:w="1074"/>
            <w:vAlign w:val="center"/>
          </w:tcPr>
          <w:p>
            <w:pPr>
              <w:spacing w:before="20" w:after="20" w:line="260" w:lineRule="auto"/>
              <w:ind w:firstLine="0"/>
              <w:jc w:val="left"/>
            </w:pPr>
            <w:r>
              <w:rPr>
                <w:sz w:val="20"/>
                <w:szCs w:val="20"/>
              </w:rPr>
              <w:t xml:space="preserve">DEC-S45-CLEANING</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21.190</w:t>
            </w:r>
          </w:p>
        </w:tc>
        <w:tc>
          <w:tcPr>
            <w:tcW w:type="dxa" w:w="736"/>
            <w:vAlign w:val="center"/>
          </w:tcPr>
          <w:p>
            <w:pPr>
              <w:spacing w:before="20" w:after="20" w:line="260" w:lineRule="auto"/>
              <w:ind w:firstLine="0"/>
              <w:jc w:val="center"/>
            </w:pPr>
            <w:r>
              <w:rPr>
                <w:sz w:val="20"/>
                <w:szCs w:val="20"/>
              </w:rPr>
              <w:t xml:space="preserve">57.409</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22</w:t>
            </w:r>
          </w:p>
        </w:tc>
        <w:tc>
          <w:tcPr>
            <w:tcW w:type="dxa" w:w="1074"/>
            <w:vAlign w:val="center"/>
          </w:tcPr>
          <w:p>
            <w:pPr>
              <w:spacing w:before="20" w:after="20" w:line="260" w:lineRule="auto"/>
              <w:ind w:firstLine="0"/>
              <w:jc w:val="left"/>
            </w:pPr>
            <w:r>
              <w:rPr>
                <w:sz w:val="20"/>
                <w:szCs w:val="20"/>
              </w:rPr>
              <w:t xml:space="preserve">DEC-S44-CLEANING</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21.190</w:t>
            </w:r>
          </w:p>
        </w:tc>
        <w:tc>
          <w:tcPr>
            <w:tcW w:type="dxa" w:w="736"/>
            <w:vAlign w:val="center"/>
          </w:tcPr>
          <w:p>
            <w:pPr>
              <w:spacing w:before="20" w:after="20" w:line="260" w:lineRule="auto"/>
              <w:ind w:firstLine="0"/>
              <w:jc w:val="center"/>
            </w:pPr>
            <w:r>
              <w:rPr>
                <w:sz w:val="20"/>
                <w:szCs w:val="20"/>
              </w:rPr>
              <w:t xml:space="preserve">57.406</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23</w:t>
            </w:r>
          </w:p>
        </w:tc>
        <w:tc>
          <w:tcPr>
            <w:tcW w:type="dxa" w:w="1074"/>
            <w:vAlign w:val="center"/>
          </w:tcPr>
          <w:p>
            <w:pPr>
              <w:spacing w:before="20" w:after="20" w:line="260" w:lineRule="auto"/>
              <w:ind w:firstLine="0"/>
              <w:jc w:val="left"/>
            </w:pPr>
            <w:r>
              <w:rPr>
                <w:sz w:val="20"/>
                <w:szCs w:val="20"/>
              </w:rPr>
              <w:t xml:space="preserve">DEC-S37-PRODUCE</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20.940</w:t>
            </w:r>
          </w:p>
        </w:tc>
        <w:tc>
          <w:tcPr>
            <w:tcW w:type="dxa" w:w="736"/>
            <w:vAlign w:val="center"/>
          </w:tcPr>
          <w:p>
            <w:pPr>
              <w:spacing w:before="20" w:after="20" w:line="260" w:lineRule="auto"/>
              <w:ind w:firstLine="0"/>
              <w:jc w:val="center"/>
            </w:pPr>
            <w:r>
              <w:rPr>
                <w:sz w:val="20"/>
                <w:szCs w:val="20"/>
              </w:rPr>
              <w:t xml:space="preserve">56.160</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24</w:t>
            </w:r>
          </w:p>
        </w:tc>
        <w:tc>
          <w:tcPr>
            <w:tcW w:type="dxa" w:w="1074"/>
            <w:vAlign w:val="center"/>
          </w:tcPr>
          <w:p>
            <w:pPr>
              <w:spacing w:before="20" w:after="20" w:line="260" w:lineRule="auto"/>
              <w:ind w:firstLine="0"/>
              <w:jc w:val="left"/>
            </w:pPr>
            <w:r>
              <w:rPr>
                <w:sz w:val="20"/>
                <w:szCs w:val="20"/>
              </w:rPr>
              <w:t xml:space="preserve">DEC-S42-PRODUCE</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20.903</w:t>
            </w:r>
          </w:p>
        </w:tc>
        <w:tc>
          <w:tcPr>
            <w:tcW w:type="dxa" w:w="736"/>
            <w:vAlign w:val="center"/>
          </w:tcPr>
          <w:p>
            <w:pPr>
              <w:spacing w:before="20" w:after="20" w:line="260" w:lineRule="auto"/>
              <w:ind w:firstLine="0"/>
              <w:jc w:val="center"/>
            </w:pPr>
            <w:r>
              <w:rPr>
                <w:sz w:val="20"/>
                <w:szCs w:val="20"/>
              </w:rPr>
              <w:t xml:space="preserve">55.971</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25</w:t>
            </w:r>
          </w:p>
        </w:tc>
        <w:tc>
          <w:tcPr>
            <w:tcW w:type="dxa" w:w="1074"/>
            <w:vAlign w:val="center"/>
          </w:tcPr>
          <w:p>
            <w:pPr>
              <w:spacing w:before="20" w:after="20" w:line="260" w:lineRule="auto"/>
              <w:ind w:firstLine="0"/>
              <w:jc w:val="left"/>
            </w:pPr>
            <w:r>
              <w:rPr>
                <w:sz w:val="20"/>
                <w:szCs w:val="20"/>
              </w:rPr>
              <w:t xml:space="preserve">DEC-S04-BEVERAGES</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20.888</w:t>
            </w:r>
          </w:p>
        </w:tc>
        <w:tc>
          <w:tcPr>
            <w:tcW w:type="dxa" w:w="736"/>
            <w:vAlign w:val="center"/>
          </w:tcPr>
          <w:p>
            <w:pPr>
              <w:spacing w:before="20" w:after="20" w:line="260" w:lineRule="auto"/>
              <w:ind w:firstLine="0"/>
              <w:jc w:val="center"/>
            </w:pPr>
            <w:r>
              <w:rPr>
                <w:sz w:val="20"/>
                <w:szCs w:val="20"/>
              </w:rPr>
              <w:t xml:space="preserve">55.897</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26</w:t>
            </w:r>
          </w:p>
        </w:tc>
        <w:tc>
          <w:tcPr>
            <w:tcW w:type="dxa" w:w="1074"/>
            <w:vAlign w:val="center"/>
          </w:tcPr>
          <w:p>
            <w:pPr>
              <w:spacing w:before="20" w:after="20" w:line="260" w:lineRule="auto"/>
              <w:ind w:firstLine="0"/>
              <w:jc w:val="left"/>
            </w:pPr>
            <w:r>
              <w:rPr>
                <w:sz w:val="20"/>
                <w:szCs w:val="20"/>
              </w:rPr>
              <w:t xml:space="preserve">DEC-S44-DAIRY</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20.851</w:t>
            </w:r>
          </w:p>
        </w:tc>
        <w:tc>
          <w:tcPr>
            <w:tcW w:type="dxa" w:w="736"/>
            <w:vAlign w:val="center"/>
          </w:tcPr>
          <w:p>
            <w:pPr>
              <w:spacing w:before="20" w:after="20" w:line="260" w:lineRule="auto"/>
              <w:ind w:firstLine="0"/>
              <w:jc w:val="center"/>
            </w:pPr>
            <w:r>
              <w:rPr>
                <w:sz w:val="20"/>
                <w:szCs w:val="20"/>
              </w:rPr>
              <w:t xml:space="preserve">55.713</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27</w:t>
            </w:r>
          </w:p>
        </w:tc>
        <w:tc>
          <w:tcPr>
            <w:tcW w:type="dxa" w:w="1074"/>
            <w:vAlign w:val="center"/>
          </w:tcPr>
          <w:p>
            <w:pPr>
              <w:spacing w:before="20" w:after="20" w:line="260" w:lineRule="auto"/>
              <w:ind w:firstLine="0"/>
              <w:jc w:val="left"/>
            </w:pPr>
            <w:r>
              <w:rPr>
                <w:sz w:val="20"/>
                <w:szCs w:val="20"/>
              </w:rPr>
              <w:t xml:space="preserve">DEC-S19-BEVERAGES</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20.665</w:t>
            </w:r>
          </w:p>
        </w:tc>
        <w:tc>
          <w:tcPr>
            <w:tcW w:type="dxa" w:w="736"/>
            <w:vAlign w:val="center"/>
          </w:tcPr>
          <w:p>
            <w:pPr>
              <w:spacing w:before="20" w:after="20" w:line="260" w:lineRule="auto"/>
              <w:ind w:firstLine="0"/>
              <w:jc w:val="center"/>
            </w:pPr>
            <w:r>
              <w:rPr>
                <w:sz w:val="20"/>
                <w:szCs w:val="20"/>
              </w:rPr>
              <w:t xml:space="preserve">54.781</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28</w:t>
            </w:r>
          </w:p>
        </w:tc>
        <w:tc>
          <w:tcPr>
            <w:tcW w:type="dxa" w:w="1074"/>
            <w:vAlign w:val="center"/>
          </w:tcPr>
          <w:p>
            <w:pPr>
              <w:spacing w:before="20" w:after="20" w:line="260" w:lineRule="auto"/>
              <w:ind w:firstLine="0"/>
              <w:jc w:val="left"/>
            </w:pPr>
            <w:r>
              <w:rPr>
                <w:sz w:val="20"/>
                <w:szCs w:val="20"/>
              </w:rPr>
              <w:t xml:space="preserve">DEC-S06-PRODUCE</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20.640</w:t>
            </w:r>
          </w:p>
        </w:tc>
        <w:tc>
          <w:tcPr>
            <w:tcW w:type="dxa" w:w="736"/>
            <w:vAlign w:val="center"/>
          </w:tcPr>
          <w:p>
            <w:pPr>
              <w:spacing w:before="20" w:after="20" w:line="260" w:lineRule="auto"/>
              <w:ind w:firstLine="0"/>
              <w:jc w:val="center"/>
            </w:pPr>
            <w:r>
              <w:rPr>
                <w:sz w:val="20"/>
                <w:szCs w:val="20"/>
              </w:rPr>
              <w:t xml:space="preserve">54.657</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29</w:t>
            </w:r>
          </w:p>
        </w:tc>
        <w:tc>
          <w:tcPr>
            <w:tcW w:type="dxa" w:w="1074"/>
            <w:vAlign w:val="center"/>
          </w:tcPr>
          <w:p>
            <w:pPr>
              <w:spacing w:before="20" w:after="20" w:line="260" w:lineRule="auto"/>
              <w:ind w:firstLine="0"/>
              <w:jc w:val="left"/>
            </w:pPr>
            <w:r>
              <w:rPr>
                <w:sz w:val="20"/>
                <w:szCs w:val="20"/>
              </w:rPr>
              <w:t xml:space="preserve">DEC-S46-CLEANING</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20.638</w:t>
            </w:r>
          </w:p>
        </w:tc>
        <w:tc>
          <w:tcPr>
            <w:tcW w:type="dxa" w:w="736"/>
            <w:vAlign w:val="center"/>
          </w:tcPr>
          <w:p>
            <w:pPr>
              <w:spacing w:before="20" w:after="20" w:line="260" w:lineRule="auto"/>
              <w:ind w:firstLine="0"/>
              <w:jc w:val="center"/>
            </w:pPr>
            <w:r>
              <w:rPr>
                <w:sz w:val="20"/>
                <w:szCs w:val="20"/>
              </w:rPr>
              <w:t xml:space="preserve">54.648</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r>
        <w:trPr>
          <w:cantSplit/>
        </w:trPr>
        <w:tc>
          <w:tcPr>
            <w:tcW w:type="dxa" w:w="736"/>
            <w:vAlign w:val="center"/>
          </w:tcPr>
          <w:p>
            <w:pPr>
              <w:spacing w:before="20" w:after="20" w:line="260" w:lineRule="auto"/>
              <w:ind w:firstLine="0"/>
              <w:jc w:val="center"/>
            </w:pPr>
            <w:r>
              <w:rPr>
                <w:sz w:val="20"/>
                <w:szCs w:val="20"/>
              </w:rPr>
              <w:t xml:space="preserve">30</w:t>
            </w:r>
          </w:p>
        </w:tc>
        <w:tc>
          <w:tcPr>
            <w:tcW w:type="dxa" w:w="1074"/>
            <w:vAlign w:val="center"/>
          </w:tcPr>
          <w:p>
            <w:pPr>
              <w:spacing w:before="20" w:after="20" w:line="260" w:lineRule="auto"/>
              <w:ind w:firstLine="0"/>
              <w:jc w:val="left"/>
            </w:pPr>
            <w:r>
              <w:rPr>
                <w:sz w:val="20"/>
                <w:szCs w:val="20"/>
              </w:rPr>
              <w:t xml:space="preserve">DEC-S18-BEVERAGES</w:t>
            </w:r>
          </w:p>
        </w:tc>
        <w:tc>
          <w:tcPr>
            <w:tcW w:type="dxa" w:w="736"/>
            <w:vAlign w:val="center"/>
          </w:tcPr>
          <w:p>
            <w:pPr>
              <w:spacing w:before="20" w:after="20" w:line="260" w:lineRule="auto"/>
              <w:ind w:firstLine="0"/>
              <w:jc w:val="left"/>
            </w:pPr>
            <w:r>
              <w:rPr>
                <w:sz w:val="20"/>
                <w:szCs w:val="20"/>
              </w:rPr>
              <w:t xml:space="preserve">MEDIUM</w:t>
            </w:r>
          </w:p>
        </w:tc>
        <w:tc>
          <w:tcPr>
            <w:tcW w:type="dxa" w:w="736"/>
            <w:vAlign w:val="center"/>
          </w:tcPr>
          <w:p>
            <w:pPr>
              <w:spacing w:before="20" w:after="20" w:line="260" w:lineRule="auto"/>
              <w:ind w:firstLine="0"/>
              <w:jc w:val="center"/>
            </w:pPr>
            <w:r>
              <w:rPr>
                <w:sz w:val="20"/>
                <w:szCs w:val="20"/>
              </w:rPr>
              <w:t xml:space="preserve">4</w:t>
            </w:r>
          </w:p>
        </w:tc>
        <w:tc>
          <w:tcPr>
            <w:tcW w:type="dxa" w:w="1647"/>
            <w:vAlign w:val="center"/>
          </w:tcPr>
          <w:p>
            <w:pPr>
              <w:spacing w:before="20" w:after="20" w:line="260" w:lineRule="auto"/>
              <w:ind w:firstLine="0"/>
              <w:jc w:val="left"/>
            </w:pPr>
            <w:r>
              <w:rPr>
                <w:sz w:val="20"/>
                <w:szCs w:val="20"/>
              </w:rPr>
              <w:t xml:space="preserve">BỔ SUNG THEO P90 · RÀ SOÁT KHOẢNG DỰ BÁO</w:t>
            </w:r>
          </w:p>
        </w:tc>
        <w:tc>
          <w:tcPr>
            <w:tcW w:type="dxa" w:w="736"/>
            <w:vAlign w:val="center"/>
          </w:tcPr>
          <w:p>
            <w:pPr>
              <w:spacing w:before="20" w:after="20" w:line="260" w:lineRule="auto"/>
              <w:ind w:firstLine="0"/>
              <w:jc w:val="left"/>
            </w:pPr>
            <w:r>
              <w:rPr>
                <w:sz w:val="20"/>
                <w:szCs w:val="20"/>
              </w:rPr>
              <w:t xml:space="preserve">C</w:t>
            </w:r>
          </w:p>
        </w:tc>
        <w:tc>
          <w:tcPr>
            <w:tcW w:type="dxa" w:w="736"/>
            <w:vAlign w:val="center"/>
          </w:tcPr>
          <w:p>
            <w:pPr>
              <w:spacing w:before="20" w:after="20" w:line="260" w:lineRule="auto"/>
              <w:ind w:firstLine="0"/>
              <w:jc w:val="center"/>
            </w:pPr>
            <w:r>
              <w:rPr>
                <w:sz w:val="20"/>
                <w:szCs w:val="20"/>
              </w:rPr>
              <w:t xml:space="preserve">20.565</w:t>
            </w:r>
          </w:p>
        </w:tc>
        <w:tc>
          <w:tcPr>
            <w:tcW w:type="dxa" w:w="736"/>
            <w:vAlign w:val="center"/>
          </w:tcPr>
          <w:p>
            <w:pPr>
              <w:spacing w:before="20" w:after="20" w:line="260" w:lineRule="auto"/>
              <w:ind w:firstLine="0"/>
              <w:jc w:val="center"/>
            </w:pPr>
            <w:r>
              <w:rPr>
                <w:sz w:val="20"/>
                <w:szCs w:val="20"/>
              </w:rPr>
              <w:t xml:space="preserve">54.282</w:t>
            </w:r>
          </w:p>
        </w:tc>
        <w:tc>
          <w:tcPr>
            <w:tcW w:type="dxa" w:w="823"/>
            <w:vAlign w:val="center"/>
          </w:tcPr>
          <w:p>
            <w:pPr>
              <w:spacing w:before="20" w:after="20" w:line="260" w:lineRule="auto"/>
              <w:ind w:firstLine="0"/>
              <w:jc w:val="left"/>
            </w:pPr>
            <w:r>
              <w:rPr>
                <w:sz w:val="20"/>
                <w:szCs w:val="20"/>
              </w:rPr>
              <w:t xml:space="preserve">TRUNG BÌNH</w:t>
            </w:r>
          </w:p>
        </w:tc>
        <w:tc>
          <w:tcPr>
            <w:tcW w:type="dxa" w:w="1111"/>
            <w:vAlign w:val="center"/>
          </w:tcPr>
          <w:p>
            <w:pPr>
              <w:spacing w:before="20" w:after="20" w:line="260" w:lineRule="auto"/>
              <w:ind w:firstLine="0"/>
              <w:jc w:val="left"/>
            </w:pPr>
            <w:r>
              <w:rPr>
                <w:sz w:val="20"/>
                <w:szCs w:val="20"/>
              </w:rPr>
              <w:t xml:space="preserve">KHÔNG ĐỀ XUẤT TĂNG</w:t>
            </w:r>
          </w:p>
        </w:tc>
      </w:tr>
    </w:tbl>
    <w:p>
      <w:pPr>
        <w:spacing w:before="40" w:after="160"/>
        <w:ind w:firstLine="0"/>
      </w:pPr>
      <w:r>
        <w:rPr>
          <w:i/>
          <w:sz w:val="22"/>
          <w:szCs w:val="22"/>
        </w:rPr>
        <w:t xml:space="preserve">Nguồn: outputs/08_genai_decision_support/decision_queue.csv. PA: phương án số lượng (A theo P50, B theo q* xấp xỉ, C theo P90).</w:t>
      </w:r>
    </w:p>
    <w:p>
      <w:pPr>
        <w:pStyle w:val="Heading3"/>
        <w:keepNext/>
      </w:pPr>
      <w:r>
        <w:t xml:space="preserve">C.1. Phiếu mẫu DEC-S10-BEVERAGES (ưu tiên #1)</w:t>
      </w:r>
    </w:p>
    <w:p>
      <w:pPr>
        <w:keepLines w:val="0"/>
        <w:spacing w:after="120"/>
        <w:ind w:firstLine="567"/>
      </w:pPr>
      <w:r>
        <w:t xml:space="preserve">Phiếu DEC-S10-BEVERAGES thuộc cửa hàng 10 – nhóm BEVERAGES, kỳ dự báo 31/07/2017 – 15/08/2017, mô hình XGBoost. Các mã lý do: RISK_HIGH (+2); LARGE_SERIES (+3), tổng 5 điểm. Hành động đề xuất: BỔ SUNG THEO P90 · RÀ SOÁT KHOẢNG DỰ BÁO với phương án C; mức tin cậy THẤP (bất định tương đối cao so với quy mô; khoảng dự báo có thể bị đánh giá hẹp ở chuỗi lớn).</w:t>
      </w:r>
    </w:p>
    <w:p>
      <w:pPr>
        <w:keepLines w:val="0"/>
        <w:spacing w:after="120"/>
        <w:ind w:firstLine="567"/>
      </w:pPr>
      <w:r>
        <w:t xml:space="preserve">Tóm tắt điều hành của phiếu: Nhu cầu 16 ngày của cửa hàng 10 – BEVERAGES có trung vị (P50) 22.173 đơn vị, khoảng P10–P90 từ 16.083 đến 33.099. Khuyến nghị: bổ sung theo mức P90 và rà soát lại khoảng dự báo, bổ sung 15.361 đơn vị để đạt mức mục tiêu 33.099 (phương án C), với vị thế tồn kho giả định 17.738. Mức tin cậy: thấp.</w:t>
      </w:r>
    </w:p>
    <w:p>
      <w:pPr>
        <w:keepNext/>
        <w:spacing w:before="120" w:after="60"/>
        <w:ind w:firstLine="0"/>
        <w:jc w:val="center"/>
      </w:pPr>
      <w:r>
        <w:t xml:space="preserve">Bảng C.2. Ba phương án số lượng của phiếu DEC-S10-BEVERAGES</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269"/>
        <w:gridCol w:w="1412"/>
        <w:gridCol w:w="1630"/>
        <w:gridCol w:w="3760"/>
      </w:tblGrid>
      <w:tr>
        <w:trPr>
          <w:tblHeader/>
          <w:cantSplit/>
        </w:trPr>
        <w:tc>
          <w:tcPr>
            <w:tcW w:type="dxa" w:w="2269"/>
            <w:shd w:val="clear" w:color="auto" w:fill="D9E2F3"/>
            <w:vAlign w:val="center"/>
          </w:tcPr>
          <w:p>
            <w:pPr>
              <w:spacing w:before="20" w:after="20" w:line="260" w:lineRule="auto"/>
              <w:ind w:firstLine="0"/>
              <w:jc w:val="center"/>
            </w:pPr>
            <w:r>
              <w:rPr>
                <w:b/>
                <w:sz w:val="20"/>
                <w:szCs w:val="20"/>
              </w:rPr>
              <w:t xml:space="preserve">Phương án</w:t>
            </w:r>
          </w:p>
        </w:tc>
        <w:tc>
          <w:tcPr>
            <w:tcW w:type="dxa" w:w="1412"/>
            <w:shd w:val="clear" w:color="auto" w:fill="D9E2F3"/>
            <w:vAlign w:val="center"/>
          </w:tcPr>
          <w:p>
            <w:pPr>
              <w:spacing w:before="20" w:after="20" w:line="260" w:lineRule="auto"/>
              <w:ind w:firstLine="0"/>
              <w:jc w:val="center"/>
            </w:pPr>
            <w:r>
              <w:rPr>
                <w:b/>
                <w:sz w:val="20"/>
                <w:szCs w:val="20"/>
              </w:rPr>
              <w:t xml:space="preserve">Mức mục tiêu</w:t>
            </w:r>
          </w:p>
        </w:tc>
        <w:tc>
          <w:tcPr>
            <w:tcW w:type="dxa" w:w="1630"/>
            <w:shd w:val="clear" w:color="auto" w:fill="D9E2F3"/>
            <w:vAlign w:val="center"/>
          </w:tcPr>
          <w:p>
            <w:pPr>
              <w:spacing w:before="20" w:after="20" w:line="260" w:lineRule="auto"/>
              <w:ind w:firstLine="0"/>
              <w:jc w:val="center"/>
            </w:pPr>
            <w:r>
              <w:rPr>
                <w:b/>
                <w:sz w:val="20"/>
                <w:szCs w:val="20"/>
              </w:rPr>
              <w:t xml:space="preserve">Số lượng bổ sung</w:t>
            </w:r>
          </w:p>
        </w:tc>
        <w:tc>
          <w:tcPr>
            <w:tcW w:type="dxa" w:w="3760"/>
            <w:shd w:val="clear" w:color="auto" w:fill="D9E2F3"/>
            <w:vAlign w:val="center"/>
          </w:tcPr>
          <w:p>
            <w:pPr>
              <w:spacing w:before="20" w:after="20" w:line="260" w:lineRule="auto"/>
              <w:ind w:firstLine="0"/>
              <w:jc w:val="center"/>
            </w:pPr>
            <w:r>
              <w:rPr>
                <w:b/>
                <w:sz w:val="20"/>
                <w:szCs w:val="20"/>
              </w:rPr>
              <w:t xml:space="preserve">Đánh đổi</w:t>
            </w:r>
          </w:p>
        </w:tc>
      </w:tr>
      <w:tr>
        <w:trPr>
          <w:cantSplit/>
        </w:trPr>
        <w:tc>
          <w:tcPr>
            <w:tcW w:type="dxa" w:w="2269"/>
            <w:vAlign w:val="center"/>
          </w:tcPr>
          <w:p>
            <w:pPr>
              <w:spacing w:before="20" w:after="20" w:line="260" w:lineRule="auto"/>
              <w:ind w:firstLine="0"/>
              <w:jc w:val="left"/>
            </w:pPr>
            <w:r>
              <w:rPr>
                <w:sz w:val="20"/>
                <w:szCs w:val="20"/>
              </w:rPr>
              <w:t xml:space="preserve">A. Theo P50 (trung vị)</w:t>
            </w:r>
          </w:p>
        </w:tc>
        <w:tc>
          <w:tcPr>
            <w:tcW w:type="dxa" w:w="1412"/>
            <w:vAlign w:val="center"/>
          </w:tcPr>
          <w:p>
            <w:pPr>
              <w:spacing w:before="20" w:after="20" w:line="260" w:lineRule="auto"/>
              <w:ind w:firstLine="0"/>
              <w:jc w:val="center"/>
            </w:pPr>
            <w:r>
              <w:rPr>
                <w:sz w:val="20"/>
                <w:szCs w:val="20"/>
              </w:rPr>
              <w:t xml:space="preserve">22.173</w:t>
            </w:r>
          </w:p>
        </w:tc>
        <w:tc>
          <w:tcPr>
            <w:tcW w:type="dxa" w:w="1630"/>
            <w:vAlign w:val="center"/>
          </w:tcPr>
          <w:p>
            <w:pPr>
              <w:spacing w:before="20" w:after="20" w:line="260" w:lineRule="auto"/>
              <w:ind w:firstLine="0"/>
              <w:jc w:val="center"/>
            </w:pPr>
            <w:r>
              <w:rPr>
                <w:sz w:val="20"/>
                <w:szCs w:val="20"/>
              </w:rPr>
              <w:t xml:space="preserve">4.435</w:t>
            </w:r>
          </w:p>
        </w:tc>
        <w:tc>
          <w:tcPr>
            <w:tcW w:type="dxa" w:w="3760"/>
            <w:vAlign w:val="center"/>
          </w:tcPr>
          <w:p>
            <w:pPr>
              <w:spacing w:before="20" w:after="20" w:line="260" w:lineRule="auto"/>
              <w:ind w:firstLine="0"/>
              <w:jc w:val="left"/>
            </w:pPr>
            <w:r>
              <w:rPr>
                <w:sz w:val="20"/>
                <w:szCs w:val="20"/>
              </w:rPr>
              <w:t xml:space="preserve">Tồn dư thấp nhất; xác suất thiếu hàng khoảng 50% theo mô hình.</w:t>
            </w:r>
          </w:p>
        </w:tc>
      </w:tr>
      <w:tr>
        <w:trPr>
          <w:cantSplit/>
        </w:trPr>
        <w:tc>
          <w:tcPr>
            <w:tcW w:type="dxa" w:w="2269"/>
            <w:vAlign w:val="center"/>
          </w:tcPr>
          <w:p>
            <w:pPr>
              <w:spacing w:before="20" w:after="20" w:line="260" w:lineRule="auto"/>
              <w:ind w:firstLine="0"/>
              <w:jc w:val="left"/>
            </w:pPr>
            <w:r>
              <w:rPr>
                <w:sz w:val="20"/>
                <w:szCs w:val="20"/>
              </w:rPr>
              <w:t xml:space="preserve">B. Theo q* = 0,75 (xấp xỉ P75)</w:t>
            </w:r>
          </w:p>
        </w:tc>
        <w:tc>
          <w:tcPr>
            <w:tcW w:type="dxa" w:w="1412"/>
            <w:vAlign w:val="center"/>
          </w:tcPr>
          <w:p>
            <w:pPr>
              <w:spacing w:before="20" w:after="20" w:line="260" w:lineRule="auto"/>
              <w:ind w:firstLine="0"/>
              <w:jc w:val="center"/>
            </w:pPr>
            <w:r>
              <w:rPr>
                <w:sz w:val="20"/>
                <w:szCs w:val="20"/>
              </w:rPr>
              <w:t xml:space="preserve">29.002</w:t>
            </w:r>
          </w:p>
        </w:tc>
        <w:tc>
          <w:tcPr>
            <w:tcW w:type="dxa" w:w="1630"/>
            <w:vAlign w:val="center"/>
          </w:tcPr>
          <w:p>
            <w:pPr>
              <w:spacing w:before="20" w:after="20" w:line="260" w:lineRule="auto"/>
              <w:ind w:firstLine="0"/>
              <w:jc w:val="center"/>
            </w:pPr>
            <w:r>
              <w:rPr>
                <w:sz w:val="20"/>
                <w:szCs w:val="20"/>
              </w:rPr>
              <w:t xml:space="preserve">11.264</w:t>
            </w:r>
          </w:p>
        </w:tc>
        <w:tc>
          <w:tcPr>
            <w:tcW w:type="dxa" w:w="3760"/>
            <w:vAlign w:val="center"/>
          </w:tcPr>
          <w:p>
            <w:pPr>
              <w:spacing w:before="20" w:after="20" w:line="260" w:lineRule="auto"/>
              <w:ind w:firstLine="0"/>
              <w:jc w:val="left"/>
            </w:pPr>
            <w:r>
              <w:rPr>
                <w:sz w:val="20"/>
                <w:szCs w:val="20"/>
              </w:rPr>
              <w:t xml:space="preserve">Cân bằng theo tỷ lệ chi phí Cu/Co; giá trị phân vị là xấp xỉ nội suy giữa P50 và P90.</w:t>
            </w:r>
          </w:p>
        </w:tc>
      </w:tr>
      <w:tr>
        <w:trPr>
          <w:cantSplit/>
        </w:trPr>
        <w:tc>
          <w:tcPr>
            <w:tcW w:type="dxa" w:w="2269"/>
            <w:vAlign w:val="center"/>
          </w:tcPr>
          <w:p>
            <w:pPr>
              <w:spacing w:before="20" w:after="20" w:line="260" w:lineRule="auto"/>
              <w:ind w:firstLine="0"/>
              <w:jc w:val="left"/>
            </w:pPr>
            <w:r>
              <w:rPr>
                <w:sz w:val="20"/>
                <w:szCs w:val="20"/>
              </w:rPr>
              <w:t xml:space="preserve">C. Theo P90 (bảo thủ) (đề xuất)</w:t>
            </w:r>
          </w:p>
        </w:tc>
        <w:tc>
          <w:tcPr>
            <w:tcW w:type="dxa" w:w="1412"/>
            <w:vAlign w:val="center"/>
          </w:tcPr>
          <w:p>
            <w:pPr>
              <w:spacing w:before="20" w:after="20" w:line="260" w:lineRule="auto"/>
              <w:ind w:firstLine="0"/>
              <w:jc w:val="center"/>
            </w:pPr>
            <w:r>
              <w:rPr>
                <w:sz w:val="20"/>
                <w:szCs w:val="20"/>
              </w:rPr>
              <w:t xml:space="preserve">33.099</w:t>
            </w:r>
          </w:p>
        </w:tc>
        <w:tc>
          <w:tcPr>
            <w:tcW w:type="dxa" w:w="1630"/>
            <w:vAlign w:val="center"/>
          </w:tcPr>
          <w:p>
            <w:pPr>
              <w:spacing w:before="20" w:after="20" w:line="260" w:lineRule="auto"/>
              <w:ind w:firstLine="0"/>
              <w:jc w:val="center"/>
            </w:pPr>
            <w:r>
              <w:rPr>
                <w:sz w:val="20"/>
                <w:szCs w:val="20"/>
              </w:rPr>
              <w:t xml:space="preserve">15.361</w:t>
            </w:r>
          </w:p>
        </w:tc>
        <w:tc>
          <w:tcPr>
            <w:tcW w:type="dxa" w:w="3760"/>
            <w:vAlign w:val="center"/>
          </w:tcPr>
          <w:p>
            <w:pPr>
              <w:spacing w:before="20" w:after="20" w:line="260" w:lineRule="auto"/>
              <w:ind w:firstLine="0"/>
              <w:jc w:val="left"/>
            </w:pPr>
            <w:r>
              <w:rPr>
                <w:sz w:val="20"/>
                <w:szCs w:val="20"/>
              </w:rPr>
              <w:t xml:space="preserve">Giảm nguy cơ thiếu hàng; chấp nhận tồn dư cao hơn.</w:t>
            </w:r>
          </w:p>
        </w:tc>
      </w:tr>
    </w:tbl>
    <w:p>
      <w:pPr>
        <w:spacing w:before="40" w:after="160"/>
        <w:ind w:firstLine="0"/>
      </w:pPr>
      <w:r>
        <w:rPr>
          <w:i/>
          <w:sz w:val="22"/>
          <w:szCs w:val="22"/>
        </w:rPr>
        <w:t xml:space="preserve">Nguồn: decision_cases.jsonl (Stage 08).</w:t>
      </w:r>
    </w:p>
    <w:p>
      <w:pPr>
        <w:keepNext/>
        <w:spacing w:before="120" w:after="60"/>
        <w:ind w:firstLine="0"/>
        <w:jc w:val="center"/>
      </w:pPr>
      <w:r>
        <w:t xml:space="preserve">Bảng C.3. Kịch bản khuyến mãi trong phiếu DEC-S10-BEVERAGES</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209"/>
        <w:gridCol w:w="1804"/>
        <w:gridCol w:w="3252"/>
        <w:gridCol w:w="1806"/>
      </w:tblGrid>
      <w:tr>
        <w:trPr>
          <w:tblHeader/>
          <w:cantSplit/>
        </w:trPr>
        <w:tc>
          <w:tcPr>
            <w:tcW w:type="dxa" w:w="2209"/>
            <w:shd w:val="clear" w:color="auto" w:fill="D9E2F3"/>
            <w:vAlign w:val="center"/>
          </w:tcPr>
          <w:p>
            <w:pPr>
              <w:spacing w:before="20" w:after="20" w:line="260" w:lineRule="auto"/>
              <w:ind w:firstLine="0"/>
              <w:jc w:val="center"/>
            </w:pPr>
            <w:r>
              <w:rPr>
                <w:b/>
                <w:sz w:val="20"/>
                <w:szCs w:val="20"/>
              </w:rPr>
              <w:t xml:space="preserve">Kịch bản</w:t>
            </w:r>
          </w:p>
        </w:tc>
        <w:tc>
          <w:tcPr>
            <w:tcW w:type="dxa" w:w="1804"/>
            <w:shd w:val="clear" w:color="auto" w:fill="D9E2F3"/>
            <w:vAlign w:val="center"/>
          </w:tcPr>
          <w:p>
            <w:pPr>
              <w:spacing w:before="20" w:after="20" w:line="260" w:lineRule="auto"/>
              <w:ind w:firstLine="0"/>
              <w:jc w:val="center"/>
            </w:pPr>
            <w:r>
              <w:rPr>
                <w:b/>
                <w:sz w:val="20"/>
                <w:szCs w:val="20"/>
              </w:rPr>
              <w:t xml:space="preserve">P50</w:t>
            </w:r>
          </w:p>
        </w:tc>
        <w:tc>
          <w:tcPr>
            <w:tcW w:type="dxa" w:w="3252"/>
            <w:shd w:val="clear" w:color="auto" w:fill="D9E2F3"/>
            <w:vAlign w:val="center"/>
          </w:tcPr>
          <w:p>
            <w:pPr>
              <w:spacing w:before="20" w:after="20" w:line="260" w:lineRule="auto"/>
              <w:ind w:firstLine="0"/>
              <w:jc w:val="center"/>
            </w:pPr>
            <w:r>
              <w:rPr>
                <w:b/>
                <w:sz w:val="20"/>
                <w:szCs w:val="20"/>
              </w:rPr>
              <w:t xml:space="preserve">Chênh lệch so với hiện tại</w:t>
            </w:r>
          </w:p>
        </w:tc>
        <w:tc>
          <w:tcPr>
            <w:tcW w:type="dxa" w:w="1806"/>
            <w:shd w:val="clear" w:color="auto" w:fill="D9E2F3"/>
            <w:vAlign w:val="center"/>
          </w:tcPr>
          <w:p>
            <w:pPr>
              <w:spacing w:before="20" w:after="20" w:line="260" w:lineRule="auto"/>
              <w:ind w:firstLine="0"/>
              <w:jc w:val="center"/>
            </w:pPr>
            <w:r>
              <w:rPr>
                <w:b/>
                <w:sz w:val="20"/>
                <w:szCs w:val="20"/>
              </w:rPr>
              <w:t xml:space="preserve">Tỷ lệ</w:t>
            </w:r>
          </w:p>
        </w:tc>
      </w:tr>
      <w:tr>
        <w:trPr>
          <w:cantSplit/>
        </w:trPr>
        <w:tc>
          <w:tcPr>
            <w:tcW w:type="dxa" w:w="2209"/>
            <w:vAlign w:val="center"/>
          </w:tcPr>
          <w:p>
            <w:pPr>
              <w:spacing w:before="20" w:after="20" w:line="260" w:lineRule="auto"/>
              <w:ind w:firstLine="0"/>
              <w:jc w:val="left"/>
            </w:pPr>
            <w:r>
              <w:rPr>
                <w:sz w:val="20"/>
                <w:szCs w:val="20"/>
              </w:rPr>
              <w:t xml:space="preserve">No promotion</w:t>
            </w:r>
          </w:p>
        </w:tc>
        <w:tc>
          <w:tcPr>
            <w:tcW w:type="dxa" w:w="1804"/>
            <w:vAlign w:val="center"/>
          </w:tcPr>
          <w:p>
            <w:pPr>
              <w:spacing w:before="20" w:after="20" w:line="260" w:lineRule="auto"/>
              <w:ind w:firstLine="0"/>
              <w:jc w:val="center"/>
            </w:pPr>
            <w:r>
              <w:rPr>
                <w:sz w:val="20"/>
                <w:szCs w:val="20"/>
              </w:rPr>
              <w:t xml:space="preserve">19.894</w:t>
            </w:r>
          </w:p>
        </w:tc>
        <w:tc>
          <w:tcPr>
            <w:tcW w:type="dxa" w:w="3252"/>
            <w:vAlign w:val="center"/>
          </w:tcPr>
          <w:p>
            <w:pPr>
              <w:spacing w:before="20" w:after="20" w:line="260" w:lineRule="auto"/>
              <w:ind w:firstLine="0"/>
              <w:jc w:val="center"/>
            </w:pPr>
            <w:r>
              <w:rPr>
                <w:sz w:val="20"/>
                <w:szCs w:val="20"/>
              </w:rPr>
              <w:t xml:space="preserve">−2.172</w:t>
            </w:r>
          </w:p>
        </w:tc>
        <w:tc>
          <w:tcPr>
            <w:tcW w:type="dxa" w:w="1806"/>
            <w:vAlign w:val="center"/>
          </w:tcPr>
          <w:p>
            <w:pPr>
              <w:spacing w:before="20" w:after="20" w:line="260" w:lineRule="auto"/>
              <w:ind w:firstLine="0"/>
              <w:jc w:val="center"/>
            </w:pPr>
            <w:r>
              <w:rPr>
                <w:sz w:val="20"/>
                <w:szCs w:val="20"/>
              </w:rPr>
              <w:t xml:space="preserve">−9,84%</w:t>
            </w:r>
          </w:p>
        </w:tc>
      </w:tr>
      <w:tr>
        <w:trPr>
          <w:cantSplit/>
        </w:trPr>
        <w:tc>
          <w:tcPr>
            <w:tcW w:type="dxa" w:w="2209"/>
            <w:vAlign w:val="center"/>
          </w:tcPr>
          <w:p>
            <w:pPr>
              <w:spacing w:before="20" w:after="20" w:line="260" w:lineRule="auto"/>
              <w:ind w:firstLine="0"/>
              <w:jc w:val="left"/>
            </w:pPr>
            <w:r>
              <w:rPr>
                <w:sz w:val="20"/>
                <w:szCs w:val="20"/>
              </w:rPr>
              <w:t xml:space="preserve">Current</w:t>
            </w:r>
          </w:p>
        </w:tc>
        <w:tc>
          <w:tcPr>
            <w:tcW w:type="dxa" w:w="1804"/>
            <w:vAlign w:val="center"/>
          </w:tcPr>
          <w:p>
            <w:pPr>
              <w:spacing w:before="20" w:after="20" w:line="260" w:lineRule="auto"/>
              <w:ind w:firstLine="0"/>
              <w:jc w:val="center"/>
            </w:pPr>
            <w:r>
              <w:rPr>
                <w:sz w:val="20"/>
                <w:szCs w:val="20"/>
              </w:rPr>
              <w:t xml:space="preserve">22.066</w:t>
            </w:r>
          </w:p>
        </w:tc>
        <w:tc>
          <w:tcPr>
            <w:tcW w:type="dxa" w:w="3252"/>
            <w:vAlign w:val="center"/>
          </w:tcPr>
          <w:p>
            <w:pPr>
              <w:spacing w:before="20" w:after="20" w:line="260" w:lineRule="auto"/>
              <w:ind w:firstLine="0"/>
              <w:jc w:val="center"/>
            </w:pPr>
            <w:r>
              <w:rPr>
                <w:sz w:val="20"/>
                <w:szCs w:val="20"/>
              </w:rPr>
              <w:t xml:space="preserve">0</w:t>
            </w:r>
          </w:p>
        </w:tc>
        <w:tc>
          <w:tcPr>
            <w:tcW w:type="dxa" w:w="1806"/>
            <w:vAlign w:val="center"/>
          </w:tcPr>
          <w:p>
            <w:pPr>
              <w:spacing w:before="20" w:after="20" w:line="260" w:lineRule="auto"/>
              <w:ind w:firstLine="0"/>
              <w:jc w:val="center"/>
            </w:pPr>
            <w:r>
              <w:rPr>
                <w:sz w:val="20"/>
                <w:szCs w:val="20"/>
              </w:rPr>
              <w:t xml:space="preserve">0,00%</w:t>
            </w:r>
          </w:p>
        </w:tc>
      </w:tr>
      <w:tr>
        <w:trPr>
          <w:cantSplit/>
        </w:trPr>
        <w:tc>
          <w:tcPr>
            <w:tcW w:type="dxa" w:w="2209"/>
            <w:vAlign w:val="center"/>
          </w:tcPr>
          <w:p>
            <w:pPr>
              <w:spacing w:before="20" w:after="20" w:line="260" w:lineRule="auto"/>
              <w:ind w:firstLine="0"/>
              <w:jc w:val="left"/>
            </w:pPr>
            <w:r>
              <w:rPr>
                <w:sz w:val="20"/>
                <w:szCs w:val="20"/>
              </w:rPr>
              <w:t xml:space="preserve">Low</w:t>
            </w:r>
          </w:p>
        </w:tc>
        <w:tc>
          <w:tcPr>
            <w:tcW w:type="dxa" w:w="1804"/>
            <w:vAlign w:val="center"/>
          </w:tcPr>
          <w:p>
            <w:pPr>
              <w:spacing w:before="20" w:after="20" w:line="260" w:lineRule="auto"/>
              <w:ind w:firstLine="0"/>
              <w:jc w:val="center"/>
            </w:pPr>
            <w:r>
              <w:rPr>
                <w:sz w:val="20"/>
                <w:szCs w:val="20"/>
              </w:rPr>
              <w:t xml:space="preserve">20.156</w:t>
            </w:r>
          </w:p>
        </w:tc>
        <w:tc>
          <w:tcPr>
            <w:tcW w:type="dxa" w:w="3252"/>
            <w:vAlign w:val="center"/>
          </w:tcPr>
          <w:p>
            <w:pPr>
              <w:spacing w:before="20" w:after="20" w:line="260" w:lineRule="auto"/>
              <w:ind w:firstLine="0"/>
              <w:jc w:val="center"/>
            </w:pPr>
            <w:r>
              <w:rPr>
                <w:sz w:val="20"/>
                <w:szCs w:val="20"/>
              </w:rPr>
              <w:t xml:space="preserve">−1.911</w:t>
            </w:r>
          </w:p>
        </w:tc>
        <w:tc>
          <w:tcPr>
            <w:tcW w:type="dxa" w:w="1806"/>
            <w:vAlign w:val="center"/>
          </w:tcPr>
          <w:p>
            <w:pPr>
              <w:spacing w:before="20" w:after="20" w:line="260" w:lineRule="auto"/>
              <w:ind w:firstLine="0"/>
              <w:jc w:val="center"/>
            </w:pPr>
            <w:r>
              <w:rPr>
                <w:sz w:val="20"/>
                <w:szCs w:val="20"/>
              </w:rPr>
              <w:t xml:space="preserve">−8,66%</w:t>
            </w:r>
          </w:p>
        </w:tc>
      </w:tr>
      <w:tr>
        <w:trPr>
          <w:cantSplit/>
        </w:trPr>
        <w:tc>
          <w:tcPr>
            <w:tcW w:type="dxa" w:w="2209"/>
            <w:vAlign w:val="center"/>
          </w:tcPr>
          <w:p>
            <w:pPr>
              <w:spacing w:before="20" w:after="20" w:line="260" w:lineRule="auto"/>
              <w:ind w:firstLine="0"/>
              <w:jc w:val="left"/>
            </w:pPr>
            <w:r>
              <w:rPr>
                <w:sz w:val="20"/>
                <w:szCs w:val="20"/>
              </w:rPr>
              <w:t xml:space="preserve">Medium</w:t>
            </w:r>
          </w:p>
        </w:tc>
        <w:tc>
          <w:tcPr>
            <w:tcW w:type="dxa" w:w="1804"/>
            <w:vAlign w:val="center"/>
          </w:tcPr>
          <w:p>
            <w:pPr>
              <w:spacing w:before="20" w:after="20" w:line="260" w:lineRule="auto"/>
              <w:ind w:firstLine="0"/>
              <w:jc w:val="center"/>
            </w:pPr>
            <w:r>
              <w:rPr>
                <w:sz w:val="20"/>
                <w:szCs w:val="20"/>
              </w:rPr>
              <w:t xml:space="preserve">20.300</w:t>
            </w:r>
          </w:p>
        </w:tc>
        <w:tc>
          <w:tcPr>
            <w:tcW w:type="dxa" w:w="3252"/>
            <w:vAlign w:val="center"/>
          </w:tcPr>
          <w:p>
            <w:pPr>
              <w:spacing w:before="20" w:after="20" w:line="260" w:lineRule="auto"/>
              <w:ind w:firstLine="0"/>
              <w:jc w:val="center"/>
            </w:pPr>
            <w:r>
              <w:rPr>
                <w:sz w:val="20"/>
                <w:szCs w:val="20"/>
              </w:rPr>
              <w:t xml:space="preserve">−1.767</w:t>
            </w:r>
          </w:p>
        </w:tc>
        <w:tc>
          <w:tcPr>
            <w:tcW w:type="dxa" w:w="1806"/>
            <w:vAlign w:val="center"/>
          </w:tcPr>
          <w:p>
            <w:pPr>
              <w:spacing w:before="20" w:after="20" w:line="260" w:lineRule="auto"/>
              <w:ind w:firstLine="0"/>
              <w:jc w:val="center"/>
            </w:pPr>
            <w:r>
              <w:rPr>
                <w:sz w:val="20"/>
                <w:szCs w:val="20"/>
              </w:rPr>
              <w:t xml:space="preserve">−8,01%</w:t>
            </w:r>
          </w:p>
        </w:tc>
      </w:tr>
      <w:tr>
        <w:trPr>
          <w:cantSplit/>
        </w:trPr>
        <w:tc>
          <w:tcPr>
            <w:tcW w:type="dxa" w:w="2209"/>
            <w:vAlign w:val="center"/>
          </w:tcPr>
          <w:p>
            <w:pPr>
              <w:spacing w:before="20" w:after="20" w:line="260" w:lineRule="auto"/>
              <w:ind w:firstLine="0"/>
              <w:jc w:val="left"/>
            </w:pPr>
            <w:r>
              <w:rPr>
                <w:sz w:val="20"/>
                <w:szCs w:val="20"/>
              </w:rPr>
              <w:t xml:space="preserve">High</w:t>
            </w:r>
          </w:p>
        </w:tc>
        <w:tc>
          <w:tcPr>
            <w:tcW w:type="dxa" w:w="1804"/>
            <w:vAlign w:val="center"/>
          </w:tcPr>
          <w:p>
            <w:pPr>
              <w:spacing w:before="20" w:after="20" w:line="260" w:lineRule="auto"/>
              <w:ind w:firstLine="0"/>
              <w:jc w:val="center"/>
            </w:pPr>
            <w:r>
              <w:rPr>
                <w:sz w:val="20"/>
                <w:szCs w:val="20"/>
              </w:rPr>
              <w:t xml:space="preserve">20.553</w:t>
            </w:r>
          </w:p>
        </w:tc>
        <w:tc>
          <w:tcPr>
            <w:tcW w:type="dxa" w:w="3252"/>
            <w:vAlign w:val="center"/>
          </w:tcPr>
          <w:p>
            <w:pPr>
              <w:spacing w:before="20" w:after="20" w:line="260" w:lineRule="auto"/>
              <w:ind w:firstLine="0"/>
              <w:jc w:val="center"/>
            </w:pPr>
            <w:r>
              <w:rPr>
                <w:sz w:val="20"/>
                <w:szCs w:val="20"/>
              </w:rPr>
              <w:t xml:space="preserve">−1.513</w:t>
            </w:r>
          </w:p>
        </w:tc>
        <w:tc>
          <w:tcPr>
            <w:tcW w:type="dxa" w:w="1806"/>
            <w:vAlign w:val="center"/>
          </w:tcPr>
          <w:p>
            <w:pPr>
              <w:spacing w:before="20" w:after="20" w:line="260" w:lineRule="auto"/>
              <w:ind w:firstLine="0"/>
              <w:jc w:val="center"/>
            </w:pPr>
            <w:r>
              <w:rPr>
                <w:sz w:val="20"/>
                <w:szCs w:val="20"/>
              </w:rPr>
              <w:t xml:space="preserve">−6,86%</w:t>
            </w:r>
          </w:p>
        </w:tc>
      </w:tr>
    </w:tbl>
    <w:p>
      <w:pPr>
        <w:spacing w:before="40" w:after="160"/>
        <w:ind w:firstLine="0"/>
      </w:pPr>
      <w:r>
        <w:rPr>
          <w:i/>
          <w:sz w:val="22"/>
          <w:szCs w:val="22"/>
        </w:rPr>
        <w:t xml:space="preserve">Nguồn: decision_cases.jsonl (Stage 08); P50 kịch bản là dự báo điểm có điều kiện, không phải tác động nhân quả.</w:t>
      </w:r>
    </w:p>
    <w:p>
      <w:pPr>
        <w:keepLines w:val="0"/>
        <w:spacing w:after="120"/>
        <w:ind w:firstLine="567"/>
      </w:pPr>
      <w:r>
        <w:t xml:space="preserve">Khuyến nghị khuyến mãi: KHÔNG ĐỀ XUẤT TĂNG. Không có kịch bản khuyến mãi nào trong miền tin cậy làm P50 tăng đáng kể (&gt; 2%); chưa có cơ sở đề xuất tăng khuyến mãi.</w:t>
      </w:r>
    </w:p>
    <w:p>
      <w:pPr>
        <w:keepLines w:val="0"/>
        <w:spacing w:after="60"/>
        <w:ind w:left="851" w:hanging="284"/>
      </w:pPr>
      <w:r>
        <w:t xml:space="preserve">–	Cơ sở: Nhãn bất định tương đối HIGH (r = (P90 − P10)/(P50 + 1) = 0,767).</w:t>
      </w:r>
    </w:p>
    <w:p>
      <w:pPr>
        <w:keepLines w:val="0"/>
        <w:spacing w:after="60"/>
        <w:ind w:left="851" w:hanging="284"/>
      </w:pPr>
      <w:r>
        <w:t xml:space="preserve">–	Cơ sở: Chuỗi quy mô lớn (P50 trung bình 1.385,8/ngày ≥ 282,6, là phân vị 75% của P50 theo ngày trên toàn bộ 1.782 chuỗi): khoảng dự báo có thể quá hẹp so với quy mô. Trên tập kiểm tra của lần chạy, độ bao phủ P10–P90 ở nhóm quan sát nhu cầu cao nhất chỉ 72,8%.</w:t>
      </w:r>
    </w:p>
    <w:p>
      <w:pPr>
        <w:keepLines w:val="0"/>
        <w:spacing w:after="60"/>
        <w:ind w:left="851" w:hanging="284"/>
      </w:pPr>
      <w:r>
        <w:t xml:space="preserve">–	Cơ sở: Phân vị tới hạn q* = Cu/(Cu + Co) = 0,75; mức mục tiêu tham chiếu theo quy định POL-INV-002.</w:t>
      </w:r>
    </w:p>
    <w:p>
      <w:pPr>
        <w:keepLines w:val="0"/>
        <w:spacing w:after="60"/>
        <w:ind w:left="851" w:hanging="284"/>
      </w:pPr>
      <w:r>
        <w:t xml:space="preserve">–	Cơ sở: Ngày có P50 cao nhất trong kỳ: Thứ Bảy 05/08/2017 (1.835,5 đơn vị) — ưu tiên bảo đảm hàng trước ngày này.</w:t>
      </w:r>
    </w:p>
    <w:p>
      <w:pPr>
        <w:keepLines w:val="0"/>
        <w:spacing w:after="60"/>
        <w:ind w:left="851" w:hanging="284"/>
      </w:pPr>
      <w:r>
        <w:t xml:space="preserve">–	Căn cứ POL-INV-004 (quy định đã áp dụng): Chuỗi có nhu cầu dự báo thuộc nhóm lớn nhất phải được rà soát khoảng dự báo, vì độ bao phủ của khoảng P10–P90 ở nhóm quan sát nhu cầu cao nhất có thể thấp hơn mức danh nghĩa (cần đối chiếu kết quả đánh giá của lần chạy).</w:t>
      </w:r>
    </w:p>
    <w:p>
      <w:pPr>
        <w:keepLines w:val="0"/>
        <w:spacing w:after="60"/>
        <w:ind w:left="851" w:hanging="284"/>
      </w:pPr>
      <w:r>
        <w:t xml:space="preserve">–	Căn cứ POL-INV-002 (quy định đã áp dụng): Khi phân vị tới hạn q* = Cu/(Cu+Co) từ 0,75 trở lên, dùng P90 làm mức tồn kho mục tiêu tham chiếu; lượng bổ sung = max(mục tiêu − vị thế tồn kho, 0).</w:t>
      </w:r>
    </w:p>
    <w:p>
      <w:pPr>
        <w:keepLines w:val="0"/>
        <w:spacing w:after="60"/>
        <w:ind w:left="851" w:hanging="284"/>
      </w:pPr>
      <w:r>
        <w:t xml:space="preserve">–	Căn cứ POL-INV-003 (quy định đã áp dụng): Luôn trình bày ít nhất ba phương án số lượng (theo P50, xấp xỉ theo q*, theo P90) để người phê duyệt thấy đánh đổi giữa thiếu hàng và tồn dư.</w:t>
      </w:r>
    </w:p>
    <w:p>
      <w:pPr>
        <w:keepLines w:val="0"/>
        <w:spacing w:after="60"/>
        <w:ind w:left="851" w:hanging="284"/>
      </w:pPr>
      <w:r>
        <w:t xml:space="preserve">–	Căn cứ POL-INV-001 (quy định đã áp dụng): Các quyết định tồn kho chỉ là mô phỏng khi inventory position và lead time do người dùng nhập.</w:t>
      </w:r>
    </w:p>
    <w:p>
      <w:pPr>
        <w:keepLines w:val="0"/>
        <w:spacing w:after="60"/>
        <w:ind w:left="851" w:hanging="284"/>
      </w:pPr>
      <w:r>
        <w:t xml:space="preserve">–	Căn cứ POL-PROMO-002 (quy định đã áp dụng): Không diễn giải thay đổi `onpromotion` là % giảm giá.</w:t>
      </w:r>
    </w:p>
    <w:p>
      <w:pPr>
        <w:keepLines w:val="0"/>
        <w:spacing w:after="60"/>
        <w:ind w:left="851" w:hanging="284"/>
      </w:pPr>
      <w:r>
        <w:t xml:space="preserve">–	Căn cứ POL-HITL-001 (quy định đã áp dụng): Mọi phiếu khuyến nghị phải có người phê duyệt, ghi tên người phê duyệt, quyết định, số lượng cuối cùng và lý do vào nhật ký kiểm toán.</w:t>
      </w:r>
    </w:p>
    <w:p>
      <w:pPr>
        <w:keepLines w:val="0"/>
        <w:spacing w:after="60"/>
        <w:ind w:left="851" w:hanging="284"/>
      </w:pPr>
      <w:r>
        <w:t xml:space="preserve">–	Căn cứ POL-PROMO-001 (truy xuất bổ sung): Kịch bản có độ bất định cao phải chuyển Human Review.</w:t>
      </w:r>
    </w:p>
    <w:p>
      <w:pPr>
        <w:keepLines w:val="0"/>
        <w:spacing w:after="60"/>
        <w:ind w:left="851" w:hanging="284"/>
      </w:pPr>
      <w:r>
        <w:t xml:space="preserve">–	Giả định: Vị thế tồn kho = 0,8 × P50 = 17.738 (giả định của Stage 07, không phải tồn kho thực).</w:t>
      </w:r>
    </w:p>
    <w:p>
      <w:pPr>
        <w:keepLines w:val="0"/>
        <w:spacing w:after="60"/>
        <w:ind w:left="851" w:hanging="284"/>
      </w:pPr>
      <w:r>
        <w:t xml:space="preserve">–	Giả định: Chi phí thiếu hàng Cu = 3, chi phí tồn dư Co = 1 (giả định kịch bản).</w:t>
      </w:r>
    </w:p>
    <w:p>
      <w:pPr>
        <w:keepLines w:val="0"/>
        <w:spacing w:after="60"/>
        <w:ind w:left="851" w:hanging="284"/>
      </w:pPr>
      <w:r>
        <w:t xml:space="preserve">–	Giả định: P10/P50/P90 của kỳ là tổng của 16 phân vị theo ngày — mang tính mô tả, không phải phân vị chính xác của tổng nhu cầu.</w:t>
      </w:r>
    </w:p>
    <w:p>
      <w:pPr>
        <w:keepLines w:val="0"/>
        <w:spacing w:after="60"/>
        <w:ind w:left="851" w:hanging="284"/>
      </w:pPr>
      <w:r>
        <w:t xml:space="preserve">–	Giả định: Không có dữ liệu giá bán, biên lợi nhuận và thời gian cung ứng.</w:t>
      </w:r>
    </w:p>
    <w:p>
      <w:pPr>
        <w:keepLines w:val="0"/>
        <w:spacing w:after="60"/>
        <w:ind w:left="851" w:hanging="284"/>
      </w:pPr>
      <w:r>
        <w:t xml:space="preserve">–	Kiểm tra trước phê duyệt: Đối chiếu vị thế tồn kho thực tế (hiện đang dùng giả định 0,8 × P50) và hàng đang về.</w:t>
      </w:r>
    </w:p>
    <w:p>
      <w:pPr>
        <w:keepLines w:val="0"/>
        <w:spacing w:after="60"/>
        <w:ind w:left="851" w:hanging="284"/>
      </w:pPr>
      <w:r>
        <w:t xml:space="preserve">–	Kiểm tra trước phê duyệt: Rà soát lại khoảng dự báo: với chuỗi lớn, khoảng P10–P90 có thể hẹp hơn biến động thực tế.</w:t>
      </w:r>
    </w:p>
    <w:p>
      <w:pPr>
        <w:keepLines w:val="0"/>
        <w:spacing w:after="60"/>
        <w:ind w:left="851" w:hanging="284"/>
      </w:pPr>
      <w:r>
        <w:t xml:space="preserve">–	Kiểm tra trước phê duyệt: Xác nhận thời gian cung ứng và lịch giao hàng của nhà cung cấp.</w:t>
      </w:r>
    </w:p>
    <w:p>
      <w:pPr>
        <w:keepLines w:val="0"/>
        <w:spacing w:after="60"/>
        <w:ind w:left="851" w:hanging="284"/>
      </w:pPr>
      <w:r>
        <w:t xml:space="preserve">–	Kiểm tra trước phê duyệt: Kiểm tra sức chứa kho và hạn sử dụng (đặc biệt với hàng tươi sống).</w:t>
      </w:r>
    </w:p>
    <w:p>
      <w:pPr>
        <w:keepLines w:val="0"/>
        <w:spacing w:after="60"/>
        <w:ind w:left="851" w:hanging="284"/>
      </w:pPr>
      <w:r>
        <w:t xml:space="preserve">–	Kiểm tra trước phê duyệt: Chọn phương án số lượng A/B/C hoặc nhập số lượng khác, ghi rõ lý do.</w:t>
      </w:r>
    </w:p>
    <w:p>
      <w:pPr>
        <w:pStyle w:val="Heading1"/>
        <w:pageBreakBefore/>
      </w:pPr>
      <w:r>
        <w:t xml:space="preserve">PHỤ LỤC D. CẤU HÌNH, TỆP KẾT QUẢ VÀ NGUYÊN TẮC DIỄN GIẢI</w:t>
      </w:r>
    </w:p>
    <w:p>
      <w:pPr>
        <w:pStyle w:val="Heading3"/>
        <w:keepNext/>
      </w:pPr>
      <w:r>
        <w:t xml:space="preserve">D.1. Cấu hình và tham số của lần chạy chính thức</w:t>
      </w:r>
    </w:p>
    <w:p>
      <w:pPr>
        <w:keepLines w:val="0"/>
        <w:spacing w:after="120"/>
        <w:ind w:firstLine="567"/>
      </w:pPr>
      <w:r>
        <w:t xml:space="preserve">Bảng D.1 tổng hợp các tham số của lần chạy chính thức, đọc trực tiếp từ mã nguồn các Stage 03–14 trong thư mục đề tài. Các tham số không được đặt trong mã nhận giá trị mặc định của thư viện; lần chạy dùng pandas 2.3.3, numpy 2.4.4, scikit-learn 1.8.0, xgboost 3.2.0, lightgbm 4.7.0 và statsmodels 0.15.0. Môi trường ảo.venv của folder có scikit-learn 1.9.1 và xgboost 3.4.1, nên khi chạy lại bằng START_WINDOWS.bat, kết quả của XGBoost và Random Forest có thể lệch nhỏ.</w:t>
      </w:r>
    </w:p>
    <w:p>
      <w:pPr>
        <w:keepNext/>
        <w:spacing w:before="120" w:after="60"/>
        <w:ind w:firstLine="0"/>
        <w:jc w:val="center"/>
      </w:pPr>
      <w:r>
        <w:t xml:space="preserve">Bảng D.1. Tham số của quy trình được đọc từ mã nguồn</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675"/>
        <w:gridCol w:w="6396"/>
      </w:tblGrid>
      <w:tr>
        <w:trPr>
          <w:tblHeader/>
          <w:cantSplit/>
        </w:trPr>
        <w:tc>
          <w:tcPr>
            <w:tcW w:type="dxa" w:w="2675"/>
            <w:shd w:val="clear" w:color="auto" w:fill="D9E2F3"/>
            <w:vAlign w:val="center"/>
          </w:tcPr>
          <w:p>
            <w:pPr>
              <w:spacing w:before="20" w:after="20" w:line="260" w:lineRule="auto"/>
              <w:ind w:firstLine="0"/>
              <w:jc w:val="center"/>
            </w:pPr>
            <w:r>
              <w:rPr>
                <w:b/>
                <w:sz w:val="20"/>
                <w:szCs w:val="20"/>
              </w:rPr>
              <w:t xml:space="preserve">Thành phần</w:t>
            </w:r>
          </w:p>
        </w:tc>
        <w:tc>
          <w:tcPr>
            <w:tcW w:type="dxa" w:w="6396"/>
            <w:shd w:val="clear" w:color="auto" w:fill="D9E2F3"/>
            <w:vAlign w:val="center"/>
          </w:tcPr>
          <w:p>
            <w:pPr>
              <w:spacing w:before="20" w:after="20" w:line="260" w:lineRule="auto"/>
              <w:ind w:firstLine="0"/>
              <w:jc w:val="center"/>
            </w:pPr>
            <w:r>
              <w:rPr>
                <w:b/>
                <w:sz w:val="20"/>
                <w:szCs w:val="20"/>
              </w:rPr>
              <w:t xml:space="preserve">Tham số</w:t>
            </w:r>
          </w:p>
        </w:tc>
      </w:tr>
      <w:tr>
        <w:trPr>
          <w:cantSplit/>
        </w:trPr>
        <w:tc>
          <w:tcPr>
            <w:tcW w:type="dxa" w:w="2675"/>
            <w:vAlign w:val="center"/>
          </w:tcPr>
          <w:p>
            <w:pPr>
              <w:spacing w:before="20" w:after="20" w:line="260" w:lineRule="auto"/>
              <w:ind w:firstLine="0"/>
              <w:jc w:val="left"/>
            </w:pPr>
            <w:r>
              <w:rPr>
                <w:sz w:val="20"/>
                <w:szCs w:val="20"/>
              </w:rPr>
              <w:t xml:space="preserve">Chung (src/common.py)</w:t>
            </w:r>
          </w:p>
        </w:tc>
        <w:tc>
          <w:tcPr>
            <w:tcW w:type="dxa" w:w="6396"/>
            <w:vAlign w:val="center"/>
          </w:tcPr>
          <w:p>
            <w:pPr>
              <w:spacing w:before="20" w:after="20" w:line="260" w:lineRule="auto"/>
              <w:ind w:firstLine="0"/>
              <w:jc w:val="left"/>
            </w:pPr>
            <w:r>
              <w:rPr>
                <w:sz w:val="20"/>
                <w:szCs w:val="20"/>
              </w:rPr>
              <w:t xml:space="preserve">HORIZON = 16; SEED = 42</w:t>
            </w:r>
          </w:p>
        </w:tc>
      </w:tr>
      <w:tr>
        <w:trPr>
          <w:cantSplit/>
        </w:trPr>
        <w:tc>
          <w:tcPr>
            <w:tcW w:type="dxa" w:w="2675"/>
            <w:vAlign w:val="center"/>
          </w:tcPr>
          <w:p>
            <w:pPr>
              <w:spacing w:before="20" w:after="20" w:line="260" w:lineRule="auto"/>
              <w:ind w:firstLine="0"/>
              <w:jc w:val="left"/>
            </w:pPr>
            <w:r>
              <w:rPr>
                <w:sz w:val="20"/>
                <w:szCs w:val="20"/>
              </w:rPr>
              <w:t xml:space="preserve">Stage 03 – đặc trưng</w:t>
            </w:r>
          </w:p>
        </w:tc>
        <w:tc>
          <w:tcPr>
            <w:tcW w:type="dxa" w:w="6396"/>
            <w:vAlign w:val="center"/>
          </w:tcPr>
          <w:p>
            <w:pPr>
              <w:spacing w:before="20" w:after="20" w:line="260" w:lineRule="auto"/>
              <w:ind w:firstLine="0"/>
              <w:jc w:val="left"/>
            </w:pPr>
            <w:r>
              <w:rPr>
                <w:sz w:val="20"/>
                <w:szCs w:val="20"/>
              </w:rPr>
              <w:t xml:space="preserve">Lịch ngày đầy đủ (25/12 closed = 1, không huấn luyện/đánh giá); lag 7, 14, 16, 21, 28, 32, 35, 42, 56 theo ngày lịch; roll_mean/roll_std 7, 14, 28 trên chuỗi dịch 16 ngày; lịch; mã cửa hàng/nhóm; onpromotion; stores (city_code, state_code, type_code, cluster); oil_price_lag16 (16 ngày lịch); transactions_lag16, transactions_roll28_lag16 (theo lịch của từng cửa hàng); is_national_holiday (National, không transferred, loại Work Day)</w:t>
            </w:r>
          </w:p>
        </w:tc>
      </w:tr>
      <w:tr>
        <w:trPr>
          <w:cantSplit/>
        </w:trPr>
        <w:tc>
          <w:tcPr>
            <w:tcW w:type="dxa" w:w="2675"/>
            <w:vAlign w:val="center"/>
          </w:tcPr>
          <w:p>
            <w:pPr>
              <w:spacing w:before="20" w:after="20" w:line="260" w:lineRule="auto"/>
              <w:ind w:firstLine="0"/>
              <w:jc w:val="left"/>
            </w:pPr>
            <w:r>
              <w:rPr>
                <w:sz w:val="20"/>
                <w:szCs w:val="20"/>
              </w:rPr>
              <w:t xml:space="preserve">Seasonal Naive</w:t>
            </w:r>
          </w:p>
        </w:tc>
        <w:tc>
          <w:tcPr>
            <w:tcW w:type="dxa" w:w="6396"/>
            <w:vAlign w:val="center"/>
          </w:tcPr>
          <w:p>
            <w:pPr>
              <w:spacing w:before="20" w:after="20" w:line="260" w:lineRule="auto"/>
              <w:ind w:firstLine="0"/>
              <w:jc w:val="left"/>
            </w:pPr>
            <w:r>
              <w:rPr>
                <w:sz w:val="20"/>
                <w:szCs w:val="20"/>
              </w:rPr>
              <w:t xml:space="preserve">Cố định gốc: lag_7 (ngày 1–7), lag_14 (ngày 8–14), lag_21 (ngày 15–16)</w:t>
            </w:r>
          </w:p>
        </w:tc>
      </w:tr>
      <w:tr>
        <w:trPr>
          <w:cantSplit/>
        </w:trPr>
        <w:tc>
          <w:tcPr>
            <w:tcW w:type="dxa" w:w="2675"/>
            <w:vAlign w:val="center"/>
          </w:tcPr>
          <w:p>
            <w:pPr>
              <w:spacing w:before="20" w:after="20" w:line="260" w:lineRule="auto"/>
              <w:ind w:firstLine="0"/>
              <w:jc w:val="left"/>
            </w:pPr>
            <w:r>
              <w:rPr>
                <w:sz w:val="20"/>
                <w:szCs w:val="20"/>
              </w:rPr>
              <w:t xml:space="preserve">Ridge Regression</w:t>
            </w:r>
          </w:p>
        </w:tc>
        <w:tc>
          <w:tcPr>
            <w:tcW w:type="dxa" w:w="6396"/>
            <w:vAlign w:val="center"/>
          </w:tcPr>
          <w:p>
            <w:pPr>
              <w:spacing w:before="20" w:after="20" w:line="260" w:lineRule="auto"/>
              <w:ind w:firstLine="0"/>
              <w:jc w:val="left"/>
            </w:pPr>
            <w:r>
              <w:rPr>
                <w:sz w:val="20"/>
                <w:szCs w:val="20"/>
              </w:rPr>
              <w:t xml:space="preserve">StandardScaler + Ridge(alpha = 1,0); toàn bộ dữ liệu huấn luyện</w:t>
            </w:r>
          </w:p>
        </w:tc>
      </w:tr>
      <w:tr>
        <w:trPr>
          <w:cantSplit/>
        </w:trPr>
        <w:tc>
          <w:tcPr>
            <w:tcW w:type="dxa" w:w="2675"/>
            <w:vAlign w:val="center"/>
          </w:tcPr>
          <w:p>
            <w:pPr>
              <w:spacing w:before="20" w:after="20" w:line="260" w:lineRule="auto"/>
              <w:ind w:firstLine="0"/>
              <w:jc w:val="left"/>
            </w:pPr>
            <w:r>
              <w:rPr>
                <w:sz w:val="20"/>
                <w:szCs w:val="20"/>
              </w:rPr>
              <w:t xml:space="preserve">Random Forest</w:t>
            </w:r>
          </w:p>
        </w:tc>
        <w:tc>
          <w:tcPr>
            <w:tcW w:type="dxa" w:w="6396"/>
            <w:vAlign w:val="center"/>
          </w:tcPr>
          <w:p>
            <w:pPr>
              <w:spacing w:before="20" w:after="20" w:line="260" w:lineRule="auto"/>
              <w:ind w:firstLine="0"/>
              <w:jc w:val="left"/>
            </w:pPr>
            <w:r>
              <w:rPr>
                <w:sz w:val="20"/>
                <w:szCs w:val="20"/>
              </w:rPr>
              <w:t xml:space="preserve">n_estimators = 120; max_depth = 18; min_samples_leaf = 3; mẫu 600.000 dòng (random_state = 42)</w:t>
            </w:r>
          </w:p>
        </w:tc>
      </w:tr>
      <w:tr>
        <w:trPr>
          <w:cantSplit/>
        </w:trPr>
        <w:tc>
          <w:tcPr>
            <w:tcW w:type="dxa" w:w="2675"/>
            <w:vAlign w:val="center"/>
          </w:tcPr>
          <w:p>
            <w:pPr>
              <w:spacing w:before="20" w:after="20" w:line="260" w:lineRule="auto"/>
              <w:ind w:firstLine="0"/>
              <w:jc w:val="left"/>
            </w:pPr>
            <w:r>
              <w:rPr>
                <w:sz w:val="20"/>
                <w:szCs w:val="20"/>
              </w:rPr>
              <w:t xml:space="preserve">XGBoost</w:t>
            </w:r>
          </w:p>
        </w:tc>
        <w:tc>
          <w:tcPr>
            <w:tcW w:type="dxa" w:w="6396"/>
            <w:vAlign w:val="center"/>
          </w:tcPr>
          <w:p>
            <w:pPr>
              <w:spacing w:before="20" w:after="20" w:line="260" w:lineRule="auto"/>
              <w:ind w:firstLine="0"/>
              <w:jc w:val="left"/>
            </w:pPr>
            <w:r>
              <w:rPr>
                <w:sz w:val="20"/>
                <w:szCs w:val="20"/>
              </w:rPr>
              <w:t xml:space="preserve">n_estimators = 450; max_depth = 8; learning_rate = 0,05; subsample = 0,8; colsample_bytree = 0,8; objective = reg:squarederror; tree_method = hist; toàn bộ dữ liệu</w:t>
            </w:r>
          </w:p>
        </w:tc>
      </w:tr>
      <w:tr>
        <w:trPr>
          <w:cantSplit/>
        </w:trPr>
        <w:tc>
          <w:tcPr>
            <w:tcW w:type="dxa" w:w="2675"/>
            <w:vAlign w:val="center"/>
          </w:tcPr>
          <w:p>
            <w:pPr>
              <w:spacing w:before="20" w:after="20" w:line="260" w:lineRule="auto"/>
              <w:ind w:firstLine="0"/>
              <w:jc w:val="left"/>
            </w:pPr>
            <w:r>
              <w:rPr>
                <w:sz w:val="20"/>
                <w:szCs w:val="20"/>
              </w:rPr>
              <w:t xml:space="preserve">LightGBM</w:t>
            </w:r>
          </w:p>
        </w:tc>
        <w:tc>
          <w:tcPr>
            <w:tcW w:type="dxa" w:w="6396"/>
            <w:vAlign w:val="center"/>
          </w:tcPr>
          <w:p>
            <w:pPr>
              <w:spacing w:before="20" w:after="20" w:line="260" w:lineRule="auto"/>
              <w:ind w:firstLine="0"/>
              <w:jc w:val="left"/>
            </w:pPr>
            <w:r>
              <w:rPr>
                <w:sz w:val="20"/>
                <w:szCs w:val="20"/>
              </w:rPr>
              <w:t xml:space="preserve">n_estimators = 450; num_leaves = 63; learning_rate = 0,05; subsample = 0,85; subsample_freq = 1; colsample_bytree = 0,85; toàn bộ dữ liệu</w:t>
            </w:r>
          </w:p>
        </w:tc>
      </w:tr>
      <w:tr>
        <w:trPr>
          <w:cantSplit/>
        </w:trPr>
        <w:tc>
          <w:tcPr>
            <w:tcW w:type="dxa" w:w="2675"/>
            <w:vAlign w:val="center"/>
          </w:tcPr>
          <w:p>
            <w:pPr>
              <w:spacing w:before="20" w:after="20" w:line="260" w:lineRule="auto"/>
              <w:ind w:firstLine="0"/>
              <w:jc w:val="left"/>
            </w:pPr>
            <w:r>
              <w:rPr>
                <w:sz w:val="20"/>
                <w:szCs w:val="20"/>
              </w:rPr>
              <w:t xml:space="preserve">Stage 04 – kiểm định</w:t>
            </w:r>
          </w:p>
        </w:tc>
        <w:tc>
          <w:tcPr>
            <w:tcW w:type="dxa" w:w="6396"/>
            <w:vAlign w:val="center"/>
          </w:tcPr>
          <w:p>
            <w:pPr>
              <w:spacing w:before="20" w:after="20" w:line="260" w:lineRule="auto"/>
              <w:ind w:firstLine="0"/>
              <w:jc w:val="left"/>
            </w:pPr>
            <w:r>
              <w:rPr>
                <w:sz w:val="20"/>
                <w:szCs w:val="20"/>
              </w:rPr>
              <w:t xml:space="preserve">3 lần, cửa sổ 16 ngày tại len(dates) − 64/−48/−32 (13/06–28/06, 29/06–14/07, 15/07–30/07/2017); chọn theo WAPE trung bình, hòa theo RMSE rồi MAE; tập kiểm tra cuối 31/07–15/08/2017</w:t>
            </w:r>
          </w:p>
        </w:tc>
      </w:tr>
      <w:tr>
        <w:trPr>
          <w:cantSplit/>
        </w:trPr>
        <w:tc>
          <w:tcPr>
            <w:tcW w:type="dxa" w:w="2675"/>
            <w:vAlign w:val="center"/>
          </w:tcPr>
          <w:p>
            <w:pPr>
              <w:spacing w:before="20" w:after="20" w:line="260" w:lineRule="auto"/>
              <w:ind w:firstLine="0"/>
              <w:jc w:val="left"/>
            </w:pPr>
            <w:r>
              <w:rPr>
                <w:sz w:val="20"/>
                <w:szCs w:val="20"/>
              </w:rPr>
              <w:t xml:space="preserve">Stage 05 – xác suất</w:t>
            </w:r>
          </w:p>
        </w:tc>
        <w:tc>
          <w:tcPr>
            <w:tcW w:type="dxa" w:w="6396"/>
            <w:vAlign w:val="center"/>
          </w:tcPr>
          <w:p>
            <w:pPr>
              <w:spacing w:before="20" w:after="20" w:line="260" w:lineRule="auto"/>
              <w:ind w:firstLine="0"/>
              <w:jc w:val="left"/>
            </w:pPr>
            <w:r>
              <w:rPr>
                <w:sz w:val="20"/>
                <w:szCs w:val="20"/>
              </w:rPr>
              <w:t xml:space="preserve">Mondrian split-conformal: cửa sổ hiệu chỉnh 15/07–30/07/2017; tối đa 10 nhóm theo phân vị dự báo điểm (9 nhóm sau khi gộp biên trùng); phân vị phần dư 0,1/0,5/0,9 theo nhóm</w:t>
            </w:r>
          </w:p>
        </w:tc>
      </w:tr>
      <w:tr>
        <w:trPr>
          <w:cantSplit/>
        </w:trPr>
        <w:tc>
          <w:tcPr>
            <w:tcW w:type="dxa" w:w="2675"/>
            <w:vAlign w:val="center"/>
          </w:tcPr>
          <w:p>
            <w:pPr>
              <w:spacing w:before="20" w:after="20" w:line="260" w:lineRule="auto"/>
              <w:ind w:firstLine="0"/>
              <w:jc w:val="left"/>
            </w:pPr>
            <w:r>
              <w:rPr>
                <w:sz w:val="20"/>
                <w:szCs w:val="20"/>
              </w:rPr>
              <w:t xml:space="preserve">Stage 06 – kịch bản</w:t>
            </w:r>
          </w:p>
        </w:tc>
        <w:tc>
          <w:tcPr>
            <w:tcW w:type="dxa" w:w="6396"/>
            <w:vAlign w:val="center"/>
          </w:tcPr>
          <w:p>
            <w:pPr>
              <w:spacing w:before="20" w:after="20" w:line="260" w:lineRule="auto"/>
              <w:ind w:firstLine="0"/>
              <w:jc w:val="left"/>
            </w:pPr>
            <w:r>
              <w:rPr>
                <w:sz w:val="20"/>
                <w:szCs w:val="20"/>
              </w:rPr>
              <w:t xml:space="preserve">onpromotion: 0 / hiện tại / 1 / 5 / 10; độ rộng P10/P90 theo từng dòng của Stage 05</w:t>
            </w:r>
          </w:p>
        </w:tc>
      </w:tr>
      <w:tr>
        <w:trPr>
          <w:cantSplit/>
        </w:trPr>
        <w:tc>
          <w:tcPr>
            <w:tcW w:type="dxa" w:w="2675"/>
            <w:vAlign w:val="center"/>
          </w:tcPr>
          <w:p>
            <w:pPr>
              <w:spacing w:before="20" w:after="20" w:line="260" w:lineRule="auto"/>
              <w:ind w:firstLine="0"/>
              <w:jc w:val="left"/>
            </w:pPr>
            <w:r>
              <w:rPr>
                <w:sz w:val="20"/>
                <w:szCs w:val="20"/>
              </w:rPr>
              <w:t xml:space="preserve">Stage 07 – tồn kho</w:t>
            </w:r>
          </w:p>
        </w:tc>
        <w:tc>
          <w:tcPr>
            <w:tcW w:type="dxa" w:w="6396"/>
            <w:vAlign w:val="center"/>
          </w:tcPr>
          <w:p>
            <w:pPr>
              <w:spacing w:before="20" w:after="20" w:line="260" w:lineRule="auto"/>
              <w:ind w:firstLine="0"/>
              <w:jc w:val="left"/>
            </w:pPr>
            <w:r>
              <w:rPr>
                <w:sz w:val="20"/>
                <w:szCs w:val="20"/>
              </w:rPr>
              <w:t xml:space="preserve">Cu = 3; Co = 1; q* = 0,75; vị thế = 0,8 × P50; ROP = P90; nhãn r ≤ 0,35 LOW, ≤ 0,75 MEDIUM, còn lại HIGH</w:t>
            </w:r>
          </w:p>
        </w:tc>
      </w:tr>
      <w:tr>
        <w:trPr>
          <w:cantSplit/>
        </w:trPr>
        <w:tc>
          <w:tcPr>
            <w:tcW w:type="dxa" w:w="2675"/>
            <w:vAlign w:val="center"/>
          </w:tcPr>
          <w:p>
            <w:pPr>
              <w:spacing w:before="20" w:after="20" w:line="260" w:lineRule="auto"/>
              <w:ind w:firstLine="0"/>
              <w:jc w:val="left"/>
            </w:pPr>
            <w:r>
              <w:rPr>
                <w:sz w:val="20"/>
                <w:szCs w:val="20"/>
              </w:rPr>
              <w:t xml:space="preserve">Stage 08 – quyết định</w:t>
            </w:r>
          </w:p>
        </w:tc>
        <w:tc>
          <w:tcPr>
            <w:tcW w:type="dxa" w:w="6396"/>
            <w:vAlign w:val="center"/>
          </w:tcPr>
          <w:p>
            <w:pPr>
              <w:spacing w:before="20" w:after="20" w:line="260" w:lineRule="auto"/>
              <w:ind w:firstLine="0"/>
              <w:jc w:val="left"/>
            </w:pPr>
            <w:r>
              <w:rPr>
                <w:sz w:val="20"/>
                <w:szCs w:val="20"/>
              </w:rPr>
              <w:t xml:space="preserve">Phiếu cho 1.782 chuỗi; điểm ưu tiên LARGE_SERIES +3, RISK_HIGH +2, RISK_MEDIUM +1, PROMO_EXTRAPOLATION +1; RAG BM25 + tag (search k = 20 ứng viên, thưởng +1,5 mỗi tag trùng; trích dẫn bắt buộc các quy định quy tắc đã áp dụng cộng 1 kết quả truy xuất bổ sung); LLM tùy chọn (GENAI_MODEL mặc định gpt-5-mini, GENAI_MAX_CASES = 30) với kiểm tra bám bằng chứng; BRIEF_TOP = 30 phiếu Markdown</w:t>
            </w:r>
          </w:p>
        </w:tc>
      </w:tr>
      <w:tr>
        <w:trPr>
          <w:cantSplit/>
        </w:trPr>
        <w:tc>
          <w:tcPr>
            <w:tcW w:type="dxa" w:w="2675"/>
            <w:vAlign w:val="center"/>
          </w:tcPr>
          <w:p>
            <w:pPr>
              <w:spacing w:before="20" w:after="20" w:line="260" w:lineRule="auto"/>
              <w:ind w:firstLine="0"/>
              <w:jc w:val="left"/>
            </w:pPr>
            <w:r>
              <w:rPr>
                <w:sz w:val="20"/>
                <w:szCs w:val="20"/>
              </w:rPr>
              <w:t xml:space="preserve">Stage 13 – báo cáo</w:t>
            </w:r>
          </w:p>
        </w:tc>
        <w:tc>
          <w:tcPr>
            <w:tcW w:type="dxa" w:w="6396"/>
            <w:vAlign w:val="center"/>
          </w:tcPr>
          <w:p>
            <w:pPr>
              <w:spacing w:before="20" w:after="20" w:line="260" w:lineRule="auto"/>
              <w:ind w:firstLine="0"/>
              <w:jc w:val="left"/>
            </w:pPr>
            <w:r>
              <w:rPr>
                <w:sz w:val="20"/>
                <w:szCs w:val="20"/>
              </w:rPr>
              <w:t xml:space="preserve">Sinh REPORT_READY/tables (23 bảng CSV) và REPORT_READY/figures (27 hình: F01–F03, F05–F24, F25 × 4) từ outputs/</w:t>
            </w:r>
          </w:p>
        </w:tc>
      </w:tr>
      <w:tr>
        <w:trPr>
          <w:cantSplit/>
        </w:trPr>
        <w:tc>
          <w:tcPr>
            <w:tcW w:type="dxa" w:w="2675"/>
            <w:vAlign w:val="center"/>
          </w:tcPr>
          <w:p>
            <w:pPr>
              <w:spacing w:before="20" w:after="20" w:line="260" w:lineRule="auto"/>
              <w:ind w:firstLine="0"/>
              <w:jc w:val="left"/>
            </w:pPr>
            <w:r>
              <w:rPr>
                <w:sz w:val="20"/>
                <w:szCs w:val="20"/>
              </w:rPr>
              <w:t xml:space="preserve">Stage 14 – độ nhạy</w:t>
            </w:r>
          </w:p>
        </w:tc>
        <w:tc>
          <w:tcPr>
            <w:tcW w:type="dxa" w:w="6396"/>
            <w:vAlign w:val="center"/>
          </w:tcPr>
          <w:p>
            <w:pPr>
              <w:spacing w:before="20" w:after="20" w:line="260" w:lineRule="auto"/>
              <w:ind w:firstLine="0"/>
              <w:jc w:val="left"/>
            </w:pPr>
            <w:r>
              <w:rPr>
                <w:sz w:val="20"/>
                <w:szCs w:val="20"/>
              </w:rPr>
              <w:t xml:space="preserve">XGBoost mẫu 600.000 dòng; LightGBM không đặt subsample_freq; cùng 3 lần kiểm định của Stage 04</w:t>
            </w:r>
          </w:p>
        </w:tc>
      </w:tr>
    </w:tbl>
    <w:p>
      <w:pPr>
        <w:spacing w:before="40" w:after="160"/>
        <w:ind w:firstLine="0"/>
      </w:pPr>
      <w:r>
        <w:rPr>
          <w:i/>
          <w:sz w:val="22"/>
          <w:szCs w:val="22"/>
        </w:rPr>
        <w:t xml:space="preserve">Nguồn: mã nguồn Stage 03–14 trong thư mục đề tài.</w:t>
      </w:r>
    </w:p>
    <w:p>
      <w:pPr>
        <w:pStyle w:val="Heading3"/>
        <w:keepNext/>
      </w:pPr>
      <w:r>
        <w:t xml:space="preserve">D.2. Danh mục tệp kết quả của REPORT_READY</w:t>
      </w:r>
    </w:p>
    <w:p>
      <w:pPr>
        <w:keepLines w:val="0"/>
        <w:spacing w:after="120"/>
        <w:ind w:firstLine="567"/>
      </w:pPr>
      <w:r>
        <w:t xml:space="preserve">Bảng D.2 liệt kê các bảng CSV và hình trong thư mục REPORT_READY do Stage 13 sinh từ outputs/ của lần chạy chính thức. Số liệu trong các Chương 3–4 và các Phụ lục A–C truy ngược được về các tệp này, các tệp trong outputs/ của từng stage, mã nguồn hoặc tệp dữ liệu gốc stores.csv.</w:t>
      </w:r>
    </w:p>
    <w:p>
      <w:pPr>
        <w:keepNext/>
        <w:spacing w:before="120" w:after="60"/>
        <w:ind w:firstLine="0"/>
        <w:jc w:val="center"/>
      </w:pPr>
      <w:r>
        <w:t xml:space="preserve">Bảng D.2. Các bảng và hình trong REPORT_READY</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308"/>
        <w:gridCol w:w="2696"/>
        <w:gridCol w:w="5067"/>
      </w:tblGrid>
      <w:tr>
        <w:trPr>
          <w:tblHeader/>
          <w:cantSplit/>
        </w:trPr>
        <w:tc>
          <w:tcPr>
            <w:tcW w:type="dxa" w:w="1308"/>
            <w:shd w:val="clear" w:color="auto" w:fill="D9E2F3"/>
            <w:vAlign w:val="center"/>
          </w:tcPr>
          <w:p>
            <w:pPr>
              <w:spacing w:before="20" w:after="20" w:line="260" w:lineRule="auto"/>
              <w:ind w:firstLine="0"/>
              <w:jc w:val="center"/>
            </w:pPr>
            <w:r>
              <w:rPr>
                <w:b/>
                <w:sz w:val="20"/>
                <w:szCs w:val="20"/>
              </w:rPr>
              <w:t xml:space="preserve">Loại</w:t>
            </w:r>
          </w:p>
        </w:tc>
        <w:tc>
          <w:tcPr>
            <w:tcW w:type="dxa" w:w="2696"/>
            <w:shd w:val="clear" w:color="auto" w:fill="D9E2F3"/>
            <w:vAlign w:val="center"/>
          </w:tcPr>
          <w:p>
            <w:pPr>
              <w:spacing w:before="20" w:after="20" w:line="260" w:lineRule="auto"/>
              <w:ind w:firstLine="0"/>
              <w:jc w:val="center"/>
            </w:pPr>
            <w:r>
              <w:rPr>
                <w:b/>
                <w:sz w:val="20"/>
                <w:szCs w:val="20"/>
              </w:rPr>
              <w:t xml:space="preserve">Tệp</w:t>
            </w:r>
          </w:p>
        </w:tc>
        <w:tc>
          <w:tcPr>
            <w:tcW w:type="dxa" w:w="5067"/>
            <w:shd w:val="clear" w:color="auto" w:fill="D9E2F3"/>
            <w:vAlign w:val="center"/>
          </w:tcPr>
          <w:p>
            <w:pPr>
              <w:spacing w:before="20" w:after="20" w:line="260" w:lineRule="auto"/>
              <w:ind w:firstLine="0"/>
              <w:jc w:val="center"/>
            </w:pPr>
            <w:r>
              <w:rPr>
                <w:b/>
                <w:sz w:val="20"/>
                <w:szCs w:val="20"/>
              </w:rPr>
              <w:t xml:space="preserve">Nội dung</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01_data_quality.csv</w:t>
            </w:r>
          </w:p>
        </w:tc>
        <w:tc>
          <w:tcPr>
            <w:tcW w:type="dxa" w:w="5067"/>
            <w:vAlign w:val="center"/>
          </w:tcPr>
          <w:p>
            <w:pPr>
              <w:spacing w:before="20" w:after="20" w:line="260" w:lineRule="auto"/>
              <w:ind w:firstLine="0"/>
              <w:jc w:val="left"/>
            </w:pPr>
            <w:r>
              <w:rPr>
                <w:sz w:val="20"/>
                <w:szCs w:val="20"/>
              </w:rPr>
              <w:t xml:space="preserve">Kết quả kiểm tra chất lượng dữ liệu: số quan sát, phạm vi thời gian, giá trị thiếu, trùng lặp, tỷ lệ doanh số bằng 0 và tỷ lệ dòng có khuyến mãi.</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02_promotion_descriptive.csv</w:t>
            </w:r>
          </w:p>
        </w:tc>
        <w:tc>
          <w:tcPr>
            <w:tcW w:type="dxa" w:w="5067"/>
            <w:vAlign w:val="center"/>
          </w:tcPr>
          <w:p>
            <w:pPr>
              <w:spacing w:before="20" w:after="20" w:line="260" w:lineRule="auto"/>
              <w:ind w:firstLine="0"/>
              <w:jc w:val="left"/>
            </w:pPr>
            <w:r>
              <w:rPr>
                <w:sz w:val="20"/>
                <w:szCs w:val="20"/>
              </w:rPr>
              <w:t xml:space="preserve">Thống kê mô tả doanh số theo trạng thái có/không có khuyến mãi; chỉ mang tính mô tả.</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03_feature_list.csv</w:t>
            </w:r>
          </w:p>
        </w:tc>
        <w:tc>
          <w:tcPr>
            <w:tcW w:type="dxa" w:w="5067"/>
            <w:vAlign w:val="center"/>
          </w:tcPr>
          <w:p>
            <w:pPr>
              <w:spacing w:before="20" w:after="20" w:line="260" w:lineRule="auto"/>
              <w:ind w:firstLine="0"/>
              <w:jc w:val="left"/>
            </w:pPr>
            <w:r>
              <w:rPr>
                <w:sz w:val="20"/>
                <w:szCs w:val="20"/>
              </w:rPr>
              <w:t xml:space="preserve">Danh sách 31 đặc trưng được tạo ở Stage 03.</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05_model_cv_summary.csv</w:t>
            </w:r>
          </w:p>
        </w:tc>
        <w:tc>
          <w:tcPr>
            <w:tcW w:type="dxa" w:w="5067"/>
            <w:vAlign w:val="center"/>
          </w:tcPr>
          <w:p>
            <w:pPr>
              <w:spacing w:before="20" w:after="20" w:line="260" w:lineRule="auto"/>
              <w:ind w:firstLine="0"/>
              <w:jc w:val="left"/>
            </w:pPr>
            <w:r>
              <w:rPr>
                <w:sz w:val="20"/>
                <w:szCs w:val="20"/>
              </w:rPr>
              <w:t xml:space="preserve">Kết quả tổng hợp ba lần kiểm định chéo cuốn chiếu và mô hình được chọn.</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06_rolling_cv_metrics.csv</w:t>
            </w:r>
          </w:p>
        </w:tc>
        <w:tc>
          <w:tcPr>
            <w:tcW w:type="dxa" w:w="5067"/>
            <w:vAlign w:val="center"/>
          </w:tcPr>
          <w:p>
            <w:pPr>
              <w:spacing w:before="20" w:after="20" w:line="260" w:lineRule="auto"/>
              <w:ind w:firstLine="0"/>
              <w:jc w:val="left"/>
            </w:pPr>
            <w:r>
              <w:rPr>
                <w:sz w:val="20"/>
                <w:szCs w:val="20"/>
              </w:rPr>
              <w:t xml:space="preserve">Các thước đo theo từng lần kiểm định.</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07_final_holdout_metrics.csv</w:t>
            </w:r>
          </w:p>
        </w:tc>
        <w:tc>
          <w:tcPr>
            <w:tcW w:type="dxa" w:w="5067"/>
            <w:vAlign w:val="center"/>
          </w:tcPr>
          <w:p>
            <w:pPr>
              <w:spacing w:before="20" w:after="20" w:line="260" w:lineRule="auto"/>
              <w:ind w:firstLine="0"/>
              <w:jc w:val="left"/>
            </w:pPr>
            <w:r>
              <w:rPr>
                <w:sz w:val="20"/>
                <w:szCs w:val="20"/>
              </w:rPr>
              <w:t xml:space="preserve">Kết quả của năm mô hình trên tập kiểm tra cuối 16 ngày.</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08_cv_vs_holdout.csv</w:t>
            </w:r>
          </w:p>
        </w:tc>
        <w:tc>
          <w:tcPr>
            <w:tcW w:type="dxa" w:w="5067"/>
            <w:vAlign w:val="center"/>
          </w:tcPr>
          <w:p>
            <w:pPr>
              <w:spacing w:before="20" w:after="20" w:line="260" w:lineRule="auto"/>
              <w:ind w:firstLine="0"/>
              <w:jc w:val="left"/>
            </w:pPr>
            <w:r>
              <w:rPr>
                <w:sz w:val="20"/>
                <w:szCs w:val="20"/>
              </w:rPr>
              <w:t xml:space="preserve">So sánh WAPE kiểm định chéo và tập kiểm tra cuối.</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09_feature_importance.csv</w:t>
            </w:r>
          </w:p>
        </w:tc>
        <w:tc>
          <w:tcPr>
            <w:tcW w:type="dxa" w:w="5067"/>
            <w:vAlign w:val="center"/>
          </w:tcPr>
          <w:p>
            <w:pPr>
              <w:spacing w:before="20" w:after="20" w:line="260" w:lineRule="auto"/>
              <w:ind w:firstLine="0"/>
              <w:jc w:val="left"/>
            </w:pPr>
            <w:r>
              <w:rPr>
                <w:sz w:val="20"/>
                <w:szCs w:val="20"/>
              </w:rPr>
              <w:t xml:space="preserve">Số lần tách theo đặc trưng của mô hình đối chứng LightGBM; chỉ là chẩn đoán, không mang nghĩa nhân quả.</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10_actual_predicted_by_day.csv</w:t>
            </w:r>
          </w:p>
        </w:tc>
        <w:tc>
          <w:tcPr>
            <w:tcW w:type="dxa" w:w="5067"/>
            <w:vAlign w:val="center"/>
          </w:tcPr>
          <w:p>
            <w:pPr>
              <w:spacing w:before="20" w:after="20" w:line="260" w:lineRule="auto"/>
              <w:ind w:firstLine="0"/>
              <w:jc w:val="left"/>
            </w:pPr>
            <w:r>
              <w:rPr>
                <w:sz w:val="20"/>
                <w:szCs w:val="20"/>
              </w:rPr>
              <w:t xml:space="preserve">Tổng thực tế, dự báo điểm và MAE theo ngày trên tập kiểm tra cuối.</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11_error_by_demand_level.csv</w:t>
            </w:r>
          </w:p>
        </w:tc>
        <w:tc>
          <w:tcPr>
            <w:tcW w:type="dxa" w:w="5067"/>
            <w:vAlign w:val="center"/>
          </w:tcPr>
          <w:p>
            <w:pPr>
              <w:spacing w:before="20" w:after="20" w:line="260" w:lineRule="auto"/>
              <w:ind w:firstLine="0"/>
              <w:jc w:val="left"/>
            </w:pPr>
            <w:r>
              <w:rPr>
                <w:sz w:val="20"/>
                <w:szCs w:val="20"/>
              </w:rPr>
              <w:t xml:space="preserve">Sai số và độ bao phủ theo bốn mức nhu cầu.</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12_probabilistic_metrics.csv</w:t>
            </w:r>
          </w:p>
        </w:tc>
        <w:tc>
          <w:tcPr>
            <w:tcW w:type="dxa" w:w="5067"/>
            <w:vAlign w:val="center"/>
          </w:tcPr>
          <w:p>
            <w:pPr>
              <w:spacing w:before="20" w:after="20" w:line="260" w:lineRule="auto"/>
              <w:ind w:firstLine="0"/>
              <w:jc w:val="left"/>
            </w:pPr>
            <w:r>
              <w:rPr>
                <w:sz w:val="20"/>
                <w:szCs w:val="20"/>
              </w:rPr>
              <w:t xml:space="preserve">Pinball loss, độ bao phủ và độ rộng khoảng P10–P90.</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13_probabilistic_by_family.csv</w:t>
            </w:r>
          </w:p>
        </w:tc>
        <w:tc>
          <w:tcPr>
            <w:tcW w:type="dxa" w:w="5067"/>
            <w:vAlign w:val="center"/>
          </w:tcPr>
          <w:p>
            <w:pPr>
              <w:spacing w:before="20" w:after="20" w:line="260" w:lineRule="auto"/>
              <w:ind w:firstLine="0"/>
              <w:jc w:val="left"/>
            </w:pPr>
            <w:r>
              <w:rPr>
                <w:sz w:val="20"/>
                <w:szCs w:val="20"/>
              </w:rPr>
              <w:t xml:space="preserve">Độ bao phủ và độ rộng khoảng theo nhóm sản phẩm.</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14_probabilistic_by_series.csv</w:t>
            </w:r>
          </w:p>
        </w:tc>
        <w:tc>
          <w:tcPr>
            <w:tcW w:type="dxa" w:w="5067"/>
            <w:vAlign w:val="center"/>
          </w:tcPr>
          <w:p>
            <w:pPr>
              <w:spacing w:before="20" w:after="20" w:line="260" w:lineRule="auto"/>
              <w:ind w:firstLine="0"/>
              <w:jc w:val="left"/>
            </w:pPr>
            <w:r>
              <w:rPr>
                <w:sz w:val="20"/>
                <w:szCs w:val="20"/>
              </w:rPr>
              <w:t xml:space="preserve">Độ bao phủ và độ rộng khoảng theo chuỗi Store × Family.</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15_promotion_scenario_summary.csv</w:t>
            </w:r>
          </w:p>
        </w:tc>
        <w:tc>
          <w:tcPr>
            <w:tcW w:type="dxa" w:w="5067"/>
            <w:vAlign w:val="center"/>
          </w:tcPr>
          <w:p>
            <w:pPr>
              <w:spacing w:before="20" w:after="20" w:line="260" w:lineRule="auto"/>
              <w:ind w:firstLine="0"/>
              <w:jc w:val="left"/>
            </w:pPr>
            <w:r>
              <w:rPr>
                <w:sz w:val="20"/>
                <w:szCs w:val="20"/>
              </w:rPr>
              <w:t xml:space="preserve">P10/P50/P90 trung bình và chênh lệch trung bình theo năm kịch bản.</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16_top_promotion_sensitivity.csv</w:t>
            </w:r>
          </w:p>
        </w:tc>
        <w:tc>
          <w:tcPr>
            <w:tcW w:type="dxa" w:w="5067"/>
            <w:vAlign w:val="center"/>
          </w:tcPr>
          <w:p>
            <w:pPr>
              <w:spacing w:before="20" w:after="20" w:line="260" w:lineRule="auto"/>
              <w:ind w:firstLine="0"/>
              <w:jc w:val="left"/>
            </w:pPr>
            <w:r>
              <w:rPr>
                <w:sz w:val="20"/>
                <w:szCs w:val="20"/>
              </w:rPr>
              <w:t xml:space="preserve">Mười chuỗi có độ nhạy P50 lớn nhất theo kịch bản khuyến mãi.</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17_inventory_assumptions.csv</w:t>
            </w:r>
          </w:p>
        </w:tc>
        <w:tc>
          <w:tcPr>
            <w:tcW w:type="dxa" w:w="5067"/>
            <w:vAlign w:val="center"/>
          </w:tcPr>
          <w:p>
            <w:pPr>
              <w:spacing w:before="20" w:after="20" w:line="260" w:lineRule="auto"/>
              <w:ind w:firstLine="0"/>
              <w:jc w:val="left"/>
            </w:pPr>
            <w:r>
              <w:rPr>
                <w:sz w:val="20"/>
                <w:szCs w:val="20"/>
              </w:rPr>
              <w:t xml:space="preserve">Giả định Cu, Co và q* của lớp tồn kho.</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18_inventory_risk_counts.csv</w:t>
            </w:r>
          </w:p>
        </w:tc>
        <w:tc>
          <w:tcPr>
            <w:tcW w:type="dxa" w:w="5067"/>
            <w:vAlign w:val="center"/>
          </w:tcPr>
          <w:p>
            <w:pPr>
              <w:spacing w:before="20" w:after="20" w:line="260" w:lineRule="auto"/>
              <w:ind w:firstLine="0"/>
              <w:jc w:val="left"/>
            </w:pPr>
            <w:r>
              <w:rPr>
                <w:sz w:val="20"/>
                <w:szCs w:val="20"/>
              </w:rPr>
              <w:t xml:space="preserve">Số chuỗi theo nhãn rủi ro HIGH/MEDIUM/LOW.</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19_genai_run_status.csv</w:t>
            </w:r>
          </w:p>
        </w:tc>
        <w:tc>
          <w:tcPr>
            <w:tcW w:type="dxa" w:w="5067"/>
            <w:vAlign w:val="center"/>
          </w:tcPr>
          <w:p>
            <w:pPr>
              <w:spacing w:before="20" w:after="20" w:line="260" w:lineRule="auto"/>
              <w:ind w:firstLine="0"/>
              <w:jc w:val="left"/>
            </w:pPr>
            <w:r>
              <w:rPr>
                <w:sz w:val="20"/>
                <w:szCs w:val="20"/>
              </w:rPr>
              <w:t xml:space="preserve">Trạng thái chạy Stage 08: số phiếu, khóa API, chế độ diễn giải, số bản LLM bị loại.</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20_decision_queue_top20.csv</w:t>
            </w:r>
          </w:p>
        </w:tc>
        <w:tc>
          <w:tcPr>
            <w:tcW w:type="dxa" w:w="5067"/>
            <w:vAlign w:val="center"/>
          </w:tcPr>
          <w:p>
            <w:pPr>
              <w:spacing w:before="20" w:after="20" w:line="260" w:lineRule="auto"/>
              <w:ind w:firstLine="0"/>
              <w:jc w:val="left"/>
            </w:pPr>
            <w:r>
              <w:rPr>
                <w:sz w:val="20"/>
                <w:szCs w:val="20"/>
              </w:rPr>
              <w:t xml:space="preserve">Hai mươi phiếu đứng đầu hàng đợi ưu tiên của Stage 08.</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21_representative_cases.csv</w:t>
            </w:r>
          </w:p>
        </w:tc>
        <w:tc>
          <w:tcPr>
            <w:tcW w:type="dxa" w:w="5067"/>
            <w:vAlign w:val="center"/>
          </w:tcPr>
          <w:p>
            <w:pPr>
              <w:spacing w:before="20" w:after="20" w:line="260" w:lineRule="auto"/>
              <w:ind w:firstLine="0"/>
              <w:jc w:val="left"/>
            </w:pPr>
            <w:r>
              <w:rPr>
                <w:sz w:val="20"/>
                <w:szCs w:val="20"/>
              </w:rPr>
              <w:t xml:space="preserve">Bốn trường hợp đại diện được chọn tự động.</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22_conformal_bins.csv</w:t>
            </w:r>
          </w:p>
        </w:tc>
        <w:tc>
          <w:tcPr>
            <w:tcW w:type="dxa" w:w="5067"/>
            <w:vAlign w:val="center"/>
          </w:tcPr>
          <w:p>
            <w:pPr>
              <w:spacing w:before="20" w:after="20" w:line="260" w:lineRule="auto"/>
              <w:ind w:firstLine="0"/>
              <w:jc w:val="left"/>
            </w:pPr>
            <w:r>
              <w:rPr>
                <w:sz w:val="20"/>
                <w:szCs w:val="20"/>
              </w:rPr>
              <w:t xml:space="preserve">Các nhóm Mondrian của lớp xác suất: biên, số quan sát hiệu chỉnh và phân vị phần dư.</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error_by_family.csv</w:t>
            </w:r>
          </w:p>
        </w:tc>
        <w:tc>
          <w:tcPr>
            <w:tcW w:type="dxa" w:w="5067"/>
            <w:vAlign w:val="center"/>
          </w:tcPr>
          <w:p>
            <w:pPr>
              <w:spacing w:before="20" w:after="20" w:line="260" w:lineRule="auto"/>
              <w:ind w:firstLine="0"/>
              <w:jc w:val="left"/>
            </w:pPr>
            <w:r>
              <w:rPr>
                <w:sz w:val="20"/>
                <w:szCs w:val="20"/>
              </w:rPr>
              <w:t xml:space="preserve">Sai số và độ bao phủ theo 33 nhóm sản phẩm.</w:t>
            </w:r>
          </w:p>
        </w:tc>
      </w:tr>
      <w:tr>
        <w:trPr>
          <w:cantSplit/>
        </w:trPr>
        <w:tc>
          <w:tcPr>
            <w:tcW w:type="dxa" w:w="1308"/>
            <w:vAlign w:val="center"/>
          </w:tcPr>
          <w:p>
            <w:pPr>
              <w:spacing w:before="20" w:after="20" w:line="260" w:lineRule="auto"/>
              <w:ind w:firstLine="0"/>
              <w:jc w:val="left"/>
            </w:pPr>
            <w:r>
              <w:rPr>
                <w:sz w:val="20"/>
                <w:szCs w:val="20"/>
              </w:rPr>
              <w:t xml:space="preserve">Bảng CSV</w:t>
            </w:r>
          </w:p>
        </w:tc>
        <w:tc>
          <w:tcPr>
            <w:tcW w:type="dxa" w:w="2696"/>
            <w:vAlign w:val="center"/>
          </w:tcPr>
          <w:p>
            <w:pPr>
              <w:spacing w:before="20" w:after="20" w:line="260" w:lineRule="auto"/>
              <w:ind w:firstLine="0"/>
              <w:jc w:val="left"/>
            </w:pPr>
            <w:r>
              <w:rPr>
                <w:sz w:val="20"/>
                <w:szCs w:val="20"/>
              </w:rPr>
              <w:t xml:space="preserve">error_by_store.csv</w:t>
            </w:r>
          </w:p>
        </w:tc>
        <w:tc>
          <w:tcPr>
            <w:tcW w:type="dxa" w:w="5067"/>
            <w:vAlign w:val="center"/>
          </w:tcPr>
          <w:p>
            <w:pPr>
              <w:spacing w:before="20" w:after="20" w:line="260" w:lineRule="auto"/>
              <w:ind w:firstLine="0"/>
              <w:jc w:val="left"/>
            </w:pPr>
            <w:r>
              <w:rPr>
                <w:sz w:val="20"/>
                <w:szCs w:val="20"/>
              </w:rPr>
              <w:t xml:space="preserve">Sai số và độ bao phủ theo 54 cửa hàng.</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F01_data_scale.png</w:t>
            </w:r>
          </w:p>
        </w:tc>
        <w:tc>
          <w:tcPr>
            <w:tcW w:type="dxa" w:w="5067"/>
            <w:vAlign w:val="center"/>
          </w:tcPr>
          <w:p>
            <w:pPr>
              <w:spacing w:before="20" w:after="20" w:line="260" w:lineRule="auto"/>
              <w:ind w:firstLine="0"/>
              <w:jc w:val="left"/>
            </w:pPr>
            <w:r>
              <w:rPr>
                <w:sz w:val="20"/>
                <w:szCs w:val="20"/>
              </w:rPr>
              <w:t xml:space="preserve">Minh họa quy mô dữ liệu: số quan sát, cửa hàng, nhóm sản phẩm và chuỗi.</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F02_daily_sales.png</w:t>
            </w:r>
          </w:p>
        </w:tc>
        <w:tc>
          <w:tcPr>
            <w:tcW w:type="dxa" w:w="5067"/>
            <w:vAlign w:val="center"/>
          </w:tcPr>
          <w:p>
            <w:pPr>
              <w:spacing w:before="20" w:after="20" w:line="260" w:lineRule="auto"/>
              <w:ind w:firstLine="0"/>
              <w:jc w:val="left"/>
            </w:pPr>
            <w:r>
              <w:rPr>
                <w:sz w:val="20"/>
                <w:szCs w:val="20"/>
              </w:rPr>
              <w:t xml:space="preserve">Doanh số tổng theo ngày của toàn hệ thống.</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F03_weekday_pattern.png</w:t>
            </w:r>
          </w:p>
        </w:tc>
        <w:tc>
          <w:tcPr>
            <w:tcW w:type="dxa" w:w="5067"/>
            <w:vAlign w:val="center"/>
          </w:tcPr>
          <w:p>
            <w:pPr>
              <w:spacing w:before="20" w:after="20" w:line="260" w:lineRule="auto"/>
              <w:ind w:firstLine="0"/>
              <w:jc w:val="left"/>
            </w:pPr>
            <w:r>
              <w:rPr>
                <w:sz w:val="20"/>
                <w:szCs w:val="20"/>
              </w:rPr>
              <w:t xml:space="preserve">Doanh số tổng trung bình theo thứ trong tuần.</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F05_robust_stl.png</w:t>
            </w:r>
          </w:p>
        </w:tc>
        <w:tc>
          <w:tcPr>
            <w:tcW w:type="dxa" w:w="5067"/>
            <w:vAlign w:val="center"/>
          </w:tcPr>
          <w:p>
            <w:pPr>
              <w:spacing w:before="20" w:after="20" w:line="260" w:lineRule="auto"/>
              <w:ind w:firstLine="0"/>
              <w:jc w:val="left"/>
            </w:pPr>
            <w:r>
              <w:rPr>
                <w:sz w:val="20"/>
                <w:szCs w:val="20"/>
              </w:rPr>
              <w:t xml:space="preserve">Phân rã Robust STL của doanh số tổng theo ngày.</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F06_cv_model_comparison.png</w:t>
            </w:r>
          </w:p>
        </w:tc>
        <w:tc>
          <w:tcPr>
            <w:tcW w:type="dxa" w:w="5067"/>
            <w:vAlign w:val="center"/>
          </w:tcPr>
          <w:p>
            <w:pPr>
              <w:spacing w:before="20" w:after="20" w:line="260" w:lineRule="auto"/>
              <w:ind w:firstLine="0"/>
              <w:jc w:val="left"/>
            </w:pPr>
            <w:r>
              <w:rPr>
                <w:sz w:val="20"/>
                <w:szCs w:val="20"/>
              </w:rPr>
              <w:t xml:space="preserve">WAPE trung bình qua ba lần kiểm định của năm mô hình.</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F07_fold_stability.png</w:t>
            </w:r>
          </w:p>
        </w:tc>
        <w:tc>
          <w:tcPr>
            <w:tcW w:type="dxa" w:w="5067"/>
            <w:vAlign w:val="center"/>
          </w:tcPr>
          <w:p>
            <w:pPr>
              <w:spacing w:before="20" w:after="20" w:line="260" w:lineRule="auto"/>
              <w:ind w:firstLine="0"/>
              <w:jc w:val="left"/>
            </w:pPr>
            <w:r>
              <w:rPr>
                <w:sz w:val="20"/>
                <w:szCs w:val="20"/>
              </w:rPr>
              <w:t xml:space="preserve">Diễn biến WAPE qua ba lần kiểm định.</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F08_final_holdout.png</w:t>
            </w:r>
          </w:p>
        </w:tc>
        <w:tc>
          <w:tcPr>
            <w:tcW w:type="dxa" w:w="5067"/>
            <w:vAlign w:val="center"/>
          </w:tcPr>
          <w:p>
            <w:pPr>
              <w:spacing w:before="20" w:after="20" w:line="260" w:lineRule="auto"/>
              <w:ind w:firstLine="0"/>
              <w:jc w:val="left"/>
            </w:pPr>
            <w:r>
              <w:rPr>
                <w:sz w:val="20"/>
                <w:szCs w:val="20"/>
              </w:rPr>
              <w:t xml:space="preserve">WAPE của năm mô hình trên tập kiểm tra cuối.</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F09_cv_vs_holdout.png</w:t>
            </w:r>
          </w:p>
        </w:tc>
        <w:tc>
          <w:tcPr>
            <w:tcW w:type="dxa" w:w="5067"/>
            <w:vAlign w:val="center"/>
          </w:tcPr>
          <w:p>
            <w:pPr>
              <w:spacing w:before="20" w:after="20" w:line="260" w:lineRule="auto"/>
              <w:ind w:firstLine="0"/>
              <w:jc w:val="left"/>
            </w:pPr>
            <w:r>
              <w:rPr>
                <w:sz w:val="20"/>
                <w:szCs w:val="20"/>
              </w:rPr>
              <w:t xml:space="preserve">WAPE kiểm định chéo và tập kiểm tra cuối của năm mô hình.</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F10_feature_importance.png</w:t>
            </w:r>
          </w:p>
        </w:tc>
        <w:tc>
          <w:tcPr>
            <w:tcW w:type="dxa" w:w="5067"/>
            <w:vAlign w:val="center"/>
          </w:tcPr>
          <w:p>
            <w:pPr>
              <w:spacing w:before="20" w:after="20" w:line="260" w:lineRule="auto"/>
              <w:ind w:firstLine="0"/>
              <w:jc w:val="left"/>
            </w:pPr>
            <w:r>
              <w:rPr>
                <w:sz w:val="20"/>
                <w:szCs w:val="20"/>
              </w:rPr>
              <w:t xml:space="preserve">Hai mươi đặc trưng có số lần tách lớn nhất của LightGBM đối chứng.</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F11_actual_vs_forecast_daily.png</w:t>
            </w:r>
          </w:p>
        </w:tc>
        <w:tc>
          <w:tcPr>
            <w:tcW w:type="dxa" w:w="5067"/>
            <w:vAlign w:val="center"/>
          </w:tcPr>
          <w:p>
            <w:pPr>
              <w:spacing w:before="20" w:after="20" w:line="260" w:lineRule="auto"/>
              <w:ind w:firstLine="0"/>
              <w:jc w:val="left"/>
            </w:pPr>
            <w:r>
              <w:rPr>
                <w:sz w:val="20"/>
                <w:szCs w:val="20"/>
              </w:rPr>
              <w:t xml:space="preserve">Tổng thực tế, P50 và dải tổng P10–P90 theo ngày trên tập kiểm tra cuối.</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F12_actual_predicted_scatter.png</w:t>
            </w:r>
          </w:p>
        </w:tc>
        <w:tc>
          <w:tcPr>
            <w:tcW w:type="dxa" w:w="5067"/>
            <w:vAlign w:val="center"/>
          </w:tcPr>
          <w:p>
            <w:pPr>
              <w:spacing w:before="20" w:after="20" w:line="260" w:lineRule="auto"/>
              <w:ind w:firstLine="0"/>
              <w:jc w:val="left"/>
            </w:pPr>
            <w:r>
              <w:rPr>
                <w:sz w:val="20"/>
                <w:szCs w:val="20"/>
              </w:rPr>
              <w:t xml:space="preserve">Thực tế và dự báo ở cấp chuỗi – ngày.</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F13_residual_distribution.png</w:t>
            </w:r>
          </w:p>
        </w:tc>
        <w:tc>
          <w:tcPr>
            <w:tcW w:type="dxa" w:w="5067"/>
            <w:vAlign w:val="center"/>
          </w:tcPr>
          <w:p>
            <w:pPr>
              <w:spacing w:before="20" w:after="20" w:line="260" w:lineRule="auto"/>
              <w:ind w:firstLine="0"/>
              <w:jc w:val="left"/>
            </w:pPr>
            <w:r>
              <w:rPr>
                <w:sz w:val="20"/>
                <w:szCs w:val="20"/>
              </w:rPr>
              <w:t xml:space="preserve">Phân phối phần dư trên tập kiểm tra cuối.</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F14_error_vs_demand.png</w:t>
            </w:r>
          </w:p>
        </w:tc>
        <w:tc>
          <w:tcPr>
            <w:tcW w:type="dxa" w:w="5067"/>
            <w:vAlign w:val="center"/>
          </w:tcPr>
          <w:p>
            <w:pPr>
              <w:spacing w:before="20" w:after="20" w:line="260" w:lineRule="auto"/>
              <w:ind w:firstLine="0"/>
              <w:jc w:val="left"/>
            </w:pPr>
            <w:r>
              <w:rPr>
                <w:sz w:val="20"/>
                <w:szCs w:val="20"/>
              </w:rPr>
              <w:t xml:space="preserve">Sai số tuyệt đối theo quy mô doanh số thực tế.</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F15_wape_by_store.png</w:t>
            </w:r>
          </w:p>
        </w:tc>
        <w:tc>
          <w:tcPr>
            <w:tcW w:type="dxa" w:w="5067"/>
            <w:vAlign w:val="center"/>
          </w:tcPr>
          <w:p>
            <w:pPr>
              <w:spacing w:before="20" w:after="20" w:line="260" w:lineRule="auto"/>
              <w:ind w:firstLine="0"/>
              <w:jc w:val="left"/>
            </w:pPr>
            <w:r>
              <w:rPr>
                <w:sz w:val="20"/>
                <w:szCs w:val="20"/>
              </w:rPr>
              <w:t xml:space="preserve">Hai mươi cửa hàng có WAPE cao nhất.</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F16_wape_by_family.png</w:t>
            </w:r>
          </w:p>
        </w:tc>
        <w:tc>
          <w:tcPr>
            <w:tcW w:type="dxa" w:w="5067"/>
            <w:vAlign w:val="center"/>
          </w:tcPr>
          <w:p>
            <w:pPr>
              <w:spacing w:before="20" w:after="20" w:line="260" w:lineRule="auto"/>
              <w:ind w:firstLine="0"/>
              <w:jc w:val="left"/>
            </w:pPr>
            <w:r>
              <w:rPr>
                <w:sz w:val="20"/>
                <w:szCs w:val="20"/>
              </w:rPr>
              <w:t xml:space="preserve">Hai mươi nhóm sản phẩm có WAPE cao nhất.</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F17_error_by_demand_level.png</w:t>
            </w:r>
          </w:p>
        </w:tc>
        <w:tc>
          <w:tcPr>
            <w:tcW w:type="dxa" w:w="5067"/>
            <w:vAlign w:val="center"/>
          </w:tcPr>
          <w:p>
            <w:pPr>
              <w:spacing w:before="20" w:after="20" w:line="260" w:lineRule="auto"/>
              <w:ind w:firstLine="0"/>
              <w:jc w:val="left"/>
            </w:pPr>
            <w:r>
              <w:rPr>
                <w:sz w:val="20"/>
                <w:szCs w:val="20"/>
              </w:rPr>
              <w:t xml:space="preserve">WAPE (cột, thang logarit) và độ bao phủ P10–P90 (đường) theo bốn mức nhu cầu.</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F18_pinball_loss.png</w:t>
            </w:r>
          </w:p>
        </w:tc>
        <w:tc>
          <w:tcPr>
            <w:tcW w:type="dxa" w:w="5067"/>
            <w:vAlign w:val="center"/>
          </w:tcPr>
          <w:p>
            <w:pPr>
              <w:spacing w:before="20" w:after="20" w:line="260" w:lineRule="auto"/>
              <w:ind w:firstLine="0"/>
              <w:jc w:val="left"/>
            </w:pPr>
            <w:r>
              <w:rPr>
                <w:sz w:val="20"/>
                <w:szCs w:val="20"/>
              </w:rPr>
              <w:t xml:space="preserve">Pinball loss của P10, P50 và P90.</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F19_coverage_by_family.png</w:t>
            </w:r>
          </w:p>
        </w:tc>
        <w:tc>
          <w:tcPr>
            <w:tcW w:type="dxa" w:w="5067"/>
            <w:vAlign w:val="center"/>
          </w:tcPr>
          <w:p>
            <w:pPr>
              <w:spacing w:before="20" w:after="20" w:line="260" w:lineRule="auto"/>
              <w:ind w:firstLine="0"/>
              <w:jc w:val="left"/>
            </w:pPr>
            <w:r>
              <w:rPr>
                <w:sz w:val="20"/>
                <w:szCs w:val="20"/>
              </w:rPr>
              <w:t xml:space="preserve">Độ bao phủ P10–P90 theo nhóm sản phẩm, có đường tham chiếu mức danh nghĩa 80%.</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F20_interval_width_vs_demand.png</w:t>
            </w:r>
          </w:p>
        </w:tc>
        <w:tc>
          <w:tcPr>
            <w:tcW w:type="dxa" w:w="5067"/>
            <w:vAlign w:val="center"/>
          </w:tcPr>
          <w:p>
            <w:pPr>
              <w:spacing w:before="20" w:after="20" w:line="260" w:lineRule="auto"/>
              <w:ind w:firstLine="0"/>
              <w:jc w:val="left"/>
            </w:pPr>
            <w:r>
              <w:rPr>
                <w:sz w:val="20"/>
                <w:szCs w:val="20"/>
              </w:rPr>
              <w:t xml:space="preserve">Độ rộng khoảng P10–P90 theo quy mô doanh số của chuỗi.</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F21_promotion_scenarios.png</w:t>
            </w:r>
          </w:p>
        </w:tc>
        <w:tc>
          <w:tcPr>
            <w:tcW w:type="dxa" w:w="5067"/>
            <w:vAlign w:val="center"/>
          </w:tcPr>
          <w:p>
            <w:pPr>
              <w:spacing w:before="20" w:after="20" w:line="260" w:lineRule="auto"/>
              <w:ind w:firstLine="0"/>
              <w:jc w:val="left"/>
            </w:pPr>
            <w:r>
              <w:rPr>
                <w:sz w:val="20"/>
                <w:szCs w:val="20"/>
              </w:rPr>
              <w:t xml:space="preserve">P50 trung bình theo năm kịch bản khuyến mãi.</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F22_promotion_sensitivity.png</w:t>
            </w:r>
          </w:p>
        </w:tc>
        <w:tc>
          <w:tcPr>
            <w:tcW w:type="dxa" w:w="5067"/>
            <w:vAlign w:val="center"/>
          </w:tcPr>
          <w:p>
            <w:pPr>
              <w:spacing w:before="20" w:after="20" w:line="260" w:lineRule="auto"/>
              <w:ind w:firstLine="0"/>
              <w:jc w:val="left"/>
            </w:pPr>
            <w:r>
              <w:rPr>
                <w:sz w:val="20"/>
                <w:szCs w:val="20"/>
              </w:rPr>
              <w:t xml:space="preserve">Các chuỗi có độ nhạy P50 lớn nhất theo kịch bản khuyến mãi.</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F23_inventory_risk.png</w:t>
            </w:r>
          </w:p>
        </w:tc>
        <w:tc>
          <w:tcPr>
            <w:tcW w:type="dxa" w:w="5067"/>
            <w:vAlign w:val="center"/>
          </w:tcPr>
          <w:p>
            <w:pPr>
              <w:spacing w:before="20" w:after="20" w:line="260" w:lineRule="auto"/>
              <w:ind w:firstLine="0"/>
              <w:jc w:val="left"/>
            </w:pPr>
            <w:r>
              <w:rPr>
                <w:sz w:val="20"/>
                <w:szCs w:val="20"/>
              </w:rPr>
              <w:t xml:space="preserve">Phân bố số chuỗi theo nhãn rủi ro.</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F24_replenishment_distribution.png</w:t>
            </w:r>
          </w:p>
        </w:tc>
        <w:tc>
          <w:tcPr>
            <w:tcW w:type="dxa" w:w="5067"/>
            <w:vAlign w:val="center"/>
          </w:tcPr>
          <w:p>
            <w:pPr>
              <w:spacing w:before="20" w:after="20" w:line="260" w:lineRule="auto"/>
              <w:ind w:firstLine="0"/>
              <w:jc w:val="left"/>
            </w:pPr>
            <w:r>
              <w:rPr>
                <w:sz w:val="20"/>
                <w:szCs w:val="20"/>
              </w:rPr>
              <w:t xml:space="preserve">Phân phối lượng bổ sung gợi ý theo chuỗi.</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F25_case_bat_dinh_cao.png</w:t>
            </w:r>
          </w:p>
        </w:tc>
        <w:tc>
          <w:tcPr>
            <w:tcW w:type="dxa" w:w="5067"/>
            <w:vAlign w:val="center"/>
          </w:tcPr>
          <w:p>
            <w:pPr>
              <w:spacing w:before="20" w:after="20" w:line="260" w:lineRule="auto"/>
              <w:ind w:firstLine="0"/>
              <w:jc w:val="left"/>
            </w:pPr>
            <w:r>
              <w:rPr>
                <w:sz w:val="20"/>
                <w:szCs w:val="20"/>
              </w:rPr>
              <w:t xml:space="preserve">Trường hợp có độ rộng khoảng trung bình lớn nhất.</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F25_case_du_bao_kho.png</w:t>
            </w:r>
          </w:p>
        </w:tc>
        <w:tc>
          <w:tcPr>
            <w:tcW w:type="dxa" w:w="5067"/>
            <w:vAlign w:val="center"/>
          </w:tcPr>
          <w:p>
            <w:pPr>
              <w:spacing w:before="20" w:after="20" w:line="260" w:lineRule="auto"/>
              <w:ind w:firstLine="0"/>
              <w:jc w:val="left"/>
            </w:pPr>
            <w:r>
              <w:rPr>
                <w:sz w:val="20"/>
                <w:szCs w:val="20"/>
              </w:rPr>
              <w:t xml:space="preserve">Trường hợp dự báo khó (WAPE lớn nhất).</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F25_case_du_bao_tot.png</w:t>
            </w:r>
          </w:p>
        </w:tc>
        <w:tc>
          <w:tcPr>
            <w:tcW w:type="dxa" w:w="5067"/>
            <w:vAlign w:val="center"/>
          </w:tcPr>
          <w:p>
            <w:pPr>
              <w:spacing w:before="20" w:after="20" w:line="260" w:lineRule="auto"/>
              <w:ind w:firstLine="0"/>
              <w:jc w:val="left"/>
            </w:pPr>
            <w:r>
              <w:rPr>
                <w:sz w:val="20"/>
                <w:szCs w:val="20"/>
              </w:rPr>
              <w:t xml:space="preserve">Trường hợp dự báo tốt (WAPE nhỏ nhất).</w:t>
            </w:r>
          </w:p>
        </w:tc>
      </w:tr>
      <w:tr>
        <w:trPr>
          <w:cantSplit/>
        </w:trPr>
        <w:tc>
          <w:tcPr>
            <w:tcW w:type="dxa" w:w="1308"/>
            <w:vAlign w:val="center"/>
          </w:tcPr>
          <w:p>
            <w:pPr>
              <w:spacing w:before="20" w:after="20" w:line="260" w:lineRule="auto"/>
              <w:ind w:firstLine="0"/>
              <w:jc w:val="left"/>
            </w:pPr>
            <w:r>
              <w:rPr>
                <w:sz w:val="20"/>
                <w:szCs w:val="20"/>
              </w:rPr>
              <w:t xml:space="preserve">Hình</w:t>
            </w:r>
          </w:p>
        </w:tc>
        <w:tc>
          <w:tcPr>
            <w:tcW w:type="dxa" w:w="2696"/>
            <w:vAlign w:val="center"/>
          </w:tcPr>
          <w:p>
            <w:pPr>
              <w:spacing w:before="20" w:after="20" w:line="260" w:lineRule="auto"/>
              <w:ind w:firstLine="0"/>
              <w:jc w:val="left"/>
            </w:pPr>
            <w:r>
              <w:rPr>
                <w:sz w:val="20"/>
                <w:szCs w:val="20"/>
              </w:rPr>
              <w:t xml:space="preserve">F25_case_nhay_khuyen_mai.png</w:t>
            </w:r>
          </w:p>
        </w:tc>
        <w:tc>
          <w:tcPr>
            <w:tcW w:type="dxa" w:w="5067"/>
            <w:vAlign w:val="center"/>
          </w:tcPr>
          <w:p>
            <w:pPr>
              <w:spacing w:before="20" w:after="20" w:line="260" w:lineRule="auto"/>
              <w:ind w:firstLine="0"/>
              <w:jc w:val="left"/>
            </w:pPr>
            <w:r>
              <w:rPr>
                <w:sz w:val="20"/>
                <w:szCs w:val="20"/>
              </w:rPr>
              <w:t xml:space="preserve">Trường hợp nhạy nhất với kịch bản khuyến mãi (theo |Δ| tuyệt đối).</w:t>
            </w:r>
          </w:p>
        </w:tc>
      </w:tr>
    </w:tbl>
    <w:p>
      <w:pPr>
        <w:spacing w:before="40" w:after="160"/>
        <w:ind w:firstLine="0"/>
      </w:pPr>
      <w:r>
        <w:rPr>
          <w:i/>
          <w:sz w:val="22"/>
          <w:szCs w:val="22"/>
        </w:rPr>
        <w:t xml:space="preserve">Nguồn: thư mục REPORT_READY sau khi chạy 13_build_report_ready.py; cột nội dung do tác giả mô tả.</w:t>
      </w:r>
    </w:p>
    <w:p>
      <w:pPr>
        <w:pStyle w:val="Heading3"/>
        <w:keepNext/>
      </w:pPr>
      <w:r>
        <w:t xml:space="preserve">D.3. Nguyên tắc diễn giải kết quả</w:t>
      </w:r>
    </w:p>
    <w:p>
      <w:pPr>
        <w:keepLines w:val="0"/>
        <w:spacing w:after="60"/>
        <w:ind w:left="851" w:hanging="284"/>
      </w:pPr>
      <w:r>
        <w:t xml:space="preserve">–	Mô hình được chọn bằng kiểm định chéo cuốn chiếu theo thời gian trước khi đánh giá trên tập kiểm tra cuối; XGBoost có WAPE trung bình thấp nhất qua ba lần kiểm định (12,089%) và được khóa làm mô hình chính.</w:t>
      </w:r>
    </w:p>
    <w:p>
      <w:pPr>
        <w:keepLines w:val="0"/>
        <w:spacing w:after="60"/>
        <w:ind w:left="851" w:hanging="284"/>
      </w:pPr>
      <w:r>
        <w:t xml:space="preserve">–	Seasonal Naive được dự báo cố định tại gốc (không dùng dữ liệu trong kỳ dự báo) nên là đường cơ sở hợp lệ để đánh giá lợi ích của học máy.</w:t>
      </w:r>
    </w:p>
    <w:p>
      <w:pPr>
        <w:keepLines w:val="0"/>
        <w:spacing w:after="60"/>
        <w:ind w:left="851" w:hanging="284"/>
      </w:pPr>
      <w:r>
        <w:t xml:space="preserve">–	Mức độ quan trọng đặc trưng (số lần tách của LightGBM, gain của XGBoost) là chẩn đoán dự báo, không phải bằng chứng nhân quả.</w:t>
      </w:r>
    </w:p>
    <w:p>
      <w:pPr>
        <w:keepLines w:val="0"/>
        <w:spacing w:after="60"/>
        <w:ind w:left="851" w:hanging="284"/>
      </w:pPr>
      <w:r>
        <w:t xml:space="preserve">–	Kịch bản khuyến mãi là dự báo có điều kiện khi thay đổi onpromotion; chênh lệch không phải tác động nhân quả và không phải phần trăm giảm giá; các chuỗi có |Δ| &gt; 100% được coi là ngoại suy.</w:t>
      </w:r>
    </w:p>
    <w:p>
      <w:pPr>
        <w:keepLines w:val="0"/>
        <w:spacing w:after="60"/>
        <w:ind w:left="851" w:hanging="284"/>
      </w:pPr>
      <w:r>
        <w:t xml:space="preserve">–	P10/P50/P90 theo ngày mô tả bất định; tổng theo kỳ hoặc theo nhóm chỉ mang tính mô tả. Bao phủ tổng của lần chạy là 75,40%, thấp hơn mức danh nghĩa 80%.</w:t>
      </w:r>
    </w:p>
    <w:p>
      <w:pPr>
        <w:keepLines w:val="0"/>
        <w:spacing w:after="60"/>
        <w:ind w:left="851" w:hanging="284"/>
      </w:pPr>
      <w:r>
        <w:t xml:space="preserve">–	Nhãn rủi ro tồn kho là chỉ báo bất định tương đối theo r = (P90 − P10)/(P50 + 1) và vẫn gắn với quy mô chuỗi; mọi đại lượng tồn kho là mô phỏng theo giả định vì không có tồn kho thực, thời gian cung ứng và chi phí.</w:t>
      </w:r>
    </w:p>
    <w:p>
      <w:pPr>
        <w:keepLines w:val="0"/>
        <w:spacing w:after="60"/>
        <w:ind w:left="851" w:hanging="284"/>
      </w:pPr>
      <w:r>
        <w:t xml:space="preserve">–	Lớp Generative AI của lần chạy hoạt động bằng bộ máy quy tắc có căn cứ; luồng mô hình ngôn ngữ và kiểm tra bám bằng chứng mới được kiểm thử bằng mô phỏng. Mọi phiếu cần con người phê duyệt; chính sách trong knowledge_base là chính sách mẫu, giả định.</w:t>
      </w:r>
    </w:p>
    <w:p>
      <w:pPr>
        <w:pStyle w:val="Heading1"/>
        <w:pageBreakBefore/>
      </w:pPr>
      <w:r>
        <w:t xml:space="preserve">PHỤ LỤC E. THÍ NGHIỆM ĐỘ NHẠY VÀ KIỂM THỬ</w:t>
      </w:r>
    </w:p>
    <w:p>
      <w:pPr>
        <w:keepLines w:val="0"/>
        <w:spacing w:after="120"/>
        <w:ind w:firstLine="567"/>
      </w:pPr>
      <w:r>
        <w:t xml:space="preserve">Phụ lục E trình bày chi tiết thí nghiệm độ nhạy của hai lựa chọn thiết kế (Stage 14) và kết quả các kiểm thử của quy trình. Thí nghiệm dùng đúng ba lần kiểm định chéo cuốn chiếu và cùng bộ đặc trưng của Stage 04; mỗi cấu hình chỉ thay đổi một yếu tố so với cấu hình chính thức: (a) XGBoost huấn luyện trên mẫu ngẫu nhiên 600.000 dòng thay vì toàn bộ dữ liệu huấn luyện; (b) LightGBM không đặt subsample_freq, khi đó tham số subsample = 0,85 không có hiệu lực. Bảng E.1 trình bày WAPE, Bảng E.2 trình bày RMSE và thời gian huấn luyện trung bình theo từng cấu hình.</w:t>
      </w:r>
    </w:p>
    <w:p>
      <w:pPr>
        <w:keepNext/>
        <w:spacing w:before="120" w:after="60"/>
        <w:ind w:firstLine="0"/>
        <w:jc w:val="center"/>
      </w:pPr>
      <w:r>
        <w:t xml:space="preserve">Bảng E.1. Thí nghiệm độ nhạy: WAPE theo từng lần kiểm định và trung bình</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400"/>
        <w:gridCol w:w="1945"/>
        <w:gridCol w:w="1147"/>
        <w:gridCol w:w="1147"/>
        <w:gridCol w:w="1147"/>
        <w:gridCol w:w="1285"/>
      </w:tblGrid>
      <w:tr>
        <w:trPr>
          <w:tblHeader/>
          <w:cantSplit/>
        </w:trPr>
        <w:tc>
          <w:tcPr>
            <w:tcW w:type="dxa" w:w="2400"/>
            <w:shd w:val="clear" w:color="auto" w:fill="D9E2F3"/>
            <w:vAlign w:val="center"/>
          </w:tcPr>
          <w:p>
            <w:pPr>
              <w:spacing w:before="20" w:after="20" w:line="260" w:lineRule="auto"/>
              <w:ind w:firstLine="0"/>
              <w:jc w:val="center"/>
            </w:pPr>
            <w:r>
              <w:rPr>
                <w:b/>
                <w:sz w:val="20"/>
                <w:szCs w:val="20"/>
              </w:rPr>
              <w:t xml:space="preserve">Cấu hình</w:t>
            </w:r>
          </w:p>
        </w:tc>
        <w:tc>
          <w:tcPr>
            <w:tcW w:type="dxa" w:w="1945"/>
            <w:shd w:val="clear" w:color="auto" w:fill="D9E2F3"/>
            <w:vAlign w:val="center"/>
          </w:tcPr>
          <w:p>
            <w:pPr>
              <w:spacing w:before="20" w:after="20" w:line="260" w:lineRule="auto"/>
              <w:ind w:firstLine="0"/>
              <w:jc w:val="center"/>
            </w:pPr>
            <w:r>
              <w:rPr>
                <w:b/>
                <w:sz w:val="20"/>
                <w:szCs w:val="20"/>
              </w:rPr>
              <w:t xml:space="preserve">Dòng huấn luyện (lần 3)</w:t>
            </w:r>
          </w:p>
        </w:tc>
        <w:tc>
          <w:tcPr>
            <w:tcW w:type="dxa" w:w="1147"/>
            <w:shd w:val="clear" w:color="auto" w:fill="D9E2F3"/>
            <w:vAlign w:val="center"/>
          </w:tcPr>
          <w:p>
            <w:pPr>
              <w:spacing w:before="20" w:after="20" w:line="260" w:lineRule="auto"/>
              <w:ind w:firstLine="0"/>
              <w:jc w:val="center"/>
            </w:pPr>
            <w:r>
              <w:rPr>
                <w:b/>
                <w:sz w:val="20"/>
                <w:szCs w:val="20"/>
              </w:rPr>
              <w:t xml:space="preserve">Lần 1</w:t>
            </w:r>
          </w:p>
        </w:tc>
        <w:tc>
          <w:tcPr>
            <w:tcW w:type="dxa" w:w="1147"/>
            <w:shd w:val="clear" w:color="auto" w:fill="D9E2F3"/>
            <w:vAlign w:val="center"/>
          </w:tcPr>
          <w:p>
            <w:pPr>
              <w:spacing w:before="20" w:after="20" w:line="260" w:lineRule="auto"/>
              <w:ind w:firstLine="0"/>
              <w:jc w:val="center"/>
            </w:pPr>
            <w:r>
              <w:rPr>
                <w:b/>
                <w:sz w:val="20"/>
                <w:szCs w:val="20"/>
              </w:rPr>
              <w:t xml:space="preserve">Lần 2</w:t>
            </w:r>
          </w:p>
        </w:tc>
        <w:tc>
          <w:tcPr>
            <w:tcW w:type="dxa" w:w="1147"/>
            <w:shd w:val="clear" w:color="auto" w:fill="D9E2F3"/>
            <w:vAlign w:val="center"/>
          </w:tcPr>
          <w:p>
            <w:pPr>
              <w:spacing w:before="20" w:after="20" w:line="260" w:lineRule="auto"/>
              <w:ind w:firstLine="0"/>
              <w:jc w:val="center"/>
            </w:pPr>
            <w:r>
              <w:rPr>
                <w:b/>
                <w:sz w:val="20"/>
                <w:szCs w:val="20"/>
              </w:rPr>
              <w:t xml:space="preserve">Lần 3</w:t>
            </w:r>
          </w:p>
        </w:tc>
        <w:tc>
          <w:tcPr>
            <w:tcW w:type="dxa" w:w="1285"/>
            <w:shd w:val="clear" w:color="auto" w:fill="D9E2F3"/>
            <w:vAlign w:val="center"/>
          </w:tcPr>
          <w:p>
            <w:pPr>
              <w:spacing w:before="20" w:after="20" w:line="260" w:lineRule="auto"/>
              <w:ind w:firstLine="0"/>
              <w:jc w:val="center"/>
            </w:pPr>
            <w:r>
              <w:rPr>
                <w:b/>
                <w:sz w:val="20"/>
                <w:szCs w:val="20"/>
              </w:rPr>
              <w:t xml:space="preserve">Trung bình</w:t>
            </w:r>
          </w:p>
        </w:tc>
      </w:tr>
      <w:tr>
        <w:trPr>
          <w:cantSplit/>
        </w:trPr>
        <w:tc>
          <w:tcPr>
            <w:tcW w:type="dxa" w:w="2400"/>
            <w:vAlign w:val="center"/>
          </w:tcPr>
          <w:p>
            <w:pPr>
              <w:spacing w:before="20" w:after="20" w:line="260" w:lineRule="auto"/>
              <w:ind w:firstLine="0"/>
              <w:jc w:val="left"/>
            </w:pPr>
            <w:r>
              <w:rPr>
                <w:sz w:val="20"/>
                <w:szCs w:val="20"/>
              </w:rPr>
              <w:t xml:space="preserve">XGBoost · cấu hình chính thức</w:t>
            </w:r>
          </w:p>
        </w:tc>
        <w:tc>
          <w:tcPr>
            <w:tcW w:type="dxa" w:w="1945"/>
            <w:vAlign w:val="center"/>
          </w:tcPr>
          <w:p>
            <w:pPr>
              <w:spacing w:before="20" w:after="20" w:line="260" w:lineRule="auto"/>
              <w:ind w:firstLine="0"/>
              <w:jc w:val="center"/>
            </w:pPr>
            <w:r>
              <w:rPr>
                <w:sz w:val="20"/>
                <w:szCs w:val="20"/>
              </w:rPr>
              <w:t xml:space="preserve">2.632.476</w:t>
            </w:r>
          </w:p>
        </w:tc>
        <w:tc>
          <w:tcPr>
            <w:tcW w:type="dxa" w:w="1147"/>
            <w:vAlign w:val="center"/>
          </w:tcPr>
          <w:p>
            <w:pPr>
              <w:spacing w:before="20" w:after="20" w:line="260" w:lineRule="auto"/>
              <w:ind w:firstLine="0"/>
              <w:jc w:val="center"/>
            </w:pPr>
            <w:r>
              <w:rPr>
                <w:sz w:val="20"/>
                <w:szCs w:val="20"/>
              </w:rPr>
              <w:t xml:space="preserve">12,393%</w:t>
            </w:r>
          </w:p>
        </w:tc>
        <w:tc>
          <w:tcPr>
            <w:tcW w:type="dxa" w:w="1147"/>
            <w:vAlign w:val="center"/>
          </w:tcPr>
          <w:p>
            <w:pPr>
              <w:spacing w:before="20" w:after="20" w:line="260" w:lineRule="auto"/>
              <w:ind w:firstLine="0"/>
              <w:jc w:val="center"/>
            </w:pPr>
            <w:r>
              <w:rPr>
                <w:sz w:val="20"/>
                <w:szCs w:val="20"/>
              </w:rPr>
              <w:t xml:space="preserve">11,348%</w:t>
            </w:r>
          </w:p>
        </w:tc>
        <w:tc>
          <w:tcPr>
            <w:tcW w:type="dxa" w:w="1147"/>
            <w:vAlign w:val="center"/>
          </w:tcPr>
          <w:p>
            <w:pPr>
              <w:spacing w:before="20" w:after="20" w:line="260" w:lineRule="auto"/>
              <w:ind w:firstLine="0"/>
              <w:jc w:val="center"/>
            </w:pPr>
            <w:r>
              <w:rPr>
                <w:sz w:val="20"/>
                <w:szCs w:val="20"/>
              </w:rPr>
              <w:t xml:space="preserve">12,527%</w:t>
            </w:r>
          </w:p>
        </w:tc>
        <w:tc>
          <w:tcPr>
            <w:tcW w:type="dxa" w:w="1285"/>
            <w:vAlign w:val="center"/>
          </w:tcPr>
          <w:p>
            <w:pPr>
              <w:spacing w:before="20" w:after="20" w:line="260" w:lineRule="auto"/>
              <w:ind w:firstLine="0"/>
              <w:jc w:val="center"/>
            </w:pPr>
            <w:r>
              <w:rPr>
                <w:sz w:val="20"/>
                <w:szCs w:val="20"/>
              </w:rPr>
              <w:t xml:space="preserve">12,089%</w:t>
            </w:r>
          </w:p>
        </w:tc>
      </w:tr>
      <w:tr>
        <w:trPr>
          <w:cantSplit/>
        </w:trPr>
        <w:tc>
          <w:tcPr>
            <w:tcW w:type="dxa" w:w="2400"/>
            <w:vAlign w:val="center"/>
          </w:tcPr>
          <w:p>
            <w:pPr>
              <w:spacing w:before="20" w:after="20" w:line="260" w:lineRule="auto"/>
              <w:ind w:firstLine="0"/>
              <w:jc w:val="left"/>
            </w:pPr>
            <w:r>
              <w:rPr>
                <w:sz w:val="20"/>
                <w:szCs w:val="20"/>
              </w:rPr>
              <w:t xml:space="preserve">XGBoost · mẫu 600.000 dòng</w:t>
            </w:r>
          </w:p>
        </w:tc>
        <w:tc>
          <w:tcPr>
            <w:tcW w:type="dxa" w:w="1945"/>
            <w:vAlign w:val="center"/>
          </w:tcPr>
          <w:p>
            <w:pPr>
              <w:spacing w:before="20" w:after="20" w:line="260" w:lineRule="auto"/>
              <w:ind w:firstLine="0"/>
              <w:jc w:val="center"/>
            </w:pPr>
            <w:r>
              <w:rPr>
                <w:sz w:val="20"/>
                <w:szCs w:val="20"/>
              </w:rPr>
              <w:t xml:space="preserve">600.000</w:t>
            </w:r>
          </w:p>
        </w:tc>
        <w:tc>
          <w:tcPr>
            <w:tcW w:type="dxa" w:w="1147"/>
            <w:vAlign w:val="center"/>
          </w:tcPr>
          <w:p>
            <w:pPr>
              <w:spacing w:before="20" w:after="20" w:line="260" w:lineRule="auto"/>
              <w:ind w:firstLine="0"/>
              <w:jc w:val="center"/>
            </w:pPr>
            <w:r>
              <w:rPr>
                <w:sz w:val="20"/>
                <w:szCs w:val="20"/>
              </w:rPr>
              <w:t xml:space="preserve">12,655%</w:t>
            </w:r>
          </w:p>
        </w:tc>
        <w:tc>
          <w:tcPr>
            <w:tcW w:type="dxa" w:w="1147"/>
            <w:vAlign w:val="center"/>
          </w:tcPr>
          <w:p>
            <w:pPr>
              <w:spacing w:before="20" w:after="20" w:line="260" w:lineRule="auto"/>
              <w:ind w:firstLine="0"/>
              <w:jc w:val="center"/>
            </w:pPr>
            <w:r>
              <w:rPr>
                <w:sz w:val="20"/>
                <w:szCs w:val="20"/>
              </w:rPr>
              <w:t xml:space="preserve">11,295%</w:t>
            </w:r>
          </w:p>
        </w:tc>
        <w:tc>
          <w:tcPr>
            <w:tcW w:type="dxa" w:w="1147"/>
            <w:vAlign w:val="center"/>
          </w:tcPr>
          <w:p>
            <w:pPr>
              <w:spacing w:before="20" w:after="20" w:line="260" w:lineRule="auto"/>
              <w:ind w:firstLine="0"/>
              <w:jc w:val="center"/>
            </w:pPr>
            <w:r>
              <w:rPr>
                <w:sz w:val="20"/>
                <w:szCs w:val="20"/>
              </w:rPr>
              <w:t xml:space="preserve">12,825%</w:t>
            </w:r>
          </w:p>
        </w:tc>
        <w:tc>
          <w:tcPr>
            <w:tcW w:type="dxa" w:w="1285"/>
            <w:vAlign w:val="center"/>
          </w:tcPr>
          <w:p>
            <w:pPr>
              <w:spacing w:before="20" w:after="20" w:line="260" w:lineRule="auto"/>
              <w:ind w:firstLine="0"/>
              <w:jc w:val="center"/>
            </w:pPr>
            <w:r>
              <w:rPr>
                <w:sz w:val="20"/>
                <w:szCs w:val="20"/>
              </w:rPr>
              <w:t xml:space="preserve">12,258%</w:t>
            </w:r>
          </w:p>
        </w:tc>
      </w:tr>
      <w:tr>
        <w:trPr>
          <w:cantSplit/>
        </w:trPr>
        <w:tc>
          <w:tcPr>
            <w:tcW w:type="dxa" w:w="2400"/>
            <w:vAlign w:val="center"/>
          </w:tcPr>
          <w:p>
            <w:pPr>
              <w:spacing w:before="20" w:after="20" w:line="260" w:lineRule="auto"/>
              <w:ind w:firstLine="0"/>
              <w:jc w:val="left"/>
            </w:pPr>
            <w:r>
              <w:rPr>
                <w:sz w:val="20"/>
                <w:szCs w:val="20"/>
              </w:rPr>
              <w:t xml:space="preserve">LightGBM · cấu hình chính thức</w:t>
            </w:r>
          </w:p>
        </w:tc>
        <w:tc>
          <w:tcPr>
            <w:tcW w:type="dxa" w:w="1945"/>
            <w:vAlign w:val="center"/>
          </w:tcPr>
          <w:p>
            <w:pPr>
              <w:spacing w:before="20" w:after="20" w:line="260" w:lineRule="auto"/>
              <w:ind w:firstLine="0"/>
              <w:jc w:val="center"/>
            </w:pPr>
            <w:r>
              <w:rPr>
                <w:sz w:val="20"/>
                <w:szCs w:val="20"/>
              </w:rPr>
              <w:t xml:space="preserve">2.632.476</w:t>
            </w:r>
          </w:p>
        </w:tc>
        <w:tc>
          <w:tcPr>
            <w:tcW w:type="dxa" w:w="1147"/>
            <w:vAlign w:val="center"/>
          </w:tcPr>
          <w:p>
            <w:pPr>
              <w:spacing w:before="20" w:after="20" w:line="260" w:lineRule="auto"/>
              <w:ind w:firstLine="0"/>
              <w:jc w:val="center"/>
            </w:pPr>
            <w:r>
              <w:rPr>
                <w:sz w:val="20"/>
                <w:szCs w:val="20"/>
              </w:rPr>
              <w:t xml:space="preserve">12,863%</w:t>
            </w:r>
          </w:p>
        </w:tc>
        <w:tc>
          <w:tcPr>
            <w:tcW w:type="dxa" w:w="1147"/>
            <w:vAlign w:val="center"/>
          </w:tcPr>
          <w:p>
            <w:pPr>
              <w:spacing w:before="20" w:after="20" w:line="260" w:lineRule="auto"/>
              <w:ind w:firstLine="0"/>
              <w:jc w:val="center"/>
            </w:pPr>
            <w:r>
              <w:rPr>
                <w:sz w:val="20"/>
                <w:szCs w:val="20"/>
              </w:rPr>
              <w:t xml:space="preserve">11,991%</w:t>
            </w:r>
          </w:p>
        </w:tc>
        <w:tc>
          <w:tcPr>
            <w:tcW w:type="dxa" w:w="1147"/>
            <w:vAlign w:val="center"/>
          </w:tcPr>
          <w:p>
            <w:pPr>
              <w:spacing w:before="20" w:after="20" w:line="260" w:lineRule="auto"/>
              <w:ind w:firstLine="0"/>
              <w:jc w:val="center"/>
            </w:pPr>
            <w:r>
              <w:rPr>
                <w:sz w:val="20"/>
                <w:szCs w:val="20"/>
              </w:rPr>
              <w:t xml:space="preserve">12,849%</w:t>
            </w:r>
          </w:p>
        </w:tc>
        <w:tc>
          <w:tcPr>
            <w:tcW w:type="dxa" w:w="1285"/>
            <w:vAlign w:val="center"/>
          </w:tcPr>
          <w:p>
            <w:pPr>
              <w:spacing w:before="20" w:after="20" w:line="260" w:lineRule="auto"/>
              <w:ind w:firstLine="0"/>
              <w:jc w:val="center"/>
            </w:pPr>
            <w:r>
              <w:rPr>
                <w:sz w:val="20"/>
                <w:szCs w:val="20"/>
              </w:rPr>
              <w:t xml:space="preserve">12,568%</w:t>
            </w:r>
          </w:p>
        </w:tc>
      </w:tr>
      <w:tr>
        <w:trPr>
          <w:cantSplit/>
        </w:trPr>
        <w:tc>
          <w:tcPr>
            <w:tcW w:type="dxa" w:w="2400"/>
            <w:vAlign w:val="center"/>
          </w:tcPr>
          <w:p>
            <w:pPr>
              <w:spacing w:before="20" w:after="20" w:line="260" w:lineRule="auto"/>
              <w:ind w:firstLine="0"/>
              <w:jc w:val="left"/>
            </w:pPr>
            <w:r>
              <w:rPr>
                <w:sz w:val="20"/>
                <w:szCs w:val="20"/>
              </w:rPr>
              <w:t xml:space="preserve">LightGBM · không đặt subsample_freq</w:t>
            </w:r>
          </w:p>
        </w:tc>
        <w:tc>
          <w:tcPr>
            <w:tcW w:type="dxa" w:w="1945"/>
            <w:vAlign w:val="center"/>
          </w:tcPr>
          <w:p>
            <w:pPr>
              <w:spacing w:before="20" w:after="20" w:line="260" w:lineRule="auto"/>
              <w:ind w:firstLine="0"/>
              <w:jc w:val="center"/>
            </w:pPr>
            <w:r>
              <w:rPr>
                <w:sz w:val="20"/>
                <w:szCs w:val="20"/>
              </w:rPr>
              <w:t xml:space="preserve">2.632.476</w:t>
            </w:r>
          </w:p>
        </w:tc>
        <w:tc>
          <w:tcPr>
            <w:tcW w:type="dxa" w:w="1147"/>
            <w:vAlign w:val="center"/>
          </w:tcPr>
          <w:p>
            <w:pPr>
              <w:spacing w:before="20" w:after="20" w:line="260" w:lineRule="auto"/>
              <w:ind w:firstLine="0"/>
              <w:jc w:val="center"/>
            </w:pPr>
            <w:r>
              <w:rPr>
                <w:sz w:val="20"/>
                <w:szCs w:val="20"/>
              </w:rPr>
              <w:t xml:space="preserve">12,999%</w:t>
            </w:r>
          </w:p>
        </w:tc>
        <w:tc>
          <w:tcPr>
            <w:tcW w:type="dxa" w:w="1147"/>
            <w:vAlign w:val="center"/>
          </w:tcPr>
          <w:p>
            <w:pPr>
              <w:spacing w:before="20" w:after="20" w:line="260" w:lineRule="auto"/>
              <w:ind w:firstLine="0"/>
              <w:jc w:val="center"/>
            </w:pPr>
            <w:r>
              <w:rPr>
                <w:sz w:val="20"/>
                <w:szCs w:val="20"/>
              </w:rPr>
              <w:t xml:space="preserve">11,976%</w:t>
            </w:r>
          </w:p>
        </w:tc>
        <w:tc>
          <w:tcPr>
            <w:tcW w:type="dxa" w:w="1147"/>
            <w:vAlign w:val="center"/>
          </w:tcPr>
          <w:p>
            <w:pPr>
              <w:spacing w:before="20" w:after="20" w:line="260" w:lineRule="auto"/>
              <w:ind w:firstLine="0"/>
              <w:jc w:val="center"/>
            </w:pPr>
            <w:r>
              <w:rPr>
                <w:sz w:val="20"/>
                <w:szCs w:val="20"/>
              </w:rPr>
              <w:t xml:space="preserve">12,808%</w:t>
            </w:r>
          </w:p>
        </w:tc>
        <w:tc>
          <w:tcPr>
            <w:tcW w:type="dxa" w:w="1285"/>
            <w:vAlign w:val="center"/>
          </w:tcPr>
          <w:p>
            <w:pPr>
              <w:spacing w:before="20" w:after="20" w:line="260" w:lineRule="auto"/>
              <w:ind w:firstLine="0"/>
              <w:jc w:val="center"/>
            </w:pPr>
            <w:r>
              <w:rPr>
                <w:sz w:val="20"/>
                <w:szCs w:val="20"/>
              </w:rPr>
              <w:t xml:space="preserve">12,594%</w:t>
            </w:r>
          </w:p>
        </w:tc>
      </w:tr>
    </w:tbl>
    <w:p>
      <w:pPr>
        <w:spacing w:before="40" w:after="160"/>
        <w:ind w:firstLine="0"/>
      </w:pPr>
      <w:r>
        <w:rPr>
          <w:i/>
          <w:sz w:val="22"/>
          <w:szCs w:val="22"/>
        </w:rPr>
        <w:t xml:space="preserve">Nguồn: outputs/14_sensitivity/sensitivity_cv.csv (14_sensitivity_experiments.py); dòng cấu hình chính thức lấy từ rolling_cv_metrics.csv của Stage 04.</w:t>
      </w:r>
    </w:p>
    <w:p>
      <w:pPr>
        <w:keepNext/>
        <w:spacing w:before="120" w:after="60"/>
        <w:ind w:firstLine="0"/>
        <w:jc w:val="center"/>
      </w:pPr>
      <w:r>
        <w:t xml:space="preserve">Bảng E.2. Thí nghiệm độ nhạy: RMSE theo từng lần kiểm định và thời gian huấn luyện trung bình</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281"/>
        <w:gridCol w:w="1219"/>
        <w:gridCol w:w="1219"/>
        <w:gridCol w:w="1219"/>
        <w:gridCol w:w="1493"/>
        <w:gridCol w:w="1640"/>
      </w:tblGrid>
      <w:tr>
        <w:trPr>
          <w:tblHeader/>
          <w:cantSplit/>
        </w:trPr>
        <w:tc>
          <w:tcPr>
            <w:tcW w:type="dxa" w:w="2281"/>
            <w:shd w:val="clear" w:color="auto" w:fill="D9E2F3"/>
            <w:vAlign w:val="center"/>
          </w:tcPr>
          <w:p>
            <w:pPr>
              <w:spacing w:before="20" w:after="20" w:line="260" w:lineRule="auto"/>
              <w:ind w:firstLine="0"/>
              <w:jc w:val="center"/>
            </w:pPr>
            <w:r>
              <w:rPr>
                <w:b/>
                <w:sz w:val="20"/>
                <w:szCs w:val="20"/>
              </w:rPr>
              <w:t xml:space="preserve">Cấu hình</w:t>
            </w:r>
          </w:p>
        </w:tc>
        <w:tc>
          <w:tcPr>
            <w:tcW w:type="dxa" w:w="1219"/>
            <w:shd w:val="clear" w:color="auto" w:fill="D9E2F3"/>
            <w:vAlign w:val="center"/>
          </w:tcPr>
          <w:p>
            <w:pPr>
              <w:spacing w:before="20" w:after="20" w:line="260" w:lineRule="auto"/>
              <w:ind w:firstLine="0"/>
              <w:jc w:val="center"/>
            </w:pPr>
            <w:r>
              <w:rPr>
                <w:b/>
                <w:sz w:val="20"/>
                <w:szCs w:val="20"/>
              </w:rPr>
              <w:t xml:space="preserve">RMSE lần 1</w:t>
            </w:r>
          </w:p>
        </w:tc>
        <w:tc>
          <w:tcPr>
            <w:tcW w:type="dxa" w:w="1219"/>
            <w:shd w:val="clear" w:color="auto" w:fill="D9E2F3"/>
            <w:vAlign w:val="center"/>
          </w:tcPr>
          <w:p>
            <w:pPr>
              <w:spacing w:before="20" w:after="20" w:line="260" w:lineRule="auto"/>
              <w:ind w:firstLine="0"/>
              <w:jc w:val="center"/>
            </w:pPr>
            <w:r>
              <w:rPr>
                <w:b/>
                <w:sz w:val="20"/>
                <w:szCs w:val="20"/>
              </w:rPr>
              <w:t xml:space="preserve">RMSE lần 2</w:t>
            </w:r>
          </w:p>
        </w:tc>
        <w:tc>
          <w:tcPr>
            <w:tcW w:type="dxa" w:w="1219"/>
            <w:shd w:val="clear" w:color="auto" w:fill="D9E2F3"/>
            <w:vAlign w:val="center"/>
          </w:tcPr>
          <w:p>
            <w:pPr>
              <w:spacing w:before="20" w:after="20" w:line="260" w:lineRule="auto"/>
              <w:ind w:firstLine="0"/>
              <w:jc w:val="center"/>
            </w:pPr>
            <w:r>
              <w:rPr>
                <w:b/>
                <w:sz w:val="20"/>
                <w:szCs w:val="20"/>
              </w:rPr>
              <w:t xml:space="preserve">RMSE lần 3</w:t>
            </w:r>
          </w:p>
        </w:tc>
        <w:tc>
          <w:tcPr>
            <w:tcW w:type="dxa" w:w="1493"/>
            <w:shd w:val="clear" w:color="auto" w:fill="D9E2F3"/>
            <w:vAlign w:val="center"/>
          </w:tcPr>
          <w:p>
            <w:pPr>
              <w:spacing w:before="20" w:after="20" w:line="260" w:lineRule="auto"/>
              <w:ind w:firstLine="0"/>
              <w:jc w:val="center"/>
            </w:pPr>
            <w:r>
              <w:rPr>
                <w:b/>
                <w:sz w:val="20"/>
                <w:szCs w:val="20"/>
              </w:rPr>
              <w:t xml:space="preserve">RMSE trung bình</w:t>
            </w:r>
          </w:p>
        </w:tc>
        <w:tc>
          <w:tcPr>
            <w:tcW w:type="dxa" w:w="1640"/>
            <w:shd w:val="clear" w:color="auto" w:fill="D9E2F3"/>
            <w:vAlign w:val="center"/>
          </w:tcPr>
          <w:p>
            <w:pPr>
              <w:spacing w:before="20" w:after="20" w:line="260" w:lineRule="auto"/>
              <w:ind w:firstLine="0"/>
              <w:jc w:val="center"/>
            </w:pPr>
            <w:r>
              <w:rPr>
                <w:b/>
                <w:sz w:val="20"/>
                <w:szCs w:val="20"/>
              </w:rPr>
              <w:t xml:space="preserve">Giây huấn luyện TB</w:t>
            </w:r>
          </w:p>
        </w:tc>
      </w:tr>
      <w:tr>
        <w:trPr>
          <w:cantSplit/>
        </w:trPr>
        <w:tc>
          <w:tcPr>
            <w:tcW w:type="dxa" w:w="2281"/>
            <w:vAlign w:val="center"/>
          </w:tcPr>
          <w:p>
            <w:pPr>
              <w:spacing w:before="20" w:after="20" w:line="260" w:lineRule="auto"/>
              <w:ind w:firstLine="0"/>
              <w:jc w:val="left"/>
            </w:pPr>
            <w:r>
              <w:rPr>
                <w:sz w:val="20"/>
                <w:szCs w:val="20"/>
              </w:rPr>
              <w:t xml:space="preserve">XGBoost · cấu hình chính thức</w:t>
            </w:r>
          </w:p>
        </w:tc>
        <w:tc>
          <w:tcPr>
            <w:tcW w:type="dxa" w:w="1219"/>
            <w:vAlign w:val="center"/>
          </w:tcPr>
          <w:p>
            <w:pPr>
              <w:spacing w:before="20" w:after="20" w:line="260" w:lineRule="auto"/>
              <w:ind w:firstLine="0"/>
              <w:jc w:val="center"/>
            </w:pPr>
            <w:r>
              <w:rPr>
                <w:sz w:val="20"/>
                <w:szCs w:val="20"/>
              </w:rPr>
              <w:t xml:space="preserve">219,224</w:t>
            </w:r>
          </w:p>
        </w:tc>
        <w:tc>
          <w:tcPr>
            <w:tcW w:type="dxa" w:w="1219"/>
            <w:vAlign w:val="center"/>
          </w:tcPr>
          <w:p>
            <w:pPr>
              <w:spacing w:before="20" w:after="20" w:line="260" w:lineRule="auto"/>
              <w:ind w:firstLine="0"/>
              <w:jc w:val="center"/>
            </w:pPr>
            <w:r>
              <w:rPr>
                <w:sz w:val="20"/>
                <w:szCs w:val="20"/>
              </w:rPr>
              <w:t xml:space="preserve">212,898</w:t>
            </w:r>
          </w:p>
        </w:tc>
        <w:tc>
          <w:tcPr>
            <w:tcW w:type="dxa" w:w="1219"/>
            <w:vAlign w:val="center"/>
          </w:tcPr>
          <w:p>
            <w:pPr>
              <w:spacing w:before="20" w:after="20" w:line="260" w:lineRule="auto"/>
              <w:ind w:firstLine="0"/>
              <w:jc w:val="center"/>
            </w:pPr>
            <w:r>
              <w:rPr>
                <w:sz w:val="20"/>
                <w:szCs w:val="20"/>
              </w:rPr>
              <w:t xml:space="preserve">220,270</w:t>
            </w:r>
          </w:p>
        </w:tc>
        <w:tc>
          <w:tcPr>
            <w:tcW w:type="dxa" w:w="1493"/>
            <w:vAlign w:val="center"/>
          </w:tcPr>
          <w:p>
            <w:pPr>
              <w:spacing w:before="20" w:after="20" w:line="260" w:lineRule="auto"/>
              <w:ind w:firstLine="0"/>
              <w:jc w:val="center"/>
            </w:pPr>
            <w:r>
              <w:rPr>
                <w:sz w:val="20"/>
                <w:szCs w:val="20"/>
              </w:rPr>
              <w:t xml:space="preserve">217,464</w:t>
            </w:r>
          </w:p>
        </w:tc>
        <w:tc>
          <w:tcPr>
            <w:tcW w:type="dxa" w:w="1640"/>
            <w:vAlign w:val="center"/>
          </w:tcPr>
          <w:p>
            <w:pPr>
              <w:spacing w:before="20" w:after="20" w:line="260" w:lineRule="auto"/>
              <w:ind w:firstLine="0"/>
              <w:jc w:val="center"/>
            </w:pPr>
            <w:r>
              <w:rPr>
                <w:sz w:val="20"/>
                <w:szCs w:val="20"/>
              </w:rPr>
              <w:t xml:space="preserve">65,3</w:t>
            </w:r>
          </w:p>
        </w:tc>
      </w:tr>
      <w:tr>
        <w:trPr>
          <w:cantSplit/>
        </w:trPr>
        <w:tc>
          <w:tcPr>
            <w:tcW w:type="dxa" w:w="2281"/>
            <w:vAlign w:val="center"/>
          </w:tcPr>
          <w:p>
            <w:pPr>
              <w:spacing w:before="20" w:after="20" w:line="260" w:lineRule="auto"/>
              <w:ind w:firstLine="0"/>
              <w:jc w:val="left"/>
            </w:pPr>
            <w:r>
              <w:rPr>
                <w:sz w:val="20"/>
                <w:szCs w:val="20"/>
              </w:rPr>
              <w:t xml:space="preserve">XGBoost · mẫu 600.000 dòng</w:t>
            </w:r>
          </w:p>
        </w:tc>
        <w:tc>
          <w:tcPr>
            <w:tcW w:type="dxa" w:w="1219"/>
            <w:vAlign w:val="center"/>
          </w:tcPr>
          <w:p>
            <w:pPr>
              <w:spacing w:before="20" w:after="20" w:line="260" w:lineRule="auto"/>
              <w:ind w:firstLine="0"/>
              <w:jc w:val="center"/>
            </w:pPr>
            <w:r>
              <w:rPr>
                <w:sz w:val="20"/>
                <w:szCs w:val="20"/>
              </w:rPr>
              <w:t xml:space="preserve">222,459</w:t>
            </w:r>
          </w:p>
        </w:tc>
        <w:tc>
          <w:tcPr>
            <w:tcW w:type="dxa" w:w="1219"/>
            <w:vAlign w:val="center"/>
          </w:tcPr>
          <w:p>
            <w:pPr>
              <w:spacing w:before="20" w:after="20" w:line="260" w:lineRule="auto"/>
              <w:ind w:firstLine="0"/>
              <w:jc w:val="center"/>
            </w:pPr>
            <w:r>
              <w:rPr>
                <w:sz w:val="20"/>
                <w:szCs w:val="20"/>
              </w:rPr>
              <w:t xml:space="preserve">206,209</w:t>
            </w:r>
          </w:p>
        </w:tc>
        <w:tc>
          <w:tcPr>
            <w:tcW w:type="dxa" w:w="1219"/>
            <w:vAlign w:val="center"/>
          </w:tcPr>
          <w:p>
            <w:pPr>
              <w:spacing w:before="20" w:after="20" w:line="260" w:lineRule="auto"/>
              <w:ind w:firstLine="0"/>
              <w:jc w:val="center"/>
            </w:pPr>
            <w:r>
              <w:rPr>
                <w:sz w:val="20"/>
                <w:szCs w:val="20"/>
              </w:rPr>
              <w:t xml:space="preserve">223,744</w:t>
            </w:r>
          </w:p>
        </w:tc>
        <w:tc>
          <w:tcPr>
            <w:tcW w:type="dxa" w:w="1493"/>
            <w:vAlign w:val="center"/>
          </w:tcPr>
          <w:p>
            <w:pPr>
              <w:spacing w:before="20" w:after="20" w:line="260" w:lineRule="auto"/>
              <w:ind w:firstLine="0"/>
              <w:jc w:val="center"/>
            </w:pPr>
            <w:r>
              <w:rPr>
                <w:sz w:val="20"/>
                <w:szCs w:val="20"/>
              </w:rPr>
              <w:t xml:space="preserve">217,471</w:t>
            </w:r>
          </w:p>
        </w:tc>
        <w:tc>
          <w:tcPr>
            <w:tcW w:type="dxa" w:w="1640"/>
            <w:vAlign w:val="center"/>
          </w:tcPr>
          <w:p>
            <w:pPr>
              <w:spacing w:before="20" w:after="20" w:line="260" w:lineRule="auto"/>
              <w:ind w:firstLine="0"/>
              <w:jc w:val="center"/>
            </w:pPr>
            <w:r>
              <w:rPr>
                <w:sz w:val="20"/>
                <w:szCs w:val="20"/>
              </w:rPr>
              <w:t xml:space="preserve">15,3</w:t>
            </w:r>
          </w:p>
        </w:tc>
      </w:tr>
      <w:tr>
        <w:trPr>
          <w:cantSplit/>
        </w:trPr>
        <w:tc>
          <w:tcPr>
            <w:tcW w:type="dxa" w:w="2281"/>
            <w:vAlign w:val="center"/>
          </w:tcPr>
          <w:p>
            <w:pPr>
              <w:spacing w:before="20" w:after="20" w:line="260" w:lineRule="auto"/>
              <w:ind w:firstLine="0"/>
              <w:jc w:val="left"/>
            </w:pPr>
            <w:r>
              <w:rPr>
                <w:sz w:val="20"/>
                <w:szCs w:val="20"/>
              </w:rPr>
              <w:t xml:space="preserve">LightGBM · cấu hình chính thức</w:t>
            </w:r>
          </w:p>
        </w:tc>
        <w:tc>
          <w:tcPr>
            <w:tcW w:type="dxa" w:w="1219"/>
            <w:vAlign w:val="center"/>
          </w:tcPr>
          <w:p>
            <w:pPr>
              <w:spacing w:before="20" w:after="20" w:line="260" w:lineRule="auto"/>
              <w:ind w:firstLine="0"/>
              <w:jc w:val="center"/>
            </w:pPr>
            <w:r>
              <w:rPr>
                <w:sz w:val="20"/>
                <w:szCs w:val="20"/>
              </w:rPr>
              <w:t xml:space="preserve">221,782</w:t>
            </w:r>
          </w:p>
        </w:tc>
        <w:tc>
          <w:tcPr>
            <w:tcW w:type="dxa" w:w="1219"/>
            <w:vAlign w:val="center"/>
          </w:tcPr>
          <w:p>
            <w:pPr>
              <w:spacing w:before="20" w:after="20" w:line="260" w:lineRule="auto"/>
              <w:ind w:firstLine="0"/>
              <w:jc w:val="center"/>
            </w:pPr>
            <w:r>
              <w:rPr>
                <w:sz w:val="20"/>
                <w:szCs w:val="20"/>
              </w:rPr>
              <w:t xml:space="preserve">215,824</w:t>
            </w:r>
          </w:p>
        </w:tc>
        <w:tc>
          <w:tcPr>
            <w:tcW w:type="dxa" w:w="1219"/>
            <w:vAlign w:val="center"/>
          </w:tcPr>
          <w:p>
            <w:pPr>
              <w:spacing w:before="20" w:after="20" w:line="260" w:lineRule="auto"/>
              <w:ind w:firstLine="0"/>
              <w:jc w:val="center"/>
            </w:pPr>
            <w:r>
              <w:rPr>
                <w:sz w:val="20"/>
                <w:szCs w:val="20"/>
              </w:rPr>
              <w:t xml:space="preserve">222,526</w:t>
            </w:r>
          </w:p>
        </w:tc>
        <w:tc>
          <w:tcPr>
            <w:tcW w:type="dxa" w:w="1493"/>
            <w:vAlign w:val="center"/>
          </w:tcPr>
          <w:p>
            <w:pPr>
              <w:spacing w:before="20" w:after="20" w:line="260" w:lineRule="auto"/>
              <w:ind w:firstLine="0"/>
              <w:jc w:val="center"/>
            </w:pPr>
            <w:r>
              <w:rPr>
                <w:sz w:val="20"/>
                <w:szCs w:val="20"/>
              </w:rPr>
              <w:t xml:space="preserve">220,044</w:t>
            </w:r>
          </w:p>
        </w:tc>
        <w:tc>
          <w:tcPr>
            <w:tcW w:type="dxa" w:w="1640"/>
            <w:vAlign w:val="center"/>
          </w:tcPr>
          <w:p>
            <w:pPr>
              <w:spacing w:before="20" w:after="20" w:line="260" w:lineRule="auto"/>
              <w:ind w:firstLine="0"/>
              <w:jc w:val="center"/>
            </w:pPr>
            <w:r>
              <w:rPr>
                <w:sz w:val="20"/>
                <w:szCs w:val="20"/>
              </w:rPr>
              <w:t xml:space="preserve">43,0</w:t>
            </w:r>
          </w:p>
        </w:tc>
      </w:tr>
      <w:tr>
        <w:trPr>
          <w:cantSplit/>
        </w:trPr>
        <w:tc>
          <w:tcPr>
            <w:tcW w:type="dxa" w:w="2281"/>
            <w:vAlign w:val="center"/>
          </w:tcPr>
          <w:p>
            <w:pPr>
              <w:spacing w:before="20" w:after="20" w:line="260" w:lineRule="auto"/>
              <w:ind w:firstLine="0"/>
              <w:jc w:val="left"/>
            </w:pPr>
            <w:r>
              <w:rPr>
                <w:sz w:val="20"/>
                <w:szCs w:val="20"/>
              </w:rPr>
              <w:t xml:space="preserve">LightGBM · không đặt subsample_freq</w:t>
            </w:r>
          </w:p>
        </w:tc>
        <w:tc>
          <w:tcPr>
            <w:tcW w:type="dxa" w:w="1219"/>
            <w:vAlign w:val="center"/>
          </w:tcPr>
          <w:p>
            <w:pPr>
              <w:spacing w:before="20" w:after="20" w:line="260" w:lineRule="auto"/>
              <w:ind w:firstLine="0"/>
              <w:jc w:val="center"/>
            </w:pPr>
            <w:r>
              <w:rPr>
                <w:sz w:val="20"/>
                <w:szCs w:val="20"/>
              </w:rPr>
              <w:t xml:space="preserve">224,280</w:t>
            </w:r>
          </w:p>
        </w:tc>
        <w:tc>
          <w:tcPr>
            <w:tcW w:type="dxa" w:w="1219"/>
            <w:vAlign w:val="center"/>
          </w:tcPr>
          <w:p>
            <w:pPr>
              <w:spacing w:before="20" w:after="20" w:line="260" w:lineRule="auto"/>
              <w:ind w:firstLine="0"/>
              <w:jc w:val="center"/>
            </w:pPr>
            <w:r>
              <w:rPr>
                <w:sz w:val="20"/>
                <w:szCs w:val="20"/>
              </w:rPr>
              <w:t xml:space="preserve">216,214</w:t>
            </w:r>
          </w:p>
        </w:tc>
        <w:tc>
          <w:tcPr>
            <w:tcW w:type="dxa" w:w="1219"/>
            <w:vAlign w:val="center"/>
          </w:tcPr>
          <w:p>
            <w:pPr>
              <w:spacing w:before="20" w:after="20" w:line="260" w:lineRule="auto"/>
              <w:ind w:firstLine="0"/>
              <w:jc w:val="center"/>
            </w:pPr>
            <w:r>
              <w:rPr>
                <w:sz w:val="20"/>
                <w:szCs w:val="20"/>
              </w:rPr>
              <w:t xml:space="preserve">221,380</w:t>
            </w:r>
          </w:p>
        </w:tc>
        <w:tc>
          <w:tcPr>
            <w:tcW w:type="dxa" w:w="1493"/>
            <w:vAlign w:val="center"/>
          </w:tcPr>
          <w:p>
            <w:pPr>
              <w:spacing w:before="20" w:after="20" w:line="260" w:lineRule="auto"/>
              <w:ind w:firstLine="0"/>
              <w:jc w:val="center"/>
            </w:pPr>
            <w:r>
              <w:rPr>
                <w:sz w:val="20"/>
                <w:szCs w:val="20"/>
              </w:rPr>
              <w:t xml:space="preserve">220,625</w:t>
            </w:r>
          </w:p>
        </w:tc>
        <w:tc>
          <w:tcPr>
            <w:tcW w:type="dxa" w:w="1640"/>
            <w:vAlign w:val="center"/>
          </w:tcPr>
          <w:p>
            <w:pPr>
              <w:spacing w:before="20" w:after="20" w:line="260" w:lineRule="auto"/>
              <w:ind w:firstLine="0"/>
              <w:jc w:val="center"/>
            </w:pPr>
            <w:r>
              <w:rPr>
                <w:sz w:val="20"/>
                <w:szCs w:val="20"/>
              </w:rPr>
              <w:t xml:space="preserve">40,2</w:t>
            </w:r>
          </w:p>
        </w:tc>
      </w:tr>
    </w:tbl>
    <w:p>
      <w:pPr>
        <w:spacing w:before="40" w:after="160"/>
        <w:ind w:firstLine="0"/>
      </w:pPr>
      <w:r>
        <w:rPr>
          <w:i/>
          <w:sz w:val="22"/>
          <w:szCs w:val="22"/>
        </w:rPr>
        <w:t xml:space="preserve">Nguồn: outputs/14_sensitivity/sensitivity_cv.csv. Thời gian phụ thuộc phần cứng của môi trường chạy (2 CPU).</w:t>
      </w:r>
    </w:p>
    <w:p>
      <w:pPr>
        <w:keepLines w:val="0"/>
        <w:spacing w:after="120"/>
        <w:ind w:firstLine="567"/>
      </w:pPr>
      <w:r>
        <w:t xml:space="preserve">Kết quả cần được đọc thận trọng vì chỉ có ba cửa sổ kiểm định; các chênh lệch không được kiểm định ý nghĩa thống kê. Bảng E.3 tổng hợp các kiểm thử đã thực hiện đối với quy trình, dashboard và các công cụ xuất dữ liệu.</w:t>
      </w:r>
    </w:p>
    <w:p>
      <w:pPr>
        <w:keepNext/>
        <w:spacing w:before="120" w:after="60"/>
        <w:ind w:firstLine="0"/>
        <w:jc w:val="center"/>
      </w:pPr>
      <w:r>
        <w:t xml:space="preserve">Bảng E.3. Các kiểm thử của quy trình, dashboard và công cụ xuất dữ liệu</w:t>
      </w:r>
    </w:p>
    <w:tbl>
      <w:tblPr>
        <w:tblStyle w:val="TableGrid"/>
        <w:tblW w:type="dxa" w:w="907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77"/>
        <w:gridCol w:w="3577"/>
        <w:gridCol w:w="3117"/>
      </w:tblGrid>
      <w:tr>
        <w:trPr>
          <w:tblHeader/>
          <w:cantSplit/>
        </w:trPr>
        <w:tc>
          <w:tcPr>
            <w:tcW w:type="dxa" w:w="2377"/>
            <w:shd w:val="clear" w:color="auto" w:fill="D9E2F3"/>
            <w:vAlign w:val="center"/>
          </w:tcPr>
          <w:p>
            <w:pPr>
              <w:spacing w:before="20" w:after="20" w:line="260" w:lineRule="auto"/>
              <w:ind w:firstLine="0"/>
              <w:jc w:val="center"/>
            </w:pPr>
            <w:r>
              <w:rPr>
                <w:b/>
                <w:sz w:val="20"/>
                <w:szCs w:val="20"/>
              </w:rPr>
              <w:t xml:space="preserve">Hạng mục</w:t>
            </w:r>
          </w:p>
        </w:tc>
        <w:tc>
          <w:tcPr>
            <w:tcW w:type="dxa" w:w="3577"/>
            <w:shd w:val="clear" w:color="auto" w:fill="D9E2F3"/>
            <w:vAlign w:val="center"/>
          </w:tcPr>
          <w:p>
            <w:pPr>
              <w:spacing w:before="20" w:after="20" w:line="260" w:lineRule="auto"/>
              <w:ind w:firstLine="0"/>
              <w:jc w:val="center"/>
            </w:pPr>
            <w:r>
              <w:rPr>
                <w:b/>
                <w:sz w:val="20"/>
                <w:szCs w:val="20"/>
              </w:rPr>
              <w:t xml:space="preserve">Cách kiểm thử</w:t>
            </w:r>
          </w:p>
        </w:tc>
        <w:tc>
          <w:tcPr>
            <w:tcW w:type="dxa" w:w="3117"/>
            <w:shd w:val="clear" w:color="auto" w:fill="D9E2F3"/>
            <w:vAlign w:val="center"/>
          </w:tcPr>
          <w:p>
            <w:pPr>
              <w:spacing w:before="20" w:after="20" w:line="260" w:lineRule="auto"/>
              <w:ind w:firstLine="0"/>
              <w:jc w:val="center"/>
            </w:pPr>
            <w:r>
              <w:rPr>
                <w:b/>
                <w:sz w:val="20"/>
                <w:szCs w:val="20"/>
              </w:rPr>
              <w:t xml:space="preserve">Kết quả</w:t>
            </w:r>
          </w:p>
        </w:tc>
      </w:tr>
      <w:tr>
        <w:trPr>
          <w:cantSplit/>
        </w:trPr>
        <w:tc>
          <w:tcPr>
            <w:tcW w:type="dxa" w:w="2377"/>
            <w:vAlign w:val="center"/>
          </w:tcPr>
          <w:p>
            <w:pPr>
              <w:spacing w:before="20" w:after="20" w:line="260" w:lineRule="auto"/>
              <w:ind w:firstLine="0"/>
              <w:jc w:val="left"/>
            </w:pPr>
            <w:r>
              <w:rPr>
                <w:sz w:val="20"/>
                <w:szCs w:val="20"/>
              </w:rPr>
              <w:t xml:space="preserve">Smoke test toàn quy trình (Stage 10)</w:t>
            </w:r>
          </w:p>
        </w:tc>
        <w:tc>
          <w:tcPr>
            <w:tcW w:type="dxa" w:w="3577"/>
            <w:vAlign w:val="center"/>
          </w:tcPr>
          <w:p>
            <w:pPr>
              <w:spacing w:before="20" w:after="20" w:line="260" w:lineRule="auto"/>
              <w:ind w:firstLine="0"/>
              <w:jc w:val="left"/>
            </w:pPr>
            <w:r>
              <w:rPr>
                <w:sz w:val="20"/>
                <w:szCs w:val="20"/>
              </w:rPr>
              <w:t xml:space="preserve">10_pipeline_smoke_test.py kiểm tra đủ đầu ra của các stage và các ràng buộc phương pháp</w:t>
            </w:r>
          </w:p>
        </w:tc>
        <w:tc>
          <w:tcPr>
            <w:tcW w:type="dxa" w:w="3117"/>
            <w:vAlign w:val="center"/>
          </w:tcPr>
          <w:p>
            <w:pPr>
              <w:spacing w:before="20" w:after="20" w:line="260" w:lineRule="auto"/>
              <w:ind w:firstLine="0"/>
              <w:jc w:val="left"/>
            </w:pPr>
            <w:r>
              <w:rPr>
                <w:sz w:val="20"/>
                <w:szCs w:val="20"/>
              </w:rPr>
              <w:t xml:space="preserve">PASS</w:t>
            </w:r>
          </w:p>
        </w:tc>
      </w:tr>
      <w:tr>
        <w:trPr>
          <w:cantSplit/>
        </w:trPr>
        <w:tc>
          <w:tcPr>
            <w:tcW w:type="dxa" w:w="2377"/>
            <w:vAlign w:val="center"/>
          </w:tcPr>
          <w:p>
            <w:pPr>
              <w:spacing w:before="20" w:after="20" w:line="260" w:lineRule="auto"/>
              <w:ind w:firstLine="0"/>
              <w:jc w:val="left"/>
            </w:pPr>
            <w:r>
              <w:rPr>
                <w:sz w:val="20"/>
                <w:szCs w:val="20"/>
              </w:rPr>
              <w:t xml:space="preserve">Kiểm thử đơn vị</w:t>
            </w:r>
          </w:p>
        </w:tc>
        <w:tc>
          <w:tcPr>
            <w:tcW w:type="dxa" w:w="3577"/>
            <w:vAlign w:val="center"/>
          </w:tcPr>
          <w:p>
            <w:pPr>
              <w:spacing w:before="20" w:after="20" w:line="260" w:lineRule="auto"/>
              <w:ind w:firstLine="0"/>
              <w:jc w:val="left"/>
            </w:pPr>
            <w:r>
              <w:rPr>
                <w:sz w:val="20"/>
                <w:szCs w:val="20"/>
              </w:rPr>
              <w:t xml:space="preserve">tests/test_core.py (pytest)</w:t>
            </w:r>
          </w:p>
        </w:tc>
        <w:tc>
          <w:tcPr>
            <w:tcW w:type="dxa" w:w="3117"/>
            <w:vAlign w:val="center"/>
          </w:tcPr>
          <w:p>
            <w:pPr>
              <w:spacing w:before="20" w:after="20" w:line="260" w:lineRule="auto"/>
              <w:ind w:firstLine="0"/>
              <w:jc w:val="left"/>
            </w:pPr>
            <w:r>
              <w:rPr>
                <w:sz w:val="20"/>
                <w:szCs w:val="20"/>
              </w:rPr>
              <w:t xml:space="preserve">4/4 test đạt</w:t>
            </w:r>
          </w:p>
        </w:tc>
      </w:tr>
      <w:tr>
        <w:trPr>
          <w:cantSplit/>
        </w:trPr>
        <w:tc>
          <w:tcPr>
            <w:tcW w:type="dxa" w:w="2377"/>
            <w:vAlign w:val="center"/>
          </w:tcPr>
          <w:p>
            <w:pPr>
              <w:spacing w:before="20" w:after="20" w:line="260" w:lineRule="auto"/>
              <w:ind w:firstLine="0"/>
              <w:jc w:val="left"/>
            </w:pPr>
            <w:r>
              <w:rPr>
                <w:sz w:val="20"/>
                <w:szCs w:val="20"/>
              </w:rPr>
              <w:t xml:space="preserve">Stage 11 và 12</w:t>
            </w:r>
          </w:p>
        </w:tc>
        <w:tc>
          <w:tcPr>
            <w:tcW w:type="dxa" w:w="3577"/>
            <w:vAlign w:val="center"/>
          </w:tcPr>
          <w:p>
            <w:pPr>
              <w:spacing w:before="20" w:after="20" w:line="260" w:lineRule="auto"/>
              <w:ind w:firstLine="0"/>
              <w:jc w:val="left"/>
            </w:pPr>
            <w:r>
              <w:rPr>
                <w:sz w:val="20"/>
                <w:szCs w:val="20"/>
              </w:rPr>
              <w:t xml:space="preserve">Kiểm tra nội bộ của 11_forecast_diagnostics.py và 12_case_studies.py</w:t>
            </w:r>
          </w:p>
        </w:tc>
        <w:tc>
          <w:tcPr>
            <w:tcW w:type="dxa" w:w="3117"/>
            <w:vAlign w:val="center"/>
          </w:tcPr>
          <w:p>
            <w:pPr>
              <w:spacing w:before="20" w:after="20" w:line="260" w:lineRule="auto"/>
              <w:ind w:firstLine="0"/>
              <w:jc w:val="left"/>
            </w:pPr>
            <w:r>
              <w:rPr>
                <w:sz w:val="20"/>
                <w:szCs w:val="20"/>
              </w:rPr>
              <w:t xml:space="preserve">PASS (mô hình XGBoost; 4 trường hợp đại diện)</w:t>
            </w:r>
          </w:p>
        </w:tc>
      </w:tr>
      <w:tr>
        <w:trPr>
          <w:cantSplit/>
        </w:trPr>
        <w:tc>
          <w:tcPr>
            <w:tcW w:type="dxa" w:w="2377"/>
            <w:vAlign w:val="center"/>
          </w:tcPr>
          <w:p>
            <w:pPr>
              <w:spacing w:before="20" w:after="20" w:line="260" w:lineRule="auto"/>
              <w:ind w:firstLine="0"/>
              <w:jc w:val="left"/>
            </w:pPr>
            <w:r>
              <w:rPr>
                <w:sz w:val="20"/>
                <w:szCs w:val="20"/>
              </w:rPr>
              <w:t xml:space="preserve">Dashboard</w:t>
            </w:r>
          </w:p>
        </w:tc>
        <w:tc>
          <w:tcPr>
            <w:tcW w:type="dxa" w:w="3577"/>
            <w:vAlign w:val="center"/>
          </w:tcPr>
          <w:p>
            <w:pPr>
              <w:spacing w:before="20" w:after="20" w:line="260" w:lineRule="auto"/>
              <w:ind w:firstLine="0"/>
              <w:jc w:val="left"/>
            </w:pPr>
            <w:r>
              <w:rPr>
                <w:sz w:val="20"/>
                <w:szCs w:val="20"/>
              </w:rPr>
              <w:t xml:space="preserve">Streamlit AppTest mở lần lượt 11 trang trên đầu ra của lần chạy</w:t>
            </w:r>
          </w:p>
        </w:tc>
        <w:tc>
          <w:tcPr>
            <w:tcW w:type="dxa" w:w="3117"/>
            <w:vAlign w:val="center"/>
          </w:tcPr>
          <w:p>
            <w:pPr>
              <w:spacing w:before="20" w:after="20" w:line="260" w:lineRule="auto"/>
              <w:ind w:firstLine="0"/>
              <w:jc w:val="left"/>
            </w:pPr>
            <w:r>
              <w:rPr>
                <w:sz w:val="20"/>
                <w:szCs w:val="20"/>
              </w:rPr>
              <w:t xml:space="preserve">11/11 trang chạy không lỗi</w:t>
            </w:r>
          </w:p>
        </w:tc>
      </w:tr>
      <w:tr>
        <w:trPr>
          <w:cantSplit/>
        </w:trPr>
        <w:tc>
          <w:tcPr>
            <w:tcW w:type="dxa" w:w="2377"/>
            <w:vAlign w:val="center"/>
          </w:tcPr>
          <w:p>
            <w:pPr>
              <w:spacing w:before="20" w:after="20" w:line="260" w:lineRule="auto"/>
              <w:ind w:firstLine="0"/>
              <w:jc w:val="left"/>
            </w:pPr>
            <w:r>
              <w:rPr>
                <w:sz w:val="20"/>
                <w:szCs w:val="20"/>
              </w:rPr>
              <w:t xml:space="preserve">Luồng mô hình ngôn ngữ (mô phỏng, không gọi API thật)</w:t>
            </w:r>
          </w:p>
        </w:tc>
        <w:tc>
          <w:tcPr>
            <w:tcW w:type="dxa" w:w="3577"/>
            <w:vAlign w:val="center"/>
          </w:tcPr>
          <w:p>
            <w:pPr>
              <w:spacing w:before="20" w:after="20" w:line="260" w:lineRule="auto"/>
              <w:ind w:firstLine="0"/>
              <w:jc w:val="left"/>
            </w:pPr>
            <w:r>
              <w:rPr>
                <w:sz w:val="20"/>
                <w:szCs w:val="20"/>
              </w:rPr>
              <w:t xml:space="preserve">Giả lập phản hồi LLM: bản hợp lệ; bản chứa số không có trong bằng chứng; phản hồi không phải JSON</w:t>
            </w:r>
          </w:p>
        </w:tc>
        <w:tc>
          <w:tcPr>
            <w:tcW w:type="dxa" w:w="3117"/>
            <w:vAlign w:val="center"/>
          </w:tcPr>
          <w:p>
            <w:pPr>
              <w:spacing w:before="20" w:after="20" w:line="260" w:lineRule="auto"/>
              <w:ind w:firstLine="0"/>
              <w:jc w:val="left"/>
            </w:pPr>
            <w:r>
              <w:rPr>
                <w:sz w:val="20"/>
                <w:szCs w:val="20"/>
              </w:rPr>
              <w:t xml:space="preserve">GENAI; RULE_BASED_AFTER_GUARDRAIL; RULE_BASED_AFTER_ERROR</w:t>
            </w:r>
          </w:p>
        </w:tc>
      </w:tr>
      <w:tr>
        <w:trPr>
          <w:cantSplit/>
        </w:trPr>
        <w:tc>
          <w:tcPr>
            <w:tcW w:type="dxa" w:w="2377"/>
            <w:vAlign w:val="center"/>
          </w:tcPr>
          <w:p>
            <w:pPr>
              <w:spacing w:before="20" w:after="20" w:line="260" w:lineRule="auto"/>
              <w:ind w:firstLine="0"/>
              <w:jc w:val="left"/>
            </w:pPr>
            <w:r>
              <w:rPr>
                <w:sz w:val="20"/>
                <w:szCs w:val="20"/>
              </w:rPr>
              <w:t xml:space="preserve">Workbook Excel xuất từ trang 10</w:t>
            </w:r>
          </w:p>
        </w:tc>
        <w:tc>
          <w:tcPr>
            <w:tcW w:type="dxa" w:w="3577"/>
            <w:vAlign w:val="center"/>
          </w:tcPr>
          <w:p>
            <w:pPr>
              <w:spacing w:before="20" w:after="20" w:line="260" w:lineRule="auto"/>
              <w:ind w:firstLine="0"/>
              <w:jc w:val="left"/>
            </w:pPr>
            <w:r>
              <w:rPr>
                <w:sz w:val="20"/>
                <w:szCs w:val="20"/>
              </w:rPr>
              <w:t xml:space="preserve">Sinh workbook toàn hệ thống và mở lại bằng openpyxl; đối chiếu WAPE và bao phủ của phạm vi toàn bộ với kết quả Stage 04/05</w:t>
            </w:r>
          </w:p>
        </w:tc>
        <w:tc>
          <w:tcPr>
            <w:tcW w:type="dxa" w:w="3117"/>
            <w:vAlign w:val="center"/>
          </w:tcPr>
          <w:p>
            <w:pPr>
              <w:spacing w:before="20" w:after="20" w:line="260" w:lineRule="auto"/>
              <w:ind w:firstLine="0"/>
              <w:jc w:val="left"/>
            </w:pPr>
            <w:r>
              <w:rPr>
                <w:sz w:val="20"/>
                <w:szCs w:val="20"/>
              </w:rPr>
              <w:t xml:space="preserve">9 sheet; WAPE 14,327%, bao phủ 75,40% (khớp)</w:t>
            </w:r>
          </w:p>
        </w:tc>
      </w:tr>
      <w:tr>
        <w:trPr>
          <w:cantSplit/>
        </w:trPr>
        <w:tc>
          <w:tcPr>
            <w:tcW w:type="dxa" w:w="2377"/>
            <w:vAlign w:val="center"/>
          </w:tcPr>
          <w:p>
            <w:pPr>
              <w:spacing w:before="20" w:after="20" w:line="260" w:lineRule="auto"/>
              <w:ind w:firstLine="0"/>
              <w:jc w:val="left"/>
            </w:pPr>
            <w:r>
              <w:rPr>
                <w:sz w:val="20"/>
                <w:szCs w:val="20"/>
              </w:rPr>
              <w:t xml:space="preserve">Mẫu ra quyết định dự báo</w:t>
            </w:r>
          </w:p>
        </w:tc>
        <w:tc>
          <w:tcPr>
            <w:tcW w:type="dxa" w:w="3577"/>
            <w:vAlign w:val="center"/>
          </w:tcPr>
          <w:p>
            <w:pPr>
              <w:spacing w:before="20" w:after="20" w:line="260" w:lineRule="auto"/>
              <w:ind w:firstLine="0"/>
              <w:jc w:val="left"/>
            </w:pPr>
            <w:r>
              <w:rPr>
                <w:sz w:val="20"/>
                <w:szCs w:val="20"/>
              </w:rPr>
              <w:t xml:space="preserve">Sinh mẫu cho 1.782 chuỗi, nhập thử 3 quyết định, tính lại toàn bộ công thức bằng LibreOffice</w:t>
            </w:r>
          </w:p>
        </w:tc>
        <w:tc>
          <w:tcPr>
            <w:tcW w:type="dxa" w:w="3117"/>
            <w:vAlign w:val="center"/>
          </w:tcPr>
          <w:p>
            <w:pPr>
              <w:spacing w:before="20" w:after="20" w:line="260" w:lineRule="auto"/>
              <w:ind w:firstLine="0"/>
              <w:jc w:val="left"/>
            </w:pPr>
            <w:r>
              <w:rPr>
                <w:sz w:val="20"/>
                <w:szCs w:val="20"/>
              </w:rPr>
              <w:t xml:space="preserve">7.140 công thức, 0 lỗi; cột Kiểm soát trả về đúng: hợp lệ / thiếu lý do / vượt mục tiêu P90</w:t>
            </w:r>
          </w:p>
        </w:tc>
      </w:tr>
      <w:tr>
        <w:trPr>
          <w:cantSplit/>
        </w:trPr>
        <w:tc>
          <w:tcPr>
            <w:tcW w:type="dxa" w:w="2377"/>
            <w:vAlign w:val="center"/>
          </w:tcPr>
          <w:p>
            <w:pPr>
              <w:spacing w:before="20" w:after="20" w:line="260" w:lineRule="auto"/>
              <w:ind w:firstLine="0"/>
              <w:jc w:val="left"/>
            </w:pPr>
            <w:r>
              <w:rPr>
                <w:sz w:val="20"/>
                <w:szCs w:val="20"/>
              </w:rPr>
              <w:t xml:space="preserve">Báo cáo 1 trang</w:t>
            </w:r>
          </w:p>
        </w:tc>
        <w:tc>
          <w:tcPr>
            <w:tcW w:type="dxa" w:w="3577"/>
            <w:vAlign w:val="center"/>
          </w:tcPr>
          <w:p>
            <w:pPr>
              <w:spacing w:before="20" w:after="20" w:line="260" w:lineRule="auto"/>
              <w:ind w:firstLine="0"/>
              <w:jc w:val="left"/>
            </w:pPr>
            <w:r>
              <w:rPr>
                <w:sz w:val="20"/>
                <w:szCs w:val="20"/>
              </w:rPr>
              <w:t xml:space="preserve">Sinh HTML và PDF A4 cho toàn hệ thống và cho phạm vi con</w:t>
            </w:r>
          </w:p>
        </w:tc>
        <w:tc>
          <w:tcPr>
            <w:tcW w:type="dxa" w:w="3117"/>
            <w:vAlign w:val="center"/>
          </w:tcPr>
          <w:p>
            <w:pPr>
              <w:spacing w:before="20" w:after="20" w:line="260" w:lineRule="auto"/>
              <w:ind w:firstLine="0"/>
              <w:jc w:val="left"/>
            </w:pPr>
            <w:r>
              <w:rPr>
                <w:sz w:val="20"/>
                <w:szCs w:val="20"/>
              </w:rPr>
              <w:t xml:space="preserve">Tạo thành công, hiển thị đúng 1 trang</w:t>
            </w:r>
          </w:p>
        </w:tc>
      </w:tr>
    </w:tbl>
    <w:p>
      <w:pPr>
        <w:spacing w:before="40" w:after="160"/>
        <w:ind w:firstLine="0"/>
      </w:pPr>
      <w:r>
        <w:rPr>
          <w:i/>
          <w:sz w:val="22"/>
          <w:szCs w:val="22"/>
        </w:rPr>
        <w:t xml:space="preserve">Nguồn: nhật ký chạy của tác giả.</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56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ind w:firstLine="0"/>
      <w:jc w:val="center"/>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ind w:firstLine="0"/>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60"/>
      <w:ind w:firstLine="0"/>
      <w:outlineLvl w:val="2"/>
    </w:pPr>
    <w:rPr>
      <w:rFonts w:ascii="Times New Roman" w:hAnsi="Times New Roman" w:eastAsia="Times New Roman" w:cs="Times New Roman"/>
      <w:b/>
      <w:bCs/>
      <w:color w:val="000000"/>
      <w:sz w:val="26"/>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0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100" Type="http://schemas.openxmlformats.org/officeDocument/2006/relationships/image" Target="media/F01_data_scale_453.png"/><Relationship Id="rId101" Type="http://schemas.openxmlformats.org/officeDocument/2006/relationships/image" Target="media/F02_daily_sales_465.png"/><Relationship Id="rId102" Type="http://schemas.openxmlformats.org/officeDocument/2006/relationships/image" Target="media/F03_weekday_pattern_471.png"/><Relationship Id="rId103" Type="http://schemas.openxmlformats.org/officeDocument/2006/relationships/image" Target="media/F05_robust_stl_494.png"/><Relationship Id="rId104" Type="http://schemas.openxmlformats.org/officeDocument/2006/relationships/image" Target="media/F06_cv_model_comparison_758.png"/><Relationship Id="rId105" Type="http://schemas.openxmlformats.org/officeDocument/2006/relationships/image" Target="media/F07_fold_stability_783.png"/><Relationship Id="rId106" Type="http://schemas.openxmlformats.org/officeDocument/2006/relationships/image" Target="media/F08_final_holdout_802.png"/><Relationship Id="rId107" Type="http://schemas.openxmlformats.org/officeDocument/2006/relationships/image" Target="media/F09_cv_vs_holdout_812.png"/><Relationship Id="rId108" Type="http://schemas.openxmlformats.org/officeDocument/2006/relationships/image" Target="media/F11_actual_vs_forecast_daily_842.png"/><Relationship Id="rId109" Type="http://schemas.openxmlformats.org/officeDocument/2006/relationships/image" Target="media/F12_actual_predicted_scatter_852.png"/><Relationship Id="rId110" Type="http://schemas.openxmlformats.org/officeDocument/2006/relationships/image" Target="media/F13_residual_distribution_859.png"/><Relationship Id="rId111" Type="http://schemas.openxmlformats.org/officeDocument/2006/relationships/image" Target="media/F17_error_by_demand_level_870.png"/><Relationship Id="rId112" Type="http://schemas.openxmlformats.org/officeDocument/2006/relationships/image" Target="media/F14_error_vs_demand_873.png"/><Relationship Id="rId113" Type="http://schemas.openxmlformats.org/officeDocument/2006/relationships/image" Target="media/F15_wape_by_store_885.png"/><Relationship Id="rId114" Type="http://schemas.openxmlformats.org/officeDocument/2006/relationships/image" Target="media/F16_wape_by_family_897.png"/><Relationship Id="rId115" Type="http://schemas.openxmlformats.org/officeDocument/2006/relationships/image" Target="media/F10_feature_importance_914.png"/><Relationship Id="rId116" Type="http://schemas.openxmlformats.org/officeDocument/2006/relationships/image" Target="media/F20_interval_width_vs_demand_932.png"/><Relationship Id="rId117" Type="http://schemas.openxmlformats.org/officeDocument/2006/relationships/image" Target="media/F18_pinball_loss_942.png"/><Relationship Id="rId118" Type="http://schemas.openxmlformats.org/officeDocument/2006/relationships/image" Target="media/F19_coverage_by_family_954.png"/><Relationship Id="rId119" Type="http://schemas.openxmlformats.org/officeDocument/2006/relationships/image" Target="media/F21_promotion_scenarios_974.png"/><Relationship Id="rId120" Type="http://schemas.openxmlformats.org/officeDocument/2006/relationships/image" Target="media/F22_promotion_sensitivity_983.png"/><Relationship Id="rId121" Type="http://schemas.openxmlformats.org/officeDocument/2006/relationships/image" Target="media/F23_inventory_risk_1011.png"/><Relationship Id="rId122" Type="http://schemas.openxmlformats.org/officeDocument/2006/relationships/image" Target="media/F24_replenishment_distribution_1023.png"/><Relationship Id="rId123" Type="http://schemas.openxmlformats.org/officeDocument/2006/relationships/image" Target="media/F25_case_du_bao_tot_1065.png"/><Relationship Id="rId124" Type="http://schemas.openxmlformats.org/officeDocument/2006/relationships/image" Target="media/F25_case_du_bao_kho_1071.png"/><Relationship Id="rId125" Type="http://schemas.openxmlformats.org/officeDocument/2006/relationships/image" Target="media/F25_case_bat_dinh_cao_1077.png"/><Relationship Id="rId126" Type="http://schemas.openxmlformats.org/officeDocument/2006/relationships/image" Target="media/F25_case_nhay_khuyen_mai_10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Chương 1 đã chỉnh sửa: loại đoạn đệm lặp, chuẩn hóa tiếng Việt học thuật, tăng chiều sâu ứng dụng. Các chương 2-6 giữ nguyên để chờ xác nhận.</dc:description>
  <cp:lastModifiedBy/>
  <cp:revision>1</cp:revision>
  <dcterms:created xsi:type="dcterms:W3CDTF">2013-12-23T23:15:00Z</dcterms:created>
  <dcterms:modified xsi:type="dcterms:W3CDTF">2013-12-23T23:15:00Z</dcterms:modified>
  <cp:category/>
</cp:coreProperties>
</file>