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Evita que los problemas de liquidez limiten la capacidad de tu empresa para expandirse y prosperar.</w:t>
        <w:br/>
        <w:t>Conoce nuestras soluciones ágiles y 100 % digitales</w:t>
        <w:br/>
        <w:t>Recibe el dinero de tus ventas hoy, sin tener que esperar el plazo de pago de tus clientes.</w:t>
        <w:br/>
        <w:t>Proceso en línea, ágil y sin complicaciones.</w:t>
        <w:br/>
        <w:t>Apoyo personalizado durante todo el proceso.</w:t>
        <w:br/>
        <w:t>Solución rápida y eficiente para financiar cuentas por cobrar.</w:t>
        <w:br/>
        <w:t>Adaptabilidad a las necesidades financieras de tu empresa.</w:t>
        <w:br/>
        <w:t xml:space="preserve"> </w:t>
        <w:br/>
        <w:t xml:space="preserve"> </w:t>
        <w:br/>
        <w:t xml:space="preserve"> </w:t>
        <w:br/>
        <w:t>Paga a tus proveedores con financiamiento</w:t>
        <w:br/>
        <w:br/>
        <w:t>Administra tus cuentas por pagar sin complicaciones</w:t>
        <w:br/>
        <w:t>Accede a una tasa diaria competitiva, reduces tus costosOptimiza tu flujo de efectivo financiando tus cuentas por paga</w:t>
        <w:br/>
        <w:t xml:space="preserve"> </w:t>
        <w:br/>
        <w:t xml:space="preserve"> 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