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Un 70 % se utilizará para financiar a pymes y un 30 % para expansión de productos e incursión en nuevos mercados.</w:t>
        <w:br/>
        <w:t>Ábaco ha sido aceptado en el AI Scale Tier del prestigioso Google for Startups Cloud Program. Esta oportunidad nos brinda acceso a créditos en la nube de hasta $350,000 USD...</w:t>
        <w:br/>
        <w:t>¿Cómo se pueden crear startups exitosas en un ecosistemas en desarrollo?</w:t>
        <w:br/>
        <w:t>La vida y la época de un emprendedor fintech en serie: una conversación con Alejandro McCormack</w:t>
        <w:br/>
        <w:t>Facilitando acceso a capital de trabajo para PYMES en Centroamérica: Carlos Villalobos, CEO de Ábaco</w:t>
        <w:br/>
        <w:t>Recibe tu pago en 1 día en vez de 120 días - Abaco</w:t>
        <w:br/>
        <w:t xml:space="preserve">Ábaco como patrocinado del primer evento de Elaniin de 2024: Elaniin AI - Inspirar. Conectar. Innovar. </w:t>
        <w:br/>
        <w:t>+ de 10 años en el ecosistema fintech con Alejandro McCormack Founder de Ábaco Capital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