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 xml:space="preserve"> </w:t>
        <w:br/>
        <w:t>En Ábaco Capital estamos orgullosos de ser parte del portafolio de Caricaco, un socio excepcional conocido por su perspectiva innovadora y su equipo de alto calibre. Caricaco ha sido fundamental en el apoyo de Ábaco desde el primer día, proporcionando una verdadera "value add investor" para los emprendedores centroamericanos.</w:t>
        <w:br/>
        <w:t>Caricaco Summit es un evento destacado que conecta a inversionistas globales, fundadores de Centroamérica y aliados estratégicos. Alejandro McCormack, cofundador de Ábaco, moderó el panel "Emprender en un ecosistema en desarrollo," donde se discutieron las oportunidades y desafíos en la región. Este evento marcó un antes y un después para el ecosistema emprendedor centroamericano, subrayando la importancia de la innovación y la colaboración.</w:t>
        <w:br/>
        <w:t>Para más información sobre Caricaco y sus iniciativas, visita Caricaco.</w:t>
        <w:br/>
        <w:t>La vida y la época de un emprendedor fintech en serie: una conversación con Alejandro McCormack</w:t>
        <w:br/>
        <w:t xml:space="preserve">Ábaco como patrocinado del primer evento de Elaniin de 2024: Elaniin AI - Inspirar. Conectar. Innovar. </w:t>
        <w:br/>
        <w:t>+ de 10 años en el ecosistema fintech con Alejandro McCormack Founder de Ábaco Capital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