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40"/>
        </w:rPr>
        <w:t>后端负责人任务说明与 IoT 接入设计文档</w:t>
      </w:r>
    </w:p>
    <w:p>
      <w:pPr>
        <w:spacing w:after="280"/>
        <w:jc w:val="center"/>
      </w:pPr>
      <w:r>
        <w:rPr>
          <w:rFonts w:ascii="Calibri" w:hAnsi="Calibri" w:eastAsia="Microsoft YaHei"/>
          <w:color w:val="595959"/>
          <w:sz w:val="21"/>
        </w:rPr>
        <w:t>USN Lab Hub IoT | 实验室硬件项目管理与智能运维平台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</w:rPr>
              <w:t>角色目标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负责把硬件数据可靠接进平台，把数据存住、查出、判断异常、下发指令并记录日志，形成可追踪的工程闭环。</w:t>
            </w:r>
          </w:p>
        </w:tc>
      </w:tr>
    </w:tbl>
    <w:p/>
    <w:p>
      <w:pPr>
        <w:pStyle w:val="Heading1"/>
      </w:pPr>
      <w:r>
        <w:t>1. 后端边界与技术栈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沿用 Spring Boot、MyBatis Plus、MySQL、Redis、Flyway、Swagger、JWT。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新增 MQTT 客户端能力，连接 EMQX 或 Mosquitto。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MVP 先实现单体应用内的 IoT 模块，不拆微服务。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数据设计以 device + metric 为核心，而不是只建 sensor 表，以兼容开发板、检测仪、智能设备和业务项目。</w:t>
      </w:r>
    </w:p>
    <w:p>
      <w:pPr>
        <w:pStyle w:val="Heading1"/>
      </w:pPr>
      <w:r>
        <w:t>2. 模块规划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模块</w:t>
            </w:r>
          </w:p>
        </w:tc>
        <w:tc>
          <w:tcPr>
            <w:tcW w:type="dxa" w:w="3456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职责</w:t>
            </w:r>
          </w:p>
        </w:tc>
        <w:tc>
          <w:tcPr>
            <w:tcW w:type="dxa" w:w="410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MVP 接口/能力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管理实验室硬件项目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 CRUD、项目绑定设备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管理设备资产和状态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 CRUD、状态更新、标签、负责人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指标模块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定义设备可上报指标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metric_key、单位、阈值、显示名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MQTT 接入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订阅 telemetry/status，发布 command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Broker 连接、消息解析、异常处理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保存原始数据和结构化数据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raw 入库、metric 入库、最新值 Redis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规则判断异常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阈值告警、离线告警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基于规则生成建议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recommendation 查询与状态更新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指令模块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下发指令并追踪 ACK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command_record 状态机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日志模块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记录关键业务操作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operation_log 查询</w:t>
            </w:r>
          </w:p>
        </w:tc>
      </w:tr>
    </w:tbl>
    <w:p/>
    <w:p>
      <w:pPr>
        <w:pStyle w:val="Heading1"/>
      </w:pPr>
      <w:r>
        <w:t>3. 推荐数据库表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lab_project：项目编号、项目名称、负责人、成员、状态、公开展示信息。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iot_device：设备编号、设备名称、设备类型、通信协议、所属项目、负责人、状态、位置、描述。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iot_device_metric：设备指标 key、名称、单位、阈值、显示顺序、是否启用。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iot_telemetry_raw：Topic、payload、device_code、received_at、parse_status、error_message。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iot_metric_data：device_id、metric_key、metric_value、unit、reported_at、received_at。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iot_alert_record：设备、指标、等级、触发值、阈值、消息、状态、处理人。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iot_recommendation：建议内容、来源 rule/agent、关联告警、状态。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iot_command_record：command_id、device_id、command、params、status、sent_at、acked_at、message。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iot_operation_log：操作人、动作、对象类型、对象 ID、摘要、时间。</w:t>
      </w:r>
    </w:p>
    <w:p>
      <w:pPr>
        <w:pStyle w:val="Heading1"/>
      </w:pPr>
      <w:r>
        <w:t>4. MQTT 协议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类型</w:t>
            </w:r>
          </w:p>
        </w:tc>
        <w:tc>
          <w:tcPr>
            <w:tcW w:type="dxa" w:w="468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Topic</w:t>
            </w:r>
          </w:p>
        </w:tc>
        <w:tc>
          <w:tcPr>
            <w:tcW w:type="dxa" w:w="3096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后端处理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telemetry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usn/{projectCode}/{deviceCode}/telemetry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解析指标、写 raw、写 metric、更新 Redis 和 last_seen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usn/{projectCode}/{deviceCode}/status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更新设备状态和在线时间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command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usn/{projectCode}/{deviceCode}/command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后端发布指令给硬件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command_ack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usn/{projectCode}/{deviceCode}/command_ack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更新 command_record 状态和日志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</w:rPr>
        <w:t>建议上报 JSON：deviceCode、timestamp、metrics、status。建议指令 JSON：commandId、command、params。建议 ACK JSON：commandId、status、message。</w:t>
      </w:r>
    </w:p>
    <w:p>
      <w:pPr>
        <w:pStyle w:val="Heading1"/>
      </w:pPr>
      <w:r>
        <w:t>5. API 规划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项目：GET/POST/PUT /api/iot/projects，GET /api/iot/projects/{id}。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设备：GET/POST/PUT /api/iot/devices，GET /api/iot/devices/{id}。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数据：GET /api/iot/devices/{id}/latest，GET /api/iot/devices/{id}/metrics/history。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告警：GET /api/iot/alerts，POST /api/iot/alerts/{id}/handle。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建议：GET /api/iot/recommendations，POST /api/iot/recommendations/{id}/confirm。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指令：POST /api/iot/devices/{id}/commands，GET /api/iot/commands。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日志：GET /api/iot/operation-logs。</w:t>
      </w:r>
    </w:p>
    <w:p>
      <w:pPr>
        <w:pStyle w:val="Heading1"/>
      </w:pPr>
      <w:r>
        <w:t>6. 6 周任务安排</w:t>
      </w:r>
    </w:p>
    <w:p>
      <w:pPr>
        <w:spacing w:after="120"/>
      </w:pPr>
      <w:r>
        <w:rPr>
          <w:rFonts w:ascii="Calibri" w:hAnsi="Calibri" w:eastAsia="Microsoft YaHei"/>
        </w:rPr>
        <w:t>项目构建节奏按每周 4-5 天安排，单人单日工作时长不超过 8 小时。周一用于需求和任务对齐，周三用于技术联调，周五或本周最后一个工作日用于阶段验收。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2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周期</w:t>
            </w:r>
          </w:p>
        </w:tc>
        <w:tc>
          <w:tcPr>
            <w:tcW w:type="dxa" w:w="374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后端重点</w:t>
            </w:r>
          </w:p>
        </w:tc>
        <w:tc>
          <w:tcPr>
            <w:tcW w:type="dxa" w:w="4392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交付物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1 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表结构、协议、接口草案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Flyway 草案、MQTT Topic、JSON 示例、Swagger 分组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2 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项目/设备/指标基础接口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CRUD 接口、分页查询、状态枚举、操作日志基础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3 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MQTT 接入和数据存储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Broker 连接、订阅、raw 入库、metric 入库、Redis 最新值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4 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告警、指令、ACK、日志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规则扫描、command 发布、ACK 订阅、状态机、日志链路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5 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建议、统计、演示兜底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recommendation、健康评分、MQTT 模拟 Publisher、演示数据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6 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测试、部署和文档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接口文档、协议文档、部署说明、测试记录</w:t>
            </w:r>
          </w:p>
        </w:tc>
      </w:tr>
    </w:tbl>
    <w:p/>
    <w:p>
      <w:pPr>
        <w:pStyle w:val="Heading1"/>
      </w:pPr>
      <w:r>
        <w:t>7. 与产品、前端、硬件组对接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对象</w:t>
            </w:r>
          </w:p>
        </w:tc>
        <w:tc>
          <w:tcPr>
            <w:tcW w:type="dxa" w:w="4032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后端需要获得</w:t>
            </w:r>
          </w:p>
        </w:tc>
        <w:tc>
          <w:tcPr>
            <w:tcW w:type="dxa" w:w="374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后端需要交付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产品经理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字段定义、权限规则、告警规则、建议文案、演示设备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接口清单、数据字典、协议风险、实现进度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前端负责人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页面字段、查询条件、交互状态、错误展示需求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Swagger、API 示例、返回结构、错误码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硬件组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设备编号、指标名、单位、上报频率、控制动作、ACK 格式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Broker 地址、Topic、JSON 协议、联调记录</w:t>
            </w:r>
          </w:p>
        </w:tc>
      </w:tr>
    </w:tbl>
    <w:p/>
    <w:p>
      <w:pPr>
        <w:pStyle w:val="Heading1"/>
      </w:pPr>
      <w:r>
        <w:t>8. 风险控制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每条 MQTT 消息先写 raw，再解析 metric，避免解析失败后无法排查。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设备离线用 last_seen 判断，不依赖硬件主动声明。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指令必须有 commandId，并设置超时状态，避免发出后无结论。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真实控制只做低风险动作；高风险动作只生成建议或模拟 ACK。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保留 MQTT 模拟 Publisher，确保演示时硬件异常也能跑通主链路。</w:t>
      </w:r>
    </w:p>
    <w:p>
      <w:pPr>
        <w:pStyle w:val="Heading1"/>
      </w:pPr>
      <w:r>
        <w:t>9. 一个半月后的后端路线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增加 WebSocket/SSE 推送最新数据和告警，减少前端轮询。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引入消息队列缓冲高频上报，提升削峰和异步处理能力。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评估时序数据库，支撑长期、高频、多指标历史数据查询。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扩展规则引擎，支持更复杂的多指标判断和设备健康评分。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接入 Agent 服务，让 Agent 读取数据、告警、日志并生成建议；关键指令仍需人工确认。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完善权限审计、数据归档、部署自动化和监控告警。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8"/>
      </w:rPr>
      <w:t>USN Lab Hub IoT 项目规划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