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声像科技的核心用户覆盖小学、高中、高校三个学段，各学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的核心需求包括：多智能</w:t>
      </w:r>
      <w:proofErr w:type="gramStart"/>
      <w:r w:rsidRPr="00FB6F0F">
        <w:rPr>
          <w:rFonts w:ascii="Times New Roman" w:eastAsia="楷体" w:hAnsi="Times New Roman" w:cs="Times New Roman" w:hint="eastAsia"/>
          <w:sz w:val="24"/>
        </w:rPr>
        <w:t>体系统</w:t>
      </w:r>
      <w:proofErr w:type="gramEnd"/>
      <w:r w:rsidRPr="00FB6F0F">
        <w:rPr>
          <w:rFonts w:ascii="Times New Roman" w:eastAsia="楷体" w:hAnsi="Times New Roman" w:cs="Times New Roman" w:hint="eastAsia"/>
          <w:sz w:val="24"/>
        </w:rPr>
        <w:t>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w:t>
      </w:r>
      <w:proofErr w:type="gramStart"/>
      <w:r w:rsidRPr="00FB6F0F">
        <w:rPr>
          <w:rFonts w:ascii="Times New Roman" w:eastAsia="楷体" w:hAnsi="Times New Roman" w:cs="Times New Roman" w:hint="eastAsia"/>
          <w:sz w:val="24"/>
        </w:rPr>
        <w:t>解锁真题资源包</w:t>
      </w:r>
      <w:proofErr w:type="gramEnd"/>
      <w:r w:rsidRPr="00FB6F0F">
        <w:rPr>
          <w:rFonts w:ascii="Times New Roman" w:eastAsia="楷体" w:hAnsi="Times New Roman" w:cs="Times New Roman" w:hint="eastAsia"/>
          <w:sz w:val="24"/>
        </w:rPr>
        <w:t>。</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w:t>
      </w:r>
      <w:proofErr w:type="gramStart"/>
      <w:r w:rsidRPr="00FB6F0F">
        <w:rPr>
          <w:rFonts w:ascii="Times New Roman" w:eastAsia="楷体" w:hAnsi="Times New Roman" w:cs="Times New Roman" w:hint="eastAsia"/>
          <w:sz w:val="24"/>
        </w:rPr>
        <w:t>一</w:t>
      </w:r>
      <w:proofErr w:type="gramEnd"/>
      <w:r w:rsidRPr="00FB6F0F">
        <w:rPr>
          <w:rFonts w:ascii="Times New Roman" w:eastAsia="楷体" w:hAnsi="Times New Roman" w:cs="Times New Roman" w:hint="eastAsia"/>
          <w:sz w:val="24"/>
        </w:rPr>
        <w:t>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首先，学习过程中存在孤独感、缺乏针对性陪伴支持，是全学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知识答疑过程中的信息碎片化、多来源信息难以有效整合，导致全学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的学习效率受到显著影响。高校学生存在“海量学习信息筛选困难”的问题，小学生群体面临“英语学习资源体系混乱”的现状，具体表现为不同教材版本</w:t>
      </w:r>
      <w:proofErr w:type="gramStart"/>
      <w:r w:rsidRPr="00C869D1">
        <w:rPr>
          <w:rFonts w:ascii="Times New Roman" w:eastAsia="楷体" w:hAnsi="Times New Roman" w:cs="Times New Roman" w:hint="eastAsia"/>
          <w:sz w:val="24"/>
        </w:rPr>
        <w:t>间核心</w:t>
      </w:r>
      <w:proofErr w:type="gramEnd"/>
      <w:r w:rsidRPr="00C869D1">
        <w:rPr>
          <w:rFonts w:ascii="Times New Roman" w:eastAsia="楷体" w:hAnsi="Times New Roman" w:cs="Times New Roman" w:hint="eastAsia"/>
          <w:sz w:val="24"/>
        </w:rPr>
        <w:t>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w:t>
      </w:r>
      <w:proofErr w:type="gramStart"/>
      <w:r w:rsidRPr="00C869D1">
        <w:rPr>
          <w:rFonts w:ascii="Times New Roman" w:eastAsia="楷体" w:hAnsi="Times New Roman" w:cs="Times New Roman" w:hint="eastAsia"/>
          <w:sz w:val="24"/>
        </w:rPr>
        <w:t>库完成</w:t>
      </w:r>
      <w:proofErr w:type="gramEnd"/>
      <w:r w:rsidRPr="00C869D1">
        <w:rPr>
          <w:rFonts w:ascii="Times New Roman" w:eastAsia="楷体" w:hAnsi="Times New Roman" w:cs="Times New Roman" w:hint="eastAsia"/>
          <w:sz w:val="24"/>
        </w:rPr>
        <w:t>人教版、外</w:t>
      </w:r>
      <w:proofErr w:type="gramStart"/>
      <w:r w:rsidRPr="00C869D1">
        <w:rPr>
          <w:rFonts w:ascii="Times New Roman" w:eastAsia="楷体" w:hAnsi="Times New Roman" w:cs="Times New Roman" w:hint="eastAsia"/>
          <w:sz w:val="24"/>
        </w:rPr>
        <w:t>研</w:t>
      </w:r>
      <w:proofErr w:type="gramEnd"/>
      <w:r w:rsidRPr="00C869D1">
        <w:rPr>
          <w:rFonts w:ascii="Times New Roman" w:eastAsia="楷体" w:hAnsi="Times New Roman" w:cs="Times New Roman" w:hint="eastAsia"/>
          <w:sz w:val="24"/>
        </w:rPr>
        <w:t>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w:t>
      </w:r>
      <w:proofErr w:type="gramStart"/>
      <w:r w:rsidRPr="00C869D1">
        <w:rPr>
          <w:rFonts w:ascii="Times New Roman" w:eastAsia="楷体" w:hAnsi="Times New Roman" w:cs="Times New Roman" w:hint="eastAsia"/>
          <w:sz w:val="24"/>
        </w:rPr>
        <w:t>体完成</w:t>
      </w:r>
      <w:proofErr w:type="gramEnd"/>
      <w:r w:rsidRPr="00C869D1">
        <w:rPr>
          <w:rFonts w:ascii="Times New Roman" w:eastAsia="楷体" w:hAnsi="Times New Roman" w:cs="Times New Roman" w:hint="eastAsia"/>
          <w:sz w:val="24"/>
        </w:rPr>
        <w:t>需求意图识别，知识检索智能体调取</w:t>
      </w:r>
      <w:proofErr w:type="gramStart"/>
      <w:r w:rsidRPr="00C869D1">
        <w:rPr>
          <w:rFonts w:ascii="Times New Roman" w:eastAsia="楷体" w:hAnsi="Times New Roman" w:cs="Times New Roman" w:hint="eastAsia"/>
          <w:sz w:val="24"/>
        </w:rPr>
        <w:t>对应学</w:t>
      </w:r>
      <w:proofErr w:type="gramEnd"/>
      <w:r w:rsidRPr="00C869D1">
        <w:rPr>
          <w:rFonts w:ascii="Times New Roman" w:eastAsia="楷体" w:hAnsi="Times New Roman" w:cs="Times New Roman" w:hint="eastAsia"/>
          <w:sz w:val="24"/>
        </w:rPr>
        <w:t>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评估维度单一、与学</w:t>
      </w:r>
      <w:proofErr w:type="gramStart"/>
      <w:r w:rsidRPr="00C869D1">
        <w:rPr>
          <w:rFonts w:ascii="Times New Roman" w:eastAsia="楷体" w:hAnsi="Times New Roman" w:cs="Times New Roman" w:hint="eastAsia"/>
          <w:sz w:val="24"/>
        </w:rPr>
        <w:t>段核心</w:t>
      </w:r>
      <w:proofErr w:type="gramEnd"/>
      <w:r w:rsidRPr="00C869D1">
        <w:rPr>
          <w:rFonts w:ascii="Times New Roman" w:eastAsia="楷体" w:hAnsi="Times New Roman" w:cs="Times New Roman" w:hint="eastAsia"/>
          <w:sz w:val="24"/>
        </w:rPr>
        <w:t>特性不匹配，导致评估反馈的精准度不足。传统评估模式普遍存在难以适配个体差异</w:t>
      </w:r>
      <w:proofErr w:type="gramStart"/>
      <w:r w:rsidRPr="00C869D1">
        <w:rPr>
          <w:rFonts w:ascii="Times New Roman" w:eastAsia="楷体" w:hAnsi="Times New Roman" w:cs="Times New Roman" w:hint="eastAsia"/>
          <w:sz w:val="24"/>
        </w:rPr>
        <w:t>化需求</w:t>
      </w:r>
      <w:proofErr w:type="gramEnd"/>
      <w:r w:rsidRPr="00C869D1">
        <w:rPr>
          <w:rFonts w:ascii="Times New Roman" w:eastAsia="楷体" w:hAnsi="Times New Roman" w:cs="Times New Roman" w:hint="eastAsia"/>
          <w:sz w:val="24"/>
        </w:rPr>
        <w:t>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学习动力易衰减、长期学习计划难以持续执行，是全学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w:t>
      </w:r>
      <w:proofErr w:type="gramStart"/>
      <w:r w:rsidRPr="00C869D1">
        <w:rPr>
          <w:rFonts w:ascii="Times New Roman" w:eastAsia="楷体" w:hAnsi="Times New Roman" w:cs="Times New Roman" w:hint="eastAsia"/>
          <w:sz w:val="24"/>
        </w:rPr>
        <w:t>属动作</w:t>
      </w:r>
      <w:proofErr w:type="gramEnd"/>
      <w:r w:rsidRPr="00C869D1">
        <w:rPr>
          <w:rFonts w:ascii="Times New Roman" w:eastAsia="楷体" w:hAnsi="Times New Roman" w:cs="Times New Roman" w:hint="eastAsia"/>
          <w:sz w:val="24"/>
        </w:rPr>
        <w:t>等奖励；高中阶段设计高考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任务与周度复习挑战，其中高考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proofErr w:type="gramStart"/>
      <w:r w:rsidRPr="00C869D1">
        <w:rPr>
          <w:rFonts w:ascii="Times New Roman" w:eastAsia="楷体" w:hAnsi="Times New Roman" w:cs="Times New Roman" w:hint="eastAsia"/>
          <w:sz w:val="24"/>
        </w:rPr>
        <w:t>不</w:t>
      </w:r>
      <w:proofErr w:type="gramEnd"/>
      <w:r w:rsidRPr="00C869D1">
        <w:rPr>
          <w:rFonts w:ascii="Times New Roman" w:eastAsia="楷体" w:hAnsi="Times New Roman" w:cs="Times New Roman" w:hint="eastAsia"/>
          <w:sz w:val="24"/>
        </w:rPr>
        <w:t>同学段间知识体系衔接薄弱、学习目标存在脱节现象，是</w:t>
      </w:r>
      <w:proofErr w:type="gramStart"/>
      <w:r w:rsidRPr="00C869D1">
        <w:rPr>
          <w:rFonts w:ascii="Times New Roman" w:eastAsia="楷体" w:hAnsi="Times New Roman" w:cs="Times New Roman" w:hint="eastAsia"/>
          <w:sz w:val="24"/>
        </w:rPr>
        <w:t>跨学段用户</w:t>
      </w:r>
      <w:proofErr w:type="gramEnd"/>
      <w:r w:rsidRPr="00C869D1">
        <w:rPr>
          <w:rFonts w:ascii="Times New Roman" w:eastAsia="楷体" w:hAnsi="Times New Roman" w:cs="Times New Roman" w:hint="eastAsia"/>
          <w:sz w:val="24"/>
        </w:rPr>
        <w:t>面临的深层痛点。小学生英语基础不</w:t>
      </w:r>
      <w:proofErr w:type="gramStart"/>
      <w:r w:rsidRPr="00C869D1">
        <w:rPr>
          <w:rFonts w:ascii="Times New Roman" w:eastAsia="楷体" w:hAnsi="Times New Roman" w:cs="Times New Roman" w:hint="eastAsia"/>
          <w:sz w:val="24"/>
        </w:rPr>
        <w:t>扎实会</w:t>
      </w:r>
      <w:proofErr w:type="gramEnd"/>
      <w:r w:rsidRPr="00C869D1">
        <w:rPr>
          <w:rFonts w:ascii="Times New Roman" w:eastAsia="楷体" w:hAnsi="Times New Roman" w:cs="Times New Roman" w:hint="eastAsia"/>
          <w:sz w:val="24"/>
        </w:rPr>
        <w:t>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w:t>
      </w:r>
      <w:proofErr w:type="gramStart"/>
      <w:r w:rsidRPr="00C869D1">
        <w:rPr>
          <w:rFonts w:ascii="Times New Roman" w:eastAsia="楷体" w:hAnsi="Times New Roman" w:cs="Times New Roman" w:hint="eastAsia"/>
          <w:sz w:val="24"/>
        </w:rPr>
        <w:t>后续学</w:t>
      </w:r>
      <w:proofErr w:type="gramEnd"/>
      <w:r w:rsidRPr="00C869D1">
        <w:rPr>
          <w:rFonts w:ascii="Times New Roman" w:eastAsia="楷体" w:hAnsi="Times New Roman" w:cs="Times New Roman" w:hint="eastAsia"/>
          <w:sz w:val="24"/>
        </w:rPr>
        <w:t>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w:t>
      </w:r>
      <w:proofErr w:type="gramStart"/>
      <w:r w:rsidRPr="00C869D1">
        <w:rPr>
          <w:rFonts w:ascii="Times New Roman" w:eastAsia="楷体" w:hAnsi="Times New Roman" w:cs="Times New Roman" w:hint="eastAsia"/>
          <w:sz w:val="24"/>
        </w:rPr>
        <w:t>阶段由客制</w:t>
      </w:r>
      <w:proofErr w:type="gramEnd"/>
      <w:r w:rsidRPr="00C869D1">
        <w:rPr>
          <w:rFonts w:ascii="Times New Roman" w:eastAsia="楷体" w:hAnsi="Times New Roman" w:cs="Times New Roman" w:hint="eastAsia"/>
          <w:sz w:val="24"/>
        </w:rPr>
        <w:t>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w:t>
      </w:r>
      <w:proofErr w:type="gramStart"/>
      <w:r w:rsidRPr="00C869D1">
        <w:rPr>
          <w:rFonts w:ascii="Times New Roman" w:eastAsia="楷体" w:hAnsi="Times New Roman" w:cs="Times New Roman" w:hint="eastAsia"/>
          <w:sz w:val="24"/>
        </w:rPr>
        <w:t>段知识</w:t>
      </w:r>
      <w:proofErr w:type="gramEnd"/>
      <w:r w:rsidRPr="00C869D1">
        <w:rPr>
          <w:rFonts w:ascii="Times New Roman" w:eastAsia="楷体" w:hAnsi="Times New Roman" w:cs="Times New Roman" w:hint="eastAsia"/>
          <w:sz w:val="24"/>
        </w:rPr>
        <w:t>体系与学习目标的无缝衔接。</w:t>
      </w:r>
    </w:p>
    <w:p w14:paraId="50E4FCBE" w14:textId="60D5657A" w:rsidR="00060C47" w:rsidRPr="005107C3" w:rsidRDefault="00060C47" w:rsidP="00D73B3B">
      <w:pPr>
        <w:spacing w:beforeLines="50" w:before="156" w:afterLines="50" w:after="156" w:line="240" w:lineRule="auto"/>
        <w:ind w:firstLineChars="200" w:firstLine="480"/>
        <w:rPr>
          <w:rFonts w:ascii="Times New Roman" w:eastAsia="楷体" w:hAnsi="Times New Roman" w:cs="Times New Roman" w:hint="eastAsia"/>
          <w:sz w:val="24"/>
        </w:rPr>
      </w:pPr>
    </w:p>
    <w:sectPr w:rsidR="00060C47" w:rsidRPr="005107C3" w:rsidSect="00012FC6">
      <w:headerReference w:type="default" r:id="rId9"/>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400F7" w14:textId="77777777" w:rsidR="00F80513" w:rsidRDefault="00F80513" w:rsidP="00E160DB">
      <w:pPr>
        <w:spacing w:after="0" w:line="240" w:lineRule="auto"/>
        <w:rPr>
          <w:rFonts w:hint="eastAsia"/>
        </w:rPr>
      </w:pPr>
      <w:r>
        <w:separator/>
      </w:r>
    </w:p>
  </w:endnote>
  <w:endnote w:type="continuationSeparator" w:id="0">
    <w:p w14:paraId="10758379" w14:textId="77777777" w:rsidR="00F80513" w:rsidRDefault="00F80513"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3F256" w14:textId="77777777" w:rsidR="00F80513" w:rsidRDefault="00F80513" w:rsidP="00E160DB">
      <w:pPr>
        <w:spacing w:after="0" w:line="240" w:lineRule="auto"/>
        <w:rPr>
          <w:rFonts w:hint="eastAsia"/>
        </w:rPr>
      </w:pPr>
      <w:r>
        <w:separator/>
      </w:r>
    </w:p>
  </w:footnote>
  <w:footnote w:type="continuationSeparator" w:id="0">
    <w:p w14:paraId="5BAA91BF" w14:textId="77777777" w:rsidR="00F80513" w:rsidRDefault="00F80513"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2AEB7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33A01"/>
    <w:rsid w:val="00060C47"/>
    <w:rsid w:val="00086961"/>
    <w:rsid w:val="00094117"/>
    <w:rsid w:val="000B5E68"/>
    <w:rsid w:val="000D36B7"/>
    <w:rsid w:val="000E0BFE"/>
    <w:rsid w:val="000E5162"/>
    <w:rsid w:val="000E779F"/>
    <w:rsid w:val="000F4D6E"/>
    <w:rsid w:val="00114CF4"/>
    <w:rsid w:val="00125188"/>
    <w:rsid w:val="00130BAD"/>
    <w:rsid w:val="001828BA"/>
    <w:rsid w:val="001B3943"/>
    <w:rsid w:val="001F0F93"/>
    <w:rsid w:val="00207EBA"/>
    <w:rsid w:val="00235D92"/>
    <w:rsid w:val="0025343C"/>
    <w:rsid w:val="00294911"/>
    <w:rsid w:val="002C2AE6"/>
    <w:rsid w:val="002D1526"/>
    <w:rsid w:val="002E1B27"/>
    <w:rsid w:val="002E5191"/>
    <w:rsid w:val="002F2957"/>
    <w:rsid w:val="00313DA4"/>
    <w:rsid w:val="00327C71"/>
    <w:rsid w:val="00332049"/>
    <w:rsid w:val="00333F62"/>
    <w:rsid w:val="003440B6"/>
    <w:rsid w:val="003619E6"/>
    <w:rsid w:val="0038523B"/>
    <w:rsid w:val="00394D91"/>
    <w:rsid w:val="003C2744"/>
    <w:rsid w:val="003C5585"/>
    <w:rsid w:val="003C61B0"/>
    <w:rsid w:val="003C64DE"/>
    <w:rsid w:val="00435338"/>
    <w:rsid w:val="00447E00"/>
    <w:rsid w:val="00475722"/>
    <w:rsid w:val="00491600"/>
    <w:rsid w:val="004A1C03"/>
    <w:rsid w:val="004C7E09"/>
    <w:rsid w:val="004D04B1"/>
    <w:rsid w:val="004F0BB9"/>
    <w:rsid w:val="004F22CC"/>
    <w:rsid w:val="005107C3"/>
    <w:rsid w:val="00551488"/>
    <w:rsid w:val="005A65AB"/>
    <w:rsid w:val="005B08A3"/>
    <w:rsid w:val="005B42BE"/>
    <w:rsid w:val="005B7ED0"/>
    <w:rsid w:val="00606AE0"/>
    <w:rsid w:val="006610EF"/>
    <w:rsid w:val="00687E9F"/>
    <w:rsid w:val="006B4DC6"/>
    <w:rsid w:val="00723F98"/>
    <w:rsid w:val="0072558F"/>
    <w:rsid w:val="00727BF5"/>
    <w:rsid w:val="00730583"/>
    <w:rsid w:val="00732576"/>
    <w:rsid w:val="0073565E"/>
    <w:rsid w:val="007460C4"/>
    <w:rsid w:val="0075251A"/>
    <w:rsid w:val="00775F3C"/>
    <w:rsid w:val="007947CE"/>
    <w:rsid w:val="00796EE9"/>
    <w:rsid w:val="00827D95"/>
    <w:rsid w:val="0083403F"/>
    <w:rsid w:val="00850A0A"/>
    <w:rsid w:val="00862712"/>
    <w:rsid w:val="0087271C"/>
    <w:rsid w:val="00873184"/>
    <w:rsid w:val="0089658D"/>
    <w:rsid w:val="008D4713"/>
    <w:rsid w:val="008F470E"/>
    <w:rsid w:val="009227F0"/>
    <w:rsid w:val="009371D7"/>
    <w:rsid w:val="009408D7"/>
    <w:rsid w:val="009C7D4E"/>
    <w:rsid w:val="009D6987"/>
    <w:rsid w:val="009D7C95"/>
    <w:rsid w:val="009D7D24"/>
    <w:rsid w:val="00A31FE8"/>
    <w:rsid w:val="00A375B9"/>
    <w:rsid w:val="00A5563C"/>
    <w:rsid w:val="00AA342F"/>
    <w:rsid w:val="00AA51C8"/>
    <w:rsid w:val="00AD0FD4"/>
    <w:rsid w:val="00AE0BE6"/>
    <w:rsid w:val="00B15EB9"/>
    <w:rsid w:val="00B32F20"/>
    <w:rsid w:val="00B3583C"/>
    <w:rsid w:val="00B7203D"/>
    <w:rsid w:val="00B91A90"/>
    <w:rsid w:val="00BA4BE1"/>
    <w:rsid w:val="00C03B2E"/>
    <w:rsid w:val="00C063F3"/>
    <w:rsid w:val="00C1157C"/>
    <w:rsid w:val="00C22202"/>
    <w:rsid w:val="00C26C70"/>
    <w:rsid w:val="00C26E32"/>
    <w:rsid w:val="00C3645C"/>
    <w:rsid w:val="00C5198E"/>
    <w:rsid w:val="00C55E7C"/>
    <w:rsid w:val="00C572ED"/>
    <w:rsid w:val="00C869D1"/>
    <w:rsid w:val="00CA71C4"/>
    <w:rsid w:val="00CC00F3"/>
    <w:rsid w:val="00CC659B"/>
    <w:rsid w:val="00CE00E0"/>
    <w:rsid w:val="00D001AC"/>
    <w:rsid w:val="00D258AD"/>
    <w:rsid w:val="00D45B28"/>
    <w:rsid w:val="00D52132"/>
    <w:rsid w:val="00D66E75"/>
    <w:rsid w:val="00D710E8"/>
    <w:rsid w:val="00D73B3B"/>
    <w:rsid w:val="00DA67D8"/>
    <w:rsid w:val="00DC6E06"/>
    <w:rsid w:val="00DD4551"/>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E7EC9"/>
    <w:rsid w:val="00EF5AE5"/>
    <w:rsid w:val="00F03D89"/>
    <w:rsid w:val="00F14DB2"/>
    <w:rsid w:val="00F80513"/>
    <w:rsid w:val="00FB22CD"/>
    <w:rsid w:val="00FB6F0F"/>
    <w:rsid w:val="00FE0FE5"/>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1585</Words>
  <Characters>1696</Characters>
  <Application>Microsoft Office Word</Application>
  <DocSecurity>0</DocSecurity>
  <Lines>51</Lines>
  <Paragraphs>39</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98</cp:revision>
  <cp:lastPrinted>2025-04-11T09:55:00Z</cp:lastPrinted>
  <dcterms:created xsi:type="dcterms:W3CDTF">2025-03-29T11:46:00Z</dcterms:created>
  <dcterms:modified xsi:type="dcterms:W3CDTF">2025-10-06T06:57:00Z</dcterms:modified>
</cp:coreProperties>
</file>