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MiniYuxi 定位与开源平台分工白皮书</w:t>
      </w:r>
    </w:p>
    <w:p>
      <w:pPr>
        <w:jc w:val="center"/>
      </w:pPr>
      <w:r>
        <w:rPr>
          <w:rFonts w:ascii="楷体" w:hAnsi="楷体" w:eastAsia="楷体"/>
          <w:sz w:val="24"/>
        </w:rPr>
        <w:t>——自研轻量 HR 智能体平台 vs 主流开源企业级 Agent 平台的边界与协作</w:t>
      </w:r>
    </w:p>
    <w:p>
      <w:pPr>
        <w:jc w:val="center"/>
      </w:pPr>
      <w:r>
        <w:rPr>
          <w:sz w:val="20"/>
        </w:rPr>
        <w:t>编制：车务通 HR · AI 助理项目组　|　版本 v1.0　|　2026-09-15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一、产品定位与适用边界</w:t>
      </w:r>
    </w:p>
    <w:p>
      <w:r>
        <w:rPr>
          <w:b w:val="0"/>
        </w:rPr>
        <w:t>MiniYuxi 是深圳车务通科技（隶属陕西导航）自研的轻量 HR 智能体平台，定位为「原生进程、零外部服务、可单机离线运行」的本地化 AI 助手基座。它不追求成为通用大模型编排巨头，而是聚焦 HR 五大模块（招聘 / 绩效 / 薪酬 / 培训 / 劳动关系）的落地可用性、数据主权与合规可审计。</w:t>
      </w:r>
    </w:p>
    <w:p>
      <w:pPr>
        <w:pStyle w:val="ListBullet"/>
      </w:pPr>
      <w:r>
        <w:t>适用：本机/内网单机部署、HR 制度问答、招聘智能化、劳动争议案件辅助、员工自助服务。</w:t>
      </w:r>
    </w:p>
    <w:p>
      <w:pPr>
        <w:pStyle w:val="ListBullet"/>
      </w:pPr>
      <w:r>
        <w:t>不适用：需要 Kubernetes 多集群弹性扩缩、跨组织联邦、超大规模多租户 SaaS 的通用 Agent 中台场景。</w:t>
      </w:r>
    </w:p>
    <w:p>
      <w:pPr>
        <w:pStyle w:val="ListBullet"/>
      </w:pPr>
      <w:r>
        <w:t>核心约束：服务启动必须携带 LLM / EMB / DOUBAO 环境变量；数据层为 SQLite 单文件（sqlite-vec + FTS5），无 Docker、无 VT-x 依赖。</w:t>
      </w:r>
    </w:p>
    <w:p>
      <w:pPr>
        <w:pStyle w:val="Heading1"/>
      </w:pPr>
      <w:r>
        <w:rPr>
          <w:rFonts w:ascii="黑体" w:hAnsi="黑体" w:eastAsia="黑体"/>
          <w:sz w:val="30"/>
        </w:rPr>
        <w:t>二、MiniYuxi 与主流开源企业级 Agent 平台对比</w:t>
      </w:r>
    </w:p>
    <w:p>
      <w:r>
        <w:rPr>
          <w:b/>
        </w:rPr>
        <w:t>下表从自研可控性、部署门槛、知识库、审计合规、多模型、生态五大维度横向比较。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MiniYuxi（自研）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Dify / FastGPT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RAGFlow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LangChain/AutoGen 类</w:t>
            </w:r>
          </w:p>
        </w:tc>
      </w:tr>
      <w:tr>
        <w:tc>
          <w:tcPr>
            <w:tcW w:type="dxa" w:w="1701"/>
          </w:tcPr>
          <w:p>
            <w:r/>
            <w:r>
              <w:t>部署门槛</w:t>
            </w:r>
          </w:p>
        </w:tc>
        <w:tc>
          <w:tcPr>
            <w:tcW w:type="dxa" w:w="2608"/>
          </w:tcPr>
          <w:p>
            <w:r/>
            <w:r>
              <w:t>极低：uvicorn 单进程，零外部服务</w:t>
            </w:r>
          </w:p>
        </w:tc>
        <w:tc>
          <w:tcPr>
            <w:tcW w:type="dxa" w:w="2381"/>
          </w:tcPr>
          <w:p>
            <w:r/>
            <w:r>
              <w:t>中：需容器编排+向量库+Redis</w:t>
            </w:r>
          </w:p>
        </w:tc>
        <w:tc>
          <w:tcPr>
            <w:tcW w:type="dxa" w:w="1814"/>
          </w:tcPr>
          <w:p>
            <w:r/>
            <w:r>
              <w:t>中：依赖 ES/向量库</w:t>
            </w:r>
          </w:p>
        </w:tc>
        <w:tc>
          <w:tcPr>
            <w:tcW w:type="dxa" w:w="2154"/>
          </w:tcPr>
          <w:p>
            <w:r/>
            <w:r>
              <w:t>高：需自行组装工程化</w:t>
            </w:r>
          </w:p>
        </w:tc>
      </w:tr>
      <w:tr>
        <w:tc>
          <w:tcPr>
            <w:tcW w:type="dxa" w:w="1701"/>
          </w:tcPr>
          <w:p>
            <w:r/>
            <w:r>
              <w:t>数据主权</w:t>
            </w:r>
          </w:p>
        </w:tc>
        <w:tc>
          <w:tcPr>
            <w:tcW w:type="dxa" w:w="2608"/>
          </w:tcPr>
          <w:p>
            <w:r/>
            <w:r>
              <w:t>完全本地，SQLite 单文件</w:t>
            </w:r>
          </w:p>
        </w:tc>
        <w:tc>
          <w:tcPr>
            <w:tcW w:type="dxa" w:w="2381"/>
          </w:tcPr>
          <w:p>
            <w:r/>
            <w:r>
              <w:t>自托管可本地</w:t>
            </w:r>
          </w:p>
        </w:tc>
        <w:tc>
          <w:tcPr>
            <w:tcW w:type="dxa" w:w="1814"/>
          </w:tcPr>
          <w:p>
            <w:r/>
            <w:r>
              <w:t>自托管可本地</w:t>
            </w:r>
          </w:p>
        </w:tc>
        <w:tc>
          <w:tcPr>
            <w:tcW w:type="dxa" w:w="2154"/>
          </w:tcPr>
          <w:p>
            <w:r/>
            <w:r>
              <w:t>取决于集成组件</w:t>
            </w:r>
          </w:p>
        </w:tc>
      </w:tr>
      <w:tr>
        <w:tc>
          <w:tcPr>
            <w:tcW w:type="dxa" w:w="1701"/>
          </w:tcPr>
          <w:p>
            <w:r/>
            <w:r>
              <w:t>原生 RAG</w:t>
            </w:r>
          </w:p>
        </w:tc>
        <w:tc>
          <w:tcPr>
            <w:tcW w:type="dxa" w:w="2608"/>
          </w:tcPr>
          <w:p>
            <w:r/>
            <w:r>
              <w:t>内置（FTS5+向量 RRF 融合）</w:t>
            </w:r>
          </w:p>
        </w:tc>
        <w:tc>
          <w:tcPr>
            <w:tcW w:type="dxa" w:w="2381"/>
          </w:tcPr>
          <w:p>
            <w:r/>
            <w:r>
              <w:t>需接外部向量库</w:t>
            </w:r>
          </w:p>
        </w:tc>
        <w:tc>
          <w:tcPr>
            <w:tcW w:type="dxa" w:w="1814"/>
          </w:tcPr>
          <w:p>
            <w:r/>
            <w:r>
              <w:t>强项（深度文档解析）</w:t>
            </w:r>
          </w:p>
        </w:tc>
        <w:tc>
          <w:tcPr>
            <w:tcW w:type="dxa" w:w="2154"/>
          </w:tcPr>
          <w:p>
            <w:r/>
            <w:r>
              <w:t>需自行实现</w:t>
            </w:r>
          </w:p>
        </w:tc>
      </w:tr>
      <w:tr>
        <w:tc>
          <w:tcPr>
            <w:tcW w:type="dxa" w:w="1701"/>
          </w:tcPr>
          <w:p>
            <w:r/>
            <w:r>
              <w:t>审计合规</w:t>
            </w:r>
          </w:p>
        </w:tc>
        <w:tc>
          <w:tcPr>
            <w:tcW w:type="dxa" w:w="2608"/>
          </w:tcPr>
          <w:p>
            <w:r/>
            <w:r>
              <w:t>内置 SOC 级哈希防篡改审计链</w:t>
            </w:r>
          </w:p>
        </w:tc>
        <w:tc>
          <w:tcPr>
            <w:tcW w:type="dxa" w:w="2381"/>
          </w:tcPr>
          <w:p>
            <w:r/>
            <w:r>
              <w:t>企业版/插件</w:t>
            </w:r>
          </w:p>
        </w:tc>
        <w:tc>
          <w:tcPr>
            <w:tcW w:type="dxa" w:w="1814"/>
          </w:tcPr>
          <w:p>
            <w:r/>
            <w:r>
              <w:t>弱</w:t>
            </w:r>
          </w:p>
        </w:tc>
        <w:tc>
          <w:tcPr>
            <w:tcW w:type="dxa" w:w="2154"/>
          </w:tcPr>
          <w:p>
            <w:r/>
            <w:r>
              <w:t>需自行实现</w:t>
            </w:r>
          </w:p>
        </w:tc>
      </w:tr>
      <w:tr>
        <w:tc>
          <w:tcPr>
            <w:tcW w:type="dxa" w:w="1701"/>
          </w:tcPr>
          <w:p>
            <w:r/>
            <w:r>
              <w:t>多模型路由</w:t>
            </w:r>
          </w:p>
        </w:tc>
        <w:tc>
          <w:tcPr>
            <w:tcW w:type="dxa" w:w="2608"/>
          </w:tcPr>
          <w:p>
            <w:r/>
            <w:r>
              <w:t>内置 model_hub 策略路由</w:t>
            </w:r>
          </w:p>
        </w:tc>
        <w:tc>
          <w:tcPr>
            <w:tcW w:type="dxa" w:w="2381"/>
          </w:tcPr>
          <w:p>
            <w:r/>
            <w:r>
              <w:t>支持</w:t>
            </w:r>
          </w:p>
        </w:tc>
        <w:tc>
          <w:tcPr>
            <w:tcW w:type="dxa" w:w="1814"/>
          </w:tcPr>
          <w:p>
            <w:r/>
            <w:r>
              <w:t>支持</w:t>
            </w:r>
          </w:p>
        </w:tc>
        <w:tc>
          <w:tcPr>
            <w:tcW w:type="dxa" w:w="2154"/>
          </w:tcPr>
          <w:p>
            <w:r/>
            <w:r>
              <w:t>需编码</w:t>
            </w:r>
          </w:p>
        </w:tc>
      </w:tr>
      <w:tr>
        <w:tc>
          <w:tcPr>
            <w:tcW w:type="dxa" w:w="1701"/>
          </w:tcPr>
          <w:p>
            <w:r/>
            <w:r>
              <w:t>HR 业务深度</w:t>
            </w:r>
          </w:p>
        </w:tc>
        <w:tc>
          <w:tcPr>
            <w:tcW w:type="dxa" w:w="2608"/>
          </w:tcPr>
          <w:p>
            <w:r/>
            <w:r>
              <w:t>招聘5模块+劳动关系已落地</w:t>
            </w:r>
          </w:p>
        </w:tc>
        <w:tc>
          <w:tcPr>
            <w:tcW w:type="dxa" w:w="2381"/>
          </w:tcPr>
          <w:p>
            <w:r/>
            <w:r>
              <w:t>通用</w:t>
            </w:r>
          </w:p>
        </w:tc>
        <w:tc>
          <w:tcPr>
            <w:tcW w:type="dxa" w:w="1814"/>
          </w:tcPr>
          <w:p>
            <w:r/>
            <w:r>
              <w:t>通用</w:t>
            </w:r>
          </w:p>
        </w:tc>
        <w:tc>
          <w:tcPr>
            <w:tcW w:type="dxa" w:w="2154"/>
          </w:tcPr>
          <w:p>
            <w:r/>
            <w:r>
              <w:t>通用</w:t>
            </w:r>
          </w:p>
        </w:tc>
      </w:tr>
      <w:tr>
        <w:tc>
          <w:tcPr>
            <w:tcW w:type="dxa" w:w="1701"/>
          </w:tcPr>
          <w:p>
            <w:r/>
            <w:r>
              <w:t>本地离线兜底</w:t>
            </w:r>
          </w:p>
        </w:tc>
        <w:tc>
          <w:tcPr>
            <w:tcW w:type="dxa" w:w="2608"/>
          </w:tcPr>
          <w:p>
            <w:r/>
            <w:r>
              <w:t>支持（离线回答+数字护栏）</w:t>
            </w:r>
          </w:p>
        </w:tc>
        <w:tc>
          <w:tcPr>
            <w:tcW w:type="dxa" w:w="2381"/>
          </w:tcPr>
          <w:p>
            <w:r/>
            <w:r>
              <w:t>弱</w:t>
            </w:r>
          </w:p>
        </w:tc>
        <w:tc>
          <w:tcPr>
            <w:tcW w:type="dxa" w:w="1814"/>
          </w:tcPr>
          <w:p>
            <w:r/>
            <w:r>
              <w:t>弱</w:t>
            </w:r>
          </w:p>
        </w:tc>
        <w:tc>
          <w:tcPr>
            <w:tcW w:type="dxa" w:w="2154"/>
          </w:tcPr>
          <w:p>
            <w:r/>
            <w: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t>适合车务通</w:t>
            </w:r>
          </w:p>
        </w:tc>
        <w:tc>
          <w:tcPr>
            <w:tcW w:type="dxa" w:w="2608"/>
          </w:tcPr>
          <w:p>
            <w:r/>
            <w:r>
              <w:t>✅ 直接契合</w:t>
            </w:r>
          </w:p>
        </w:tc>
        <w:tc>
          <w:tcPr>
            <w:tcW w:type="dxa" w:w="2381"/>
          </w:tcPr>
          <w:p>
            <w:r/>
            <w:r>
              <w:t>⚠️ 需改造</w:t>
            </w:r>
          </w:p>
        </w:tc>
        <w:tc>
          <w:tcPr>
            <w:tcW w:type="dxa" w:w="1814"/>
          </w:tcPr>
          <w:p>
            <w:r/>
            <w:r>
              <w:t>⚠️ 需改造</w:t>
            </w:r>
          </w:p>
        </w:tc>
        <w:tc>
          <w:tcPr>
            <w:tcW w:type="dxa" w:w="2154"/>
          </w:tcPr>
          <w:p>
            <w:r/>
            <w:r>
              <w:t>❌ 工程量大</w:t>
            </w:r>
          </w:p>
        </w:tc>
      </w:tr>
    </w:tbl>
    <w:p>
      <w:pPr>
        <w:pStyle w:val="Heading1"/>
      </w:pPr>
      <w:r>
        <w:rPr>
          <w:rFonts w:ascii="黑体" w:hAnsi="黑体" w:eastAsia="黑体"/>
          <w:sz w:val="30"/>
        </w:rPr>
        <w:t>三、自研与开源平台的分工原则</w:t>
      </w:r>
    </w:p>
    <w:p>
      <w:r>
        <w:rPr>
          <w:b/>
        </w:rPr>
        <w:t>结论先行：以 MiniYuxi 为 HR 业务主入口与合规底座，把通用能力「借力」开源平台，避免重复造轮子。</w:t>
      </w:r>
    </w:p>
    <w:p>
      <w:pPr>
        <w:pStyle w:val="ListBullet"/>
      </w:pPr>
      <w:r>
        <w:t>MiniYuxi 主责：HR 业务闭环、员工自助、制度知识库问答、审计留痕、劳动争议辅助、本地离线可用。</w:t>
      </w:r>
    </w:p>
    <w:p>
      <w:pPr>
        <w:pStyle w:val="ListBullet"/>
      </w:pPr>
      <w:r>
        <w:t>开源平台借力（可选外部接入）：当 MiniYuxi 配置了 RAGFlow / FastGPT 环境变量后，知识库问答自动优先走外部平台，失败降级原生 RAG——详见第四章 A 方案。</w:t>
      </w:r>
    </w:p>
    <w:p>
      <w:pPr>
        <w:pStyle w:val="ListBullet"/>
      </w:pPr>
      <w:r>
        <w:t>不重复建设：大模型训练、通用向量库集群、跨域联邦等重资产能力，直接对接成熟开源方案，不自研。</w:t>
      </w:r>
    </w:p>
    <w:p>
      <w:pPr>
        <w:pStyle w:val="Heading1"/>
      </w:pPr>
      <w:r>
        <w:rPr>
          <w:rFonts w:ascii="黑体" w:hAnsi="黑体" w:eastAsia="黑体"/>
          <w:sz w:val="30"/>
        </w:rPr>
        <w:t>四、本轮能力增强（A / B / C 落地说明）</w:t>
      </w:r>
    </w:p>
    <w:p>
      <w:pPr>
        <w:pStyle w:val="Heading2"/>
      </w:pPr>
      <w:r>
        <w:rPr>
          <w:rFonts w:ascii="楷体" w:hAnsi="楷体" w:eastAsia="楷体"/>
          <w:sz w:val="26"/>
        </w:rPr>
        <w:t>A · 外部 RAG 适配层 + HR 知识库问答入口</w:t>
      </w:r>
    </w:p>
    <w:p>
      <w:pPr>
        <w:pStyle w:val="ListBullet"/>
      </w:pPr>
      <w:r>
        <w:t>新增 core/rag_adapter.py：零依赖封装 RAGFlow / FastGPT 客户端，统一 ask() 接口。</w:t>
      </w:r>
    </w:p>
    <w:p>
      <w:pPr>
        <w:pStyle w:val="ListBullet"/>
      </w:pPr>
      <w:r>
        <w:t>新增后端端点 POST /api/rag/ask：默认走原生 RAG，配置外部平台后优先转发、失败自动降级。</w:t>
      </w:r>
    </w:p>
    <w:p>
      <w:pPr>
        <w:pStyle w:val="ListBullet"/>
      </w:pPr>
      <w:r>
        <w:t>前端「HR 知识库」弹窗内置问答框，员工可直接向制度库提问并查看引用来源。</w:t>
      </w:r>
    </w:p>
    <w:p>
      <w:pPr>
        <w:pStyle w:val="Heading2"/>
      </w:pPr>
      <w:r>
        <w:rPr>
          <w:rFonts w:ascii="楷体" w:hAnsi="楷体" w:eastAsia="楷体"/>
          <w:sz w:val="26"/>
        </w:rPr>
        <w:t>B · 审计补全 + 自助改密 + 用户管理面板</w:t>
      </w:r>
    </w:p>
    <w:p>
      <w:pPr>
        <w:pStyle w:val="ListBullet"/>
      </w:pPr>
      <w:r>
        <w:t>登录失败审计：原仅记录成功，现已补登录失败留痕（异常登录可监测）。</w:t>
      </w:r>
    </w:p>
    <w:p>
      <w:pPr>
        <w:pStyle w:val="ListBullet"/>
      </w:pPr>
      <w:r>
        <w:t>新增 POST /api/me/password：登录用户自助改密，强制校验旧口令。</w:t>
      </w:r>
    </w:p>
    <w:p>
      <w:pPr>
        <w:pStyle w:val="ListBullet"/>
      </w:pPr>
      <w:r>
        <w:t>新增 GET /api/users + POST /api/users/reset：管理员列出本租户账号、重置他人口令。</w:t>
      </w:r>
    </w:p>
    <w:p>
      <w:pPr>
        <w:pStyle w:val="ListBullet"/>
      </w:pPr>
      <w:r>
        <w:t>前端「管理」导航：含修改密码与用户管理（重置口令）面板，遵循 RBAC（仅 user.manage 可见用户列表）。</w:t>
      </w:r>
    </w:p>
    <w:p>
      <w:pPr>
        <w:pStyle w:val="Heading2"/>
      </w:pPr>
      <w:r>
        <w:rPr>
          <w:rFonts w:ascii="楷体" w:hAnsi="楷体" w:eastAsia="楷体"/>
          <w:sz w:val="26"/>
        </w:rPr>
        <w:t>C · 本白皮书</w:t>
      </w:r>
    </w:p>
    <w:p>
      <w:pPr>
        <w:pStyle w:val="ListBullet"/>
      </w:pPr>
      <w:r>
        <w:t>可贴 OA 的 docx 交付物，统一对外说明定位、对比、分工与能力边界。</w:t>
      </w:r>
    </w:p>
    <w:p>
      <w:pPr>
        <w:pStyle w:val="Heading1"/>
      </w:pPr>
      <w:r>
        <w:rPr>
          <w:rFonts w:ascii="黑体" w:hAnsi="黑体" w:eastAsia="黑体"/>
          <w:sz w:val="30"/>
        </w:rPr>
        <w:t>五、部署与使用指引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t>访问地址</w:t>
            </w:r>
          </w:p>
        </w:tc>
        <w:tc>
          <w:tcPr>
            <w:tcW w:type="dxa" w:w="7087"/>
          </w:tcPr>
          <w:p>
            <w:r/>
            <w:r>
              <w:t>http://127.0.0.1:8801（仅本机）；双击 start_miniyuxi.bat 启动</w:t>
            </w:r>
          </w:p>
        </w:tc>
      </w:tr>
      <w:tr>
        <w:tc>
          <w:tcPr>
            <w:tcW w:type="dxa" w:w="1984"/>
          </w:tcPr>
          <w:p>
            <w:r/>
            <w:r>
              <w:t>默认账号</w:t>
            </w:r>
          </w:p>
        </w:tc>
        <w:tc>
          <w:tcPr>
            <w:tcW w:type="dxa" w:w="7087"/>
          </w:tcPr>
          <w:p>
            <w:r/>
            <w:r>
              <w:t>default / admin / admin123（上线前务必改密）</w:t>
            </w:r>
          </w:p>
        </w:tc>
      </w:tr>
      <w:tr>
        <w:tc>
          <w:tcPr>
            <w:tcW w:type="dxa" w:w="1984"/>
          </w:tcPr>
          <w:p>
            <w:r/>
            <w:r>
              <w:t>知识库</w:t>
            </w:r>
          </w:p>
        </w:tc>
        <w:tc>
          <w:tcPr>
            <w:tcW w:type="dxa" w:w="7087"/>
          </w:tcPr>
          <w:p>
            <w:r/>
            <w:r>
              <w:t>顶部「知识库」→ 导入制度文件(.docx/.pdf/.txt/.md) → 直接提问</w:t>
            </w:r>
          </w:p>
        </w:tc>
      </w:tr>
      <w:tr>
        <w:tc>
          <w:tcPr>
            <w:tcW w:type="dxa" w:w="1984"/>
          </w:tcPr>
          <w:p>
            <w:r/>
            <w:r>
              <w:t>系统管理</w:t>
            </w:r>
          </w:p>
        </w:tc>
        <w:tc>
          <w:tcPr>
            <w:tcW w:type="dxa" w:w="7087"/>
          </w:tcPr>
          <w:p>
            <w:r/>
            <w:r>
              <w:t>顶部「管理」→ 修改我的密码 / 管理员重置用户口令</w:t>
            </w:r>
          </w:p>
        </w:tc>
      </w:tr>
      <w:tr>
        <w:tc>
          <w:tcPr>
            <w:tcW w:type="dxa" w:w="1984"/>
          </w:tcPr>
          <w:p>
            <w:r/>
            <w:r>
              <w:t>审计查看</w:t>
            </w:r>
          </w:p>
        </w:tc>
        <w:tc>
          <w:tcPr>
            <w:tcW w:type="dxa" w:w="7087"/>
          </w:tcPr>
          <w:p>
            <w:r/>
            <w:r>
              <w:t>管理员访问 /api/audit（events/verify/report/stats）</w:t>
            </w:r>
          </w:p>
        </w:tc>
      </w:tr>
    </w:tbl>
    <w:p>
      <w:pPr>
        <w:pStyle w:val="Heading1"/>
      </w:pPr>
      <w:r>
        <w:rPr>
          <w:rFonts w:ascii="黑体" w:hAnsi="黑体" w:eastAsia="黑体"/>
          <w:sz w:val="30"/>
        </w:rPr>
        <w:t>六、风险分级与下一步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等级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敞口/影响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应对</w:t>
            </w:r>
          </w:p>
        </w:tc>
      </w:tr>
      <w:tr>
        <w:tc>
          <w:tcPr>
            <w:tcW w:type="dxa" w:w="1984"/>
          </w:tcPr>
          <w:p>
            <w:r/>
            <w:r>
              <w:t>默认口令未改</w:t>
            </w:r>
          </w:p>
        </w:tc>
        <w:tc>
          <w:tcPr>
            <w:tcW w:type="dxa" w:w="1134"/>
          </w:tcPr>
          <w:p>
            <w:r/>
            <w:r>
              <w:t>🔴 高</w:t>
            </w:r>
          </w:p>
        </w:tc>
        <w:tc>
          <w:tcPr>
            <w:tcW w:type="dxa" w:w="2551"/>
          </w:tcPr>
          <w:p>
            <w:r/>
            <w:r>
              <w:t>admin123 明文于启动脚本</w:t>
            </w:r>
          </w:p>
        </w:tc>
        <w:tc>
          <w:tcPr>
            <w:tcW w:type="dxa" w:w="3118"/>
          </w:tcPr>
          <w:p>
            <w:r/>
            <w:r>
              <w:t>上线前强制改密 + 纳入审计</w:t>
            </w:r>
          </w:p>
        </w:tc>
      </w:tr>
      <w:tr>
        <w:tc>
          <w:tcPr>
            <w:tcW w:type="dxa" w:w="1984"/>
          </w:tcPr>
          <w:p>
            <w:r/>
            <w:r>
              <w:t>单点 SQLite</w:t>
            </w:r>
          </w:p>
        </w:tc>
        <w:tc>
          <w:tcPr>
            <w:tcW w:type="dxa" w:w="1134"/>
          </w:tcPr>
          <w:p>
            <w:r/>
            <w:r>
              <w:t>🟡 中</w:t>
            </w:r>
          </w:p>
        </w:tc>
        <w:tc>
          <w:tcPr>
            <w:tcW w:type="dxa" w:w="2551"/>
          </w:tcPr>
          <w:p>
            <w:r/>
            <w:r>
              <w:t>单机故障即不可用</w:t>
            </w:r>
          </w:p>
        </w:tc>
        <w:tc>
          <w:tcPr>
            <w:tcW w:type="dxa" w:w="3118"/>
          </w:tcPr>
          <w:p>
            <w:r/>
            <w:r>
              <w:t>定期备份 data/miniyuxi.db</w:t>
            </w:r>
          </w:p>
        </w:tc>
      </w:tr>
      <w:tr>
        <w:tc>
          <w:tcPr>
            <w:tcW w:type="dxa" w:w="1984"/>
          </w:tcPr>
          <w:p>
            <w:r/>
            <w:r>
              <w:t>外部平台密钥</w:t>
            </w:r>
          </w:p>
        </w:tc>
        <w:tc>
          <w:tcPr>
            <w:tcW w:type="dxa" w:w="1134"/>
          </w:tcPr>
          <w:p>
            <w:r/>
            <w:r>
              <w:t>🟡 中</w:t>
            </w:r>
          </w:p>
        </w:tc>
        <w:tc>
          <w:tcPr>
            <w:tcW w:type="dxa" w:w="2551"/>
          </w:tcPr>
          <w:p>
            <w:r/>
            <w:r>
              <w:t>RAGFlow/FastGPT Key 泄露</w:t>
            </w:r>
          </w:p>
        </w:tc>
        <w:tc>
          <w:tcPr>
            <w:tcW w:type="dxa" w:w="3118"/>
          </w:tcPr>
          <w:p>
            <w:r/>
            <w:r>
              <w:t>环境变量隔离，不入库</w:t>
            </w:r>
          </w:p>
        </w:tc>
      </w:tr>
      <w:tr>
        <w:tc>
          <w:tcPr>
            <w:tcW w:type="dxa" w:w="1984"/>
          </w:tcPr>
          <w:p>
            <w:r/>
            <w:r>
              <w:t>多租户隔离</w:t>
            </w:r>
          </w:p>
        </w:tc>
        <w:tc>
          <w:tcPr>
            <w:tcW w:type="dxa" w:w="1134"/>
          </w:tcPr>
          <w:p>
            <w:r/>
            <w:r>
              <w:t>🟢 低</w:t>
            </w:r>
          </w:p>
        </w:tc>
        <w:tc>
          <w:tcPr>
            <w:tcW w:type="dxa" w:w="2551"/>
          </w:tcPr>
          <w:p>
            <w:r/>
            <w:r>
              <w:t>租户间数据隔离已实现</w:t>
            </w:r>
          </w:p>
        </w:tc>
        <w:tc>
          <w:tcPr>
            <w:tcW w:type="dxa" w:w="3118"/>
          </w:tcPr>
          <w:p>
            <w:r/>
            <w:r>
              <w:t>保持 tenant_id 强制校验</w:t>
            </w:r>
          </w:p>
        </w:tc>
      </w:tr>
    </w:tbl>
    <w:p>
      <w:r>
        <w:rPr>
          <w:b/>
        </w:rPr>
        <w:t>下一步：1）将 A 方案外部适配层接入真实 RAGFlow/FastGPT 实例并回归测试；2）推动默认口令强改策略；3）补充自动化 selftest 覆盖新增端点。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