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УТВЕРЖДЕНО приказом от 01.09.2026 № 6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ПОЛОЖЕНИЕ</w:t>
      </w:r>
    </w:p>
    <w:p>
      <w:pPr>
        <w:spacing w:before="120"/>
        <w:jc w:val="center"/>
      </w:pPr>
      <w:r>
        <w:rPr>
          <w:b/>
          <w:i w:val="0"/>
          <w:sz w:val="28"/>
        </w:rPr>
        <w:t>о коммерческой тайне в ООО «ТехноЩит»</w:t>
      </w:r>
    </w:p>
    <w:p>
      <w:pPr>
        <w:jc w:val="left"/>
      </w:pPr>
      <w:r>
        <w:rPr>
          <w:b/>
          <w:i w:val="0"/>
          <w:sz w:val="28"/>
        </w:rPr>
        <w:t>1. Общие положения</w:t>
      </w:r>
    </w:p>
    <w:p>
      <w:pPr>
        <w:ind w:firstLine="709"/>
        <w:jc w:val="both"/>
      </w:pPr>
      <w:r>
        <w:rPr>
          <w:b w:val="0"/>
          <w:i w:val="0"/>
          <w:sz w:val="28"/>
        </w:rPr>
        <w:t>1.1. Положение разработано в соответствии с Федеральным законом от 29.07.2004 № 98-ФЗ «О коммерческой тайне» и вводит в обществе режим коммерческой тайны.</w:t>
      </w:r>
    </w:p>
    <w:p>
      <w:pPr>
        <w:jc w:val="left"/>
      </w:pPr>
      <w:r>
        <w:rPr>
          <w:b/>
          <w:i w:val="0"/>
          <w:sz w:val="28"/>
        </w:rPr>
        <w:t>2. Сведения, составляющие коммерческую тайну</w:t>
      </w:r>
    </w:p>
    <w:p>
      <w:pPr>
        <w:ind w:firstLine="709"/>
        <w:jc w:val="both"/>
      </w:pPr>
      <w:r>
        <w:rPr>
          <w:b w:val="0"/>
          <w:i w:val="0"/>
          <w:sz w:val="28"/>
        </w:rPr>
        <w:t>2.1. К коммерческой тайне отнесены: сведения о заключаемых договорах и их ценах; финансовые показатели; методики выполнения работ по ТЗКИ; клиентская база; результаты обследований защищённости заказчиков.</w:t>
      </w:r>
    </w:p>
    <w:p>
      <w:pPr>
        <w:jc w:val="left"/>
      </w:pPr>
      <w:r>
        <w:rPr>
          <w:b/>
          <w:i w:val="0"/>
          <w:sz w:val="28"/>
        </w:rPr>
        <w:t>3. Меры охраны</w:t>
      </w:r>
    </w:p>
    <w:p>
      <w:pPr>
        <w:ind w:firstLine="709"/>
        <w:jc w:val="both"/>
      </w:pPr>
      <w:r>
        <w:rPr>
          <w:b w:val="0"/>
          <w:i w:val="0"/>
          <w:sz w:val="28"/>
        </w:rPr>
        <w:t>3.1. Документы, содержащие коммерческую тайну, маркируются грифом «Коммерческая тайна» и хранятся в сейфе архив-сейфовой комнаты; обработка — только в защищённом контуре; доступ — по списку, утверждаемому директором; с работниками заключаются соглашения о конфиденциальности.</w:t>
      </w:r>
    </w:p>
    <w:p>
      <w:pPr>
        <w:ind w:firstLine="709"/>
        <w:jc w:val="both"/>
      </w:pPr>
      <w:r>
        <w:rPr>
          <w:b w:val="0"/>
          <w:i w:val="0"/>
          <w:sz w:val="28"/>
        </w:rPr>
        <w:t>3.2. Ответственный за соблюдение режима коммерческой тайны — технический специалист Ковалев Данил Петрович.</w:t>
      </w:r>
    </w:p>
    <w:p>
      <w:pPr>
        <w:jc w:val="left"/>
      </w:pPr>
      <w:r>
        <w:rPr>
          <w:b/>
          <w:i w:val="0"/>
          <w:sz w:val="28"/>
        </w:rPr>
        <w:t>4. Ответственность</w:t>
      </w:r>
    </w:p>
    <w:p>
      <w:pPr>
        <w:ind w:firstLine="709"/>
        <w:jc w:val="both"/>
      </w:pPr>
      <w:r>
        <w:rPr>
          <w:b w:val="0"/>
          <w:i w:val="0"/>
          <w:sz w:val="28"/>
        </w:rPr>
        <w:t>4.1. Разглашение сведений, составляющих коммерческую тайну, влечёт дисциплинарную, материальную, гражданско-правовую и (или) уголовную ответственность (ст. 183 УК РФ).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юрист Голованов Федор Артемович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