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Общество с ограниченной ответственностью «ТехноЩит»</w:t>
      </w:r>
    </w:p>
    <w:p>
      <w:pPr>
        <w:jc w:val="center"/>
      </w:pPr>
      <w:r>
        <w:rPr>
          <w:b w:val="0"/>
          <w:i w:val="0"/>
          <w:sz w:val="24"/>
        </w:rPr>
        <w:t>ОГРН 1256196012345, ИНН 6165012345, КПП 616501001</w:t>
      </w:r>
    </w:p>
    <w:p>
      <w:pPr>
        <w:jc w:val="center"/>
      </w:pPr>
      <w:r>
        <w:rPr>
          <w:b w:val="0"/>
          <w:i w:val="0"/>
          <w:sz w:val="24"/>
        </w:rPr>
        <w:t>344000, г. Ростов-на-Дону, пр. Стачки, д. 25, офис 301</w:t>
      </w:r>
    </w:p>
    <w:p>
      <w:pPr>
        <w:jc w:val="center"/>
      </w:pPr>
      <w:r>
        <w:rPr>
          <w:b w:val="0"/>
          <w:i w:val="0"/>
          <w:sz w:val="28"/>
        </w:rPr>
        <w:t>____________________________________________________________</w:t>
      </w:r>
    </w:p>
    <w:p>
      <w:pPr>
        <w:jc w:val="right"/>
      </w:pPr>
      <w:r>
        <w:rPr>
          <w:b w:val="0"/>
          <w:i w:val="0"/>
          <w:sz w:val="24"/>
        </w:rPr>
        <w:t>УТВЕРЖДЕНО приказом от 01.09.2026 № 3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spacing w:before="120"/>
        <w:jc w:val="center"/>
      </w:pPr>
      <w:r>
        <w:rPr>
          <w:b/>
          <w:i w:val="0"/>
          <w:sz w:val="28"/>
        </w:rPr>
        <w:t>ИНСТРУКЦИЯ</w:t>
      </w:r>
    </w:p>
    <w:p>
      <w:pPr>
        <w:spacing w:before="120"/>
        <w:jc w:val="center"/>
      </w:pPr>
      <w:r>
        <w:rPr>
          <w:b/>
          <w:i w:val="0"/>
          <w:sz w:val="28"/>
        </w:rPr>
        <w:t>о мерах пожарной безопасности в ООО «ТехноЩит»</w:t>
      </w:r>
    </w:p>
    <w:p>
      <w:pPr>
        <w:jc w:val="left"/>
      </w:pPr>
      <w:r>
        <w:rPr>
          <w:b/>
          <w:i w:val="0"/>
          <w:sz w:val="28"/>
        </w:rPr>
        <w:t>1. Общие положения</w:t>
      </w:r>
    </w:p>
    <w:p>
      <w:pPr>
        <w:ind w:firstLine="709"/>
        <w:jc w:val="both"/>
      </w:pPr>
      <w:r>
        <w:rPr>
          <w:b w:val="0"/>
          <w:i w:val="0"/>
          <w:sz w:val="28"/>
        </w:rPr>
        <w:t>1.1. Инструкция разработана в соответствии с постановлением Правительства РФ от 16.09.2020 № 1479 и обязательна для всех работников и посетителей.</w:t>
      </w:r>
    </w:p>
    <w:p>
      <w:pPr>
        <w:ind w:firstLine="709"/>
        <w:jc w:val="both"/>
      </w:pPr>
      <w:r>
        <w:rPr>
          <w:b w:val="0"/>
          <w:i w:val="0"/>
          <w:sz w:val="28"/>
        </w:rPr>
        <w:t>1.2. Ответственный за пожарную безопасность — технический специалист Ковалев Данил Петрович.</w:t>
      </w:r>
    </w:p>
    <w:p>
      <w:pPr>
        <w:jc w:val="left"/>
      </w:pPr>
      <w:r>
        <w:rPr>
          <w:b/>
          <w:i w:val="0"/>
          <w:sz w:val="28"/>
        </w:rPr>
        <w:t>2. Обязанности работников</w:t>
      </w:r>
    </w:p>
    <w:p>
      <w:pPr>
        <w:ind w:firstLine="709"/>
        <w:jc w:val="both"/>
      </w:pPr>
      <w:r>
        <w:rPr>
          <w:b w:val="0"/>
          <w:i w:val="0"/>
          <w:sz w:val="28"/>
        </w:rPr>
        <w:t>2.1. Запрещается: курение в помещениях; использование открытого огня; подключение неисправных электроприборов; загромождение путей эвакуации, коридора и зоны приёма клиентов; хранение легковоспламеняющихся веществ вне специально отведённых мест.</w:t>
      </w:r>
    </w:p>
    <w:p>
      <w:pPr>
        <w:ind w:firstLine="709"/>
        <w:jc w:val="both"/>
      </w:pPr>
      <w:r>
        <w:rPr>
          <w:b w:val="0"/>
          <w:i w:val="0"/>
          <w:sz w:val="28"/>
        </w:rPr>
        <w:t>2.2. По окончании рабочего дня работники обязаны обесточить электрооборудование, за исключением серверной (оборудование круглосуточного режима, подключённое через ИБП).</w:t>
      </w:r>
    </w:p>
    <w:p>
      <w:pPr>
        <w:jc w:val="left"/>
      </w:pPr>
      <w:r>
        <w:rPr>
          <w:b/>
          <w:i w:val="0"/>
          <w:sz w:val="28"/>
        </w:rPr>
        <w:t>3. Действия при пожаре</w:t>
      </w:r>
    </w:p>
    <w:p>
      <w:pPr>
        <w:ind w:firstLine="709"/>
        <w:jc w:val="both"/>
      </w:pPr>
      <w:r>
        <w:rPr>
          <w:b w:val="0"/>
          <w:i w:val="0"/>
          <w:sz w:val="28"/>
        </w:rPr>
        <w:t>3.1. Немедленно сообщить в пожарную охрану по телефону 101 или 112, указав адрес: пр. Стачки, д. 25, офис 301.</w:t>
      </w:r>
    </w:p>
    <w:p>
      <w:pPr>
        <w:ind w:firstLine="709"/>
        <w:jc w:val="both"/>
      </w:pPr>
      <w:r>
        <w:rPr>
          <w:b w:val="0"/>
          <w:i w:val="0"/>
          <w:sz w:val="28"/>
        </w:rPr>
        <w:t>3.2. Оповестить работников и посетителей, приступить к эвакуации по плану эвакуации (выход — через коридор к входной двери).</w:t>
      </w:r>
    </w:p>
    <w:p>
      <w:pPr>
        <w:ind w:firstLine="709"/>
        <w:jc w:val="both"/>
      </w:pPr>
      <w:r>
        <w:rPr>
          <w:rFonts w:ascii="Times New Roman" w:hAnsi="Times New Roman"/>
          <w:sz w:val="24"/>
        </w:rPr>
        <w:t>3.3. При отсутствии угрозы жизни использовать огнетушители по назначению: ОП-4 у входа и в рабочей комнате, ОУ-2 у двери серверной. До тушения электрооборудования, если это безопасно, отключить питание; учитывать ограничения на корпусе огнетушителя.</w:t>
      </w:r>
    </w:p>
    <w:p>
      <w:pPr>
        <w:jc w:val="left"/>
      </w:pPr>
      <w:r>
        <w:rPr>
          <w:b/>
          <w:i w:val="0"/>
          <w:sz w:val="28"/>
        </w:rPr>
        <w:t>4. Периодичность инструктажей</w:t>
      </w:r>
    </w:p>
    <w:p>
      <w:pPr>
        <w:ind w:firstLine="709"/>
        <w:jc w:val="both"/>
      </w:pPr>
      <w:r>
        <w:rPr>
          <w:b w:val="0"/>
          <w:i w:val="0"/>
          <w:sz w:val="28"/>
        </w:rPr>
        <w:t>4.1. Вводный инструктаж — при приёме на работу; повторный — не реже 1 раза в год; результаты фиксируются в журнале инструктажей.</w:t>
      </w:r>
    </w:p>
    <w:p>
      <w:pPr>
        <w:jc w:val="both"/>
      </w:pPr>
      <w:r>
        <w:rPr>
          <w:b w:val="0"/>
          <w:i w:val="0"/>
          <w:sz w:val="28"/>
        </w:rPr>
      </w:r>
    </w:p>
    <w:p>
      <w:pPr>
        <w:jc w:val="left"/>
      </w:pPr>
      <w:r>
        <w:rPr>
          <w:b w:val="0"/>
          <w:i w:val="0"/>
          <w:sz w:val="28"/>
        </w:rPr>
        <w:t>Директор _________________________ / Ермолаев Б.Ю. /</w:t>
      </w:r>
    </w:p>
    <w:p>
      <w:pPr>
        <w:jc w:val="left"/>
      </w:pPr>
      <w:r>
        <w:rPr>
          <w:b w:val="0"/>
          <w:i w:val="0"/>
          <w:sz w:val="28"/>
        </w:rPr>
        <w:t>М.П.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