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Общество с ограниченной ответственностью «ТехноЩит»</w:t>
      </w:r>
    </w:p>
    <w:p>
      <w:pPr>
        <w:ind w:firstLine="0"/>
        <w:jc w:val="center"/>
      </w:pPr>
      <w:r>
        <w:rPr>
          <w:b/>
        </w:rPr>
        <w:t>ДОГОВОР КУПЛИ-ПРОДАЖИ ОБОРУДОВАНИЯ И ПРОГРАММНОГО ОБЕСПЕЧЕНИЯ</w:t>
      </w:r>
    </w:p>
    <w:p>
      <w:pPr>
        <w:ind w:firstLine="0"/>
      </w:pPr>
      <w:r>
        <w:t>25.08.2026 № 12/08</w:t>
        <w:br/>
        <w:t>г. Ростов-на-Дону</w:t>
      </w:r>
    </w:p>
    <w:p>
      <w:pPr>
        <w:jc w:val="both"/>
      </w:pPr>
      <w:r>
        <w:t>ООО «ИТ-Снаб» в лице директора Лебедева Н. В. (Продавец) и ООО «ТехноЩит» в лице директора Ермолаева Б. Ю. (Покупатель) заключили договор о следующем.</w:t>
      </w:r>
    </w:p>
    <w:p>
      <w:pPr>
        <w:jc w:val="both"/>
      </w:pPr>
      <w:r>
        <w:t>1. Продавец передаёт оборудование и предоставляет предусмотренные поставкой права использования ПО в составе спецификации МТБ-01 (документ № 44). Спецификация является приложением к договору; состав включает все позиции HW и программы OS-01/AV-01. Учётные обозначения не заменяют заводскую маркировку.</w:t>
      </w:r>
    </w:p>
    <w:p>
      <w:pPr>
        <w:jc w:val="both"/>
      </w:pPr>
      <w:r>
        <w:t>2. Стоимость комплекта — 2 850 000 рублей, включая применимые налоги. Оплата производится по счёту поставщика. Передача — по акту АП-01 от 28.08.2026 (документ № 45). Условия предоставления прав на программы определяются также лицензионными документами изготовителей.</w:t>
      </w:r>
    </w:p>
    <w:p>
      <w:pPr>
        <w:jc w:val="both"/>
      </w:pPr>
      <w:r>
        <w:t>3. Продавец передаёт эксплуатационные документы, комплект поставки ПО и относящиеся к выбранным средствам документы о сертификации и метрологии. Программы должны быть совместимы с Astra Linux SE 1.8; количество защищаемых узлов — семь. Гарантийный срок на оборудование — 12 месяцев со дня передачи.</w:t>
      </w:r>
    </w:p>
    <w:p>
      <w:pPr>
        <w:jc w:val="both"/>
      </w:pPr>
      <w:r>
        <w:t>4. Разногласия разрешаются переговорами, затем в установленном законом порядке. Изменение состава оформляется новой согласованной редакцией спецификации.</w:t>
      </w:r>
    </w:p>
    <w:p>
      <w:pPr>
        <w:ind w:firstLine="0"/>
      </w:pPr>
      <w:r>
        <w:t>Продавец: ООО «ИТ-Снаб» ________________ Лебедев Н. В.</w:t>
        <w:br/>
        <w:t>Покупатель: ООО «ТехноЩит» ________________ Ермолаев Б. Ю.</w:t>
      </w:r>
    </w:p>
    <w:sectPr w:rsidR="00FC693F" w:rsidRPr="0006063C" w:rsidSect="00034616">
      <w:headerReference w:type="default" r:id="rId9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ind w:firstLine="709"/>
    </w:pPr>
    <w:rPr>
      <w:rFonts w:ascii="Times New Roman" w:hAnsi="Times New Roman" w:eastAsia="Times New Roman" w:cs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