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ПЕРЕЧЕНЬ</w:t>
      </w:r>
    </w:p>
    <w:p>
      <w:pPr>
        <w:ind w:firstLine="709"/>
        <w:jc w:val="both"/>
      </w:pPr>
      <w:r>
        <w:rPr>
          <w:b w:val="0"/>
          <w:i w:val="0"/>
          <w:sz w:val="28"/>
        </w:rPr>
        <w:t>сертифицированных средств защиты информации, используемых ООО «ТехноЩит» при выполнении работ по технической защите конфиденциальной информации</w:t>
      </w:r>
    </w:p>
    <w:p>
      <w:pPr>
        <w:ind w:firstLine="709"/>
        <w:jc w:val="both"/>
      </w:pPr>
      <w:r>
        <w:rPr>
          <w:b w:val="0"/>
          <w:i/>
          <w:sz w:val="28"/>
        </w:rPr>
        <w:t>Все средства защиты информации имеют действующие сертификаты соответствия ФСТЭК России, а шифровальное (криптографическое) средство — сертификат соответствия ФСБ России, что соответствует подпунктам «в» и «г» пункта 5 Положения (постановление Правительства РФ от 03.02.2012 № 79).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Средство защиты информации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Класс / уровень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Реквизиты сертификата соответствия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ОС Astra Linux Special Edition 1.7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4-й класс СВТ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СФ/114-4123 от 18.01.2025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СЗИ НСД «СекретНет Studio»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2-й класс СЗИ НСД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СФ/124-3987 от 22.05.2025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Межсетевой экран АПКШ «Континент 4»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4-й класс МЭ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СФ/114-4501 от 10.09.2025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СКЗИ «VipNet Client»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КС2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СФ/124-4210 от 03.07.2025 (ФСБ России)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Средство контроля съёмных носителей «Dallas Lock»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2-й класс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СФ/124-4333 от 15.11.2025</w:t>
            </w:r>
          </w:p>
        </w:tc>
      </w:tr>
    </w:tbl>
    <w:p>
      <w:pPr>
        <w:spacing w:before="120"/>
        <w:ind w:firstLine="709"/>
        <w:jc w:val="both"/>
      </w:pPr>
      <w:r>
        <w:rPr>
          <w:b w:val="0"/>
          <w:i w:val="0"/>
          <w:sz w:val="28"/>
        </w:rPr>
        <w:t>Копии сертификатов соответствия прилагаются.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