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Общество с ограниченной ответственностью «ТехноЩит»</w:t>
      </w:r>
    </w:p>
    <w:p>
      <w:pPr>
        <w:jc w:val="center"/>
      </w:pPr>
      <w:r>
        <w:rPr>
          <w:b/>
        </w:rPr>
        <w:t>ПОЯСНИТЕЛЬНАЯ ЗАПИСКА</w:t>
      </w:r>
    </w:p>
    <w:p>
      <w:pPr>
        <w:jc w:val="center"/>
      </w:pPr>
      <w:r>
        <w:t>к техническому и организационному обеспечению деятельности по технической защите конфиденциальной информации</w:t>
      </w:r>
    </w:p>
    <w:p>
      <w:r>
        <w:t>Ответственный: Ковалев Данил Петрович, менеджер по административным вопросам, технический специалист.</w:t>
      </w:r>
    </w:p>
    <w:p>
      <w:pPr>
        <w:pStyle w:val="Heading1"/>
      </w:pPr>
      <w:r>
        <w:t>1. Назначение записки</w:t>
      </w:r>
    </w:p>
    <w:p>
      <w:r>
        <w:t>Записка объединяет сведения о помещениях, рабочих местах, оборудовании и организационных мерах ООО «ТехноЩит». Организация предусматривает контроль защищённости информации, аттестационные работы и услуги по установке и обслуживанию средств защиты информации. Основа описания — подготовленные документы № 4–6, 8–10, 12–19, 23, 25–30 и 34–36.</w:t>
      </w:r>
    </w:p>
    <w:p>
      <w:r>
        <w:t>В разделах 2–3 приведена принятая для организации конфигурация. Разделы 4–5 определяют предлагаемые правила работы и функциональное дополнение базы. Эти решения следует согласованно перенести в связанные документы; графическая схема помещений разрабатывается отдельно.</w:t>
      </w:r>
    </w:p>
    <w:p>
      <w:pPr>
        <w:pStyle w:val="Heading1"/>
      </w:pPr>
      <w:r>
        <w:t>2. Помещения и функциональные зоны</w:t>
      </w:r>
    </w:p>
    <w:p>
      <w:r>
        <w:t>Место размещения: г. Ростов-на-Дону, пр. Стачки, д. 25, офис 301. Общая площадь по договору аренды № 25/08 от 20.08.2026 — 92 м². Исходное распределение площадей приведено в справке № 8.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948"/>
          </w:tcPr>
          <w:p>
            <w:pPr>
              <w:spacing w:after="60"/>
            </w:pPr>
            <w:r>
              <w:rPr>
                <w:sz w:val="22"/>
              </w:rPr>
              <w:t>Зона</w:t>
            </w:r>
          </w:p>
        </w:tc>
        <w:tc>
          <w:tcPr>
            <w:tcW w:type="dxa" w:w="1134"/>
          </w:tcPr>
          <w:p>
            <w:pPr>
              <w:spacing w:after="60"/>
            </w:pPr>
            <w:r>
              <w:rPr>
                <w:sz w:val="22"/>
              </w:rPr>
              <w:t>Площадь</w:t>
            </w:r>
          </w:p>
        </w:tc>
        <w:tc>
          <w:tcPr>
            <w:tcW w:type="dxa" w:w="5556"/>
          </w:tcPr>
          <w:p>
            <w:pPr>
              <w:spacing w:after="60"/>
            </w:pPr>
            <w:r>
              <w:rPr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/>
            </w:pPr>
            <w:r>
              <w:rPr>
                <w:sz w:val="22"/>
              </w:rPr>
              <w:t>Кабинет директора</w:t>
            </w:r>
          </w:p>
        </w:tc>
        <w:tc>
          <w:tcPr>
            <w:tcW w:type="dxa" w:w="1134"/>
          </w:tcPr>
          <w:p>
            <w:pPr>
              <w:spacing w:after="60"/>
            </w:pPr>
            <w:r>
              <w:rPr>
                <w:sz w:val="22"/>
              </w:rPr>
              <w:t>14 м²</w:t>
            </w:r>
          </w:p>
        </w:tc>
        <w:tc>
          <w:tcPr>
            <w:tcW w:type="dxa" w:w="5556"/>
          </w:tcPr>
          <w:p>
            <w:pPr>
              <w:spacing w:after="60"/>
            </w:pPr>
            <w:r>
              <w:rPr>
                <w:sz w:val="22"/>
              </w:rPr>
              <w:t>Управление организацией, работа с общедоступной документацией.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/>
            </w:pPr>
            <w:r>
              <w:rPr>
                <w:sz w:val="22"/>
              </w:rPr>
              <w:t>Рабочая зона специалистов</w:t>
            </w:r>
          </w:p>
        </w:tc>
        <w:tc>
          <w:tcPr>
            <w:tcW w:type="dxa" w:w="1134"/>
          </w:tcPr>
          <w:p>
            <w:pPr>
              <w:spacing w:after="60"/>
            </w:pPr>
            <w:r>
              <w:rPr>
                <w:sz w:val="22"/>
              </w:rPr>
              <w:t>30 м²</w:t>
            </w:r>
          </w:p>
        </w:tc>
        <w:tc>
          <w:tcPr>
            <w:tcW w:type="dxa" w:w="5556"/>
          </w:tcPr>
          <w:p>
            <w:pPr>
              <w:spacing w:after="60"/>
            </w:pPr>
            <w:r>
              <w:rPr>
                <w:sz w:val="22"/>
              </w:rPr>
              <w:t>Четыре АРМ общего контура; подготовка материалов без конфиденциальных данных.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/>
            </w:pPr>
            <w:r>
              <w:rPr>
                <w:sz w:val="22"/>
              </w:rPr>
              <w:t>Серверная / лаборатория СЗИ</w:t>
            </w:r>
          </w:p>
        </w:tc>
        <w:tc>
          <w:tcPr>
            <w:tcW w:type="dxa" w:w="1134"/>
          </w:tcPr>
          <w:p>
            <w:pPr>
              <w:spacing w:after="60"/>
            </w:pPr>
            <w:r>
              <w:rPr>
                <w:sz w:val="22"/>
              </w:rPr>
              <w:t>12 м²</w:t>
            </w:r>
          </w:p>
        </w:tc>
        <w:tc>
          <w:tcPr>
            <w:tcW w:type="dxa" w:w="5556"/>
          </w:tcPr>
          <w:p>
            <w:pPr>
              <w:spacing w:after="60"/>
            </w:pPr>
            <w:r>
              <w:rPr>
                <w:sz w:val="22"/>
              </w:rPr>
              <w:t>Сервер, два АРМ защищённого контура, МФУ и ИБП.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/>
            </w:pPr>
            <w:r>
              <w:rPr>
                <w:sz w:val="22"/>
              </w:rPr>
              <w:t>Архив-сейфовая</w:t>
            </w:r>
          </w:p>
        </w:tc>
        <w:tc>
          <w:tcPr>
            <w:tcW w:type="dxa" w:w="1134"/>
          </w:tcPr>
          <w:p>
            <w:pPr>
              <w:spacing w:after="60"/>
            </w:pPr>
            <w:r>
              <w:rPr>
                <w:sz w:val="22"/>
              </w:rPr>
              <w:t>9 м²</w:t>
            </w:r>
          </w:p>
        </w:tc>
        <w:tc>
          <w:tcPr>
            <w:tcW w:type="dxa" w:w="5556"/>
          </w:tcPr>
          <w:p>
            <w:pPr>
              <w:spacing w:after="60"/>
            </w:pPr>
            <w:r>
              <w:rPr>
                <w:sz w:val="22"/>
              </w:rPr>
              <w:t>Хранение бумажных документов и учтённых носителей в сейфе.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/>
            </w:pPr>
            <w:r>
              <w:rPr>
                <w:sz w:val="22"/>
              </w:rPr>
              <w:t>Приём клиентов и переговорная</w:t>
            </w:r>
          </w:p>
        </w:tc>
        <w:tc>
          <w:tcPr>
            <w:tcW w:type="dxa" w:w="1134"/>
          </w:tcPr>
          <w:p>
            <w:pPr>
              <w:spacing w:after="60"/>
            </w:pPr>
            <w:r>
              <w:rPr>
                <w:sz w:val="22"/>
              </w:rPr>
              <w:t>19 м²</w:t>
            </w:r>
          </w:p>
        </w:tc>
        <w:tc>
          <w:tcPr>
            <w:tcW w:type="dxa" w:w="5556"/>
          </w:tcPr>
          <w:p>
            <w:pPr>
              <w:spacing w:after="60"/>
            </w:pPr>
            <w:r>
              <w:rPr>
                <w:sz w:val="22"/>
              </w:rPr>
              <w:t>Приём посетителей, обсуждение общих вопросов деятельности.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/>
            </w:pPr>
            <w:r>
              <w:rPr>
                <w:sz w:val="22"/>
              </w:rPr>
              <w:t>Санузел и соцбытовые помещения</w:t>
            </w:r>
          </w:p>
        </w:tc>
        <w:tc>
          <w:tcPr>
            <w:tcW w:type="dxa" w:w="1134"/>
          </w:tcPr>
          <w:p>
            <w:pPr>
              <w:spacing w:after="60"/>
            </w:pPr>
            <w:r>
              <w:rPr>
                <w:sz w:val="22"/>
              </w:rPr>
              <w:t>8 м²</w:t>
            </w:r>
          </w:p>
        </w:tc>
        <w:tc>
          <w:tcPr>
            <w:tcW w:type="dxa" w:w="5556"/>
          </w:tcPr>
          <w:p>
            <w:pPr>
              <w:spacing w:after="60"/>
            </w:pPr>
            <w:r>
              <w:rPr>
                <w:sz w:val="22"/>
              </w:rPr>
              <w:t>Бытовые нужды работников.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60"/>
            </w:pPr>
            <w:r>
              <w:rPr>
                <w:sz w:val="22"/>
              </w:rPr>
              <w:t>Итого</w:t>
            </w:r>
          </w:p>
        </w:tc>
        <w:tc>
          <w:tcPr>
            <w:tcW w:type="dxa" w:w="1134"/>
          </w:tcPr>
          <w:p>
            <w:pPr>
              <w:spacing w:after="60"/>
            </w:pPr>
            <w:r>
              <w:rPr>
                <w:sz w:val="22"/>
              </w:rPr>
              <w:t>92 м²</w:t>
            </w:r>
          </w:p>
        </w:tc>
        <w:tc>
          <w:tcPr>
            <w:tcW w:type="dxa" w:w="5556"/>
          </w:tcPr>
          <w:p>
            <w:pPr>
              <w:spacing w:after="60"/>
            </w:pPr>
            <w:r>
              <w:rPr>
                <w:sz w:val="22"/>
              </w:rPr>
              <w:t>Распределение из исходной справки.</w:t>
            </w:r>
          </w:p>
        </w:tc>
      </w:tr>
    </w:tbl>
    <w:p/>
    <w:p>
      <w:r>
        <w:t>Из шести АРМ два относятся к защищённому контуру; остальные четыре предлагается разместить в общей рабочей зоне. Четыре АРМ не добавляются к ранее указанным шести. Доступ к конфиденциальным данным с общего контура не предусматривается.</w:t>
      </w:r>
    </w:p>
    <w:p>
      <w:r>
        <w:t>В исходном распределении все 92 м² уже распределены между зонами, а отдельная площадь коридора не выделена. При разработке плана необходимо уточнить учёт проходов и при необходимости перераспределить площади с сохранением общей площади 92 м². До этого таблица задаёт функциональное распределение, а не геометрические размеры помещений.</w:t>
      </w:r>
    </w:p>
    <w:p>
      <w:r>
        <w:t>Переговорная для общих встреч не объявляется аттестованным помещением для конфиденциальных переговоров. Для таких переговоров нужно отдельно определить помещение и предусмотренные меры защиты, затем согласовать его с паспортом и приложением № 2.</w:t>
      </w:r>
    </w:p>
    <w:p>
      <w:pPr>
        <w:pStyle w:val="Heading1"/>
      </w:pPr>
      <w:r>
        <w:t>3. Состав материально-технической базы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Средство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Количество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АРМ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6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Два — обработка конфиденциальной информации; четыре — общие задачи.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Сервер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Централизованное хранение документов защищённого контура.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МФУ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Печать, сканирование и копирование в серверной.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ИБП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1 в серверной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Резерв питания и корректное завершение работы оборудования; указан в паспорте помещения.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Сейф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Хранение документов и носителей в архиве.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Шредер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1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Уничтожение бумажных документов; в исходных сведениях указан 5-й уровень.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СКУД и видеонаблюдение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1 комплект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Контроль входа и доступа в выделенные помещения.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Анализатор спектра АКИП-4210; осциллограф АКИП-4125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По 1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Контрольно-измерительная часть, указанная в договоре № 34.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/>
            </w:pPr>
            <w:r>
              <w:rPr>
                <w:sz w:val="22"/>
              </w:rPr>
              <w:t>Средства анализа трафика и сканирования</w:t>
            </w:r>
          </w:p>
        </w:tc>
        <w:tc>
          <w:tcPr>
            <w:tcW w:type="dxa" w:w="1587"/>
          </w:tcPr>
          <w:p>
            <w:pPr>
              <w:spacing w:after="60"/>
            </w:pPr>
            <w:r>
              <w:rPr>
                <w:sz w:val="22"/>
              </w:rPr>
              <w:t>1 комплект по № 8</w:t>
            </w:r>
          </w:p>
        </w:tc>
        <w:tc>
          <w:tcPr>
            <w:tcW w:type="dxa" w:w="4535"/>
          </w:tcPr>
          <w:p>
            <w:pPr>
              <w:spacing w:after="60"/>
            </w:pPr>
            <w:r>
              <w:rPr>
                <w:sz w:val="22"/>
              </w:rPr>
              <w:t>Контроль защищённости; состав требуется конкретизировать по функциям.</w:t>
            </w:r>
          </w:p>
        </w:tc>
      </w:tr>
    </w:tbl>
    <w:p/>
    <w:p>
      <w:r>
        <w:t>Оборудование описывается единообразно в справке № 8, договоре № 34, паспорте № 35 и приложениях № 3 и № 6. Упоминание ИБП в архиве в паспорте № 35 требует отдельного уточнения: приведённая выше единица относится только к серверной.</w:t>
      </w:r>
    </w:p>
    <w:p>
      <w:r>
        <w:t>Для каждого средства целесообразно вести карточку: наименование, назначение, количество, место размещения, ответственный, документ-основание и обслуживание. Для программ дополнительно указываются версия, совместимая операционная система и выполняемые функции.</w:t>
      </w:r>
    </w:p>
    <w:p>
      <w:pPr>
        <w:pStyle w:val="Heading1"/>
      </w:pPr>
      <w:r>
        <w:t>4. Организация работы и защиты информации</w:t>
      </w:r>
    </w:p>
    <w:p>
      <w:r>
        <w:t>Ответственность распределяется следующим образом: директор Ермолаев Б. Ю. утверждает порядок работы и допуск; Ковалев Д. П. организует эксплуатацию, учёт оборудования и технические меры; Голованов Ф. А. отвечает за организацию обработки персональных данных. Инженеры работают с информацией в пределах назначенных задач. Такое распределение связано с приказами № 4, № 12 и № 17 по именам файлов.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381"/>
          </w:tcPr>
          <w:p>
            <w:pPr>
              <w:spacing w:after="60"/>
            </w:pPr>
            <w:r>
              <w:rPr>
                <w:sz w:val="22"/>
              </w:rPr>
              <w:t>Процесс</w:t>
            </w:r>
          </w:p>
        </w:tc>
        <w:tc>
          <w:tcPr>
            <w:tcW w:type="dxa" w:w="7257"/>
          </w:tcPr>
          <w:p>
            <w:pPr>
              <w:spacing w:after="60"/>
            </w:pPr>
            <w:r>
              <w:rPr>
                <w:sz w:val="22"/>
              </w:rPr>
              <w:t>Предусматриваемый порядок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/>
            </w:pPr>
            <w:r>
              <w:rPr>
                <w:sz w:val="22"/>
              </w:rPr>
              <w:t>Доступ</w:t>
            </w:r>
          </w:p>
        </w:tc>
        <w:tc>
          <w:tcPr>
            <w:tcW w:type="dxa" w:w="7257"/>
          </w:tcPr>
          <w:p>
            <w:pPr>
              <w:spacing w:after="60"/>
            </w:pPr>
            <w:r>
              <w:rPr>
                <w:sz w:val="22"/>
              </w:rPr>
              <w:t>Именные учётные записи и права по рабочим задачам. Посетителей сопровождает работник; свободный доступ в серверную и архив исключается. Допуск фиксируется в списке.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/>
            </w:pPr>
            <w:r>
              <w:rPr>
                <w:sz w:val="22"/>
              </w:rPr>
              <w:t>Ввод информации</w:t>
            </w:r>
          </w:p>
        </w:tc>
        <w:tc>
          <w:tcPr>
            <w:tcW w:type="dxa" w:w="7257"/>
          </w:tcPr>
          <w:p>
            <w:pPr>
              <w:spacing w:after="60"/>
            </w:pPr>
            <w:r>
              <w:rPr>
                <w:sz w:val="22"/>
              </w:rPr>
              <w:t>Внешние носители регистрируются и проверяются на выделенном рабочем месте перед переносом данных. Один из двух АРМ защищённой зоны используется для контролируемого ввода без увеличения общего количества АРМ.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/>
            </w:pPr>
            <w:r>
              <w:rPr>
                <w:sz w:val="22"/>
              </w:rPr>
              <w:t>Печать и сканирование</w:t>
            </w:r>
          </w:p>
        </w:tc>
        <w:tc>
          <w:tcPr>
            <w:tcW w:type="dxa" w:w="7257"/>
          </w:tcPr>
          <w:p>
            <w:pPr>
              <w:spacing w:after="60"/>
            </w:pPr>
            <w:r>
              <w:rPr>
                <w:sz w:val="22"/>
              </w:rPr>
              <w:t>Операции с конфиденциальными материалами выполняются на МФУ в серверной. Работник сразу забирает оригиналы и отпечатки; сканы сохраняются в разрешённую папку.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/>
            </w:pPr>
            <w:r>
              <w:rPr>
                <w:sz w:val="22"/>
              </w:rPr>
              <w:t>Резервное копирование</w:t>
            </w:r>
          </w:p>
        </w:tc>
        <w:tc>
          <w:tcPr>
            <w:tcW w:type="dxa" w:w="7257"/>
          </w:tcPr>
          <w:p>
            <w:pPr>
              <w:spacing w:after="60"/>
            </w:pPr>
            <w:r>
              <w:rPr>
                <w:sz w:val="22"/>
              </w:rPr>
              <w:t>Ежедневное копирование на выделенный защищённый носитель. Ответственный проверяет завершение задания; раз в месяц предусматривается пробное восстановление. Носитель хранится в сейфе.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/>
            </w:pPr>
            <w:r>
              <w:rPr>
                <w:sz w:val="22"/>
              </w:rPr>
              <w:t>Антивирусная защита</w:t>
            </w:r>
          </w:p>
        </w:tc>
        <w:tc>
          <w:tcPr>
            <w:tcW w:type="dxa" w:w="7257"/>
          </w:tcPr>
          <w:p>
            <w:pPr>
              <w:spacing w:after="60"/>
            </w:pPr>
            <w:r>
              <w:rPr>
                <w:sz w:val="22"/>
              </w:rPr>
              <w:t>Проверка входящих файлов и носителей, обновление баз через контролируемый источник, регистрация обнаружений. Продукт и версия выбираются совместимыми с принятой ОС.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/>
            </w:pPr>
            <w:r>
              <w:rPr>
                <w:sz w:val="22"/>
              </w:rPr>
              <w:t>Удаление данных</w:t>
            </w:r>
          </w:p>
        </w:tc>
        <w:tc>
          <w:tcPr>
            <w:tcW w:type="dxa" w:w="7257"/>
          </w:tcPr>
          <w:p>
            <w:pPr>
              <w:spacing w:after="60"/>
            </w:pPr>
            <w:r>
              <w:rPr>
                <w:sz w:val="22"/>
              </w:rPr>
              <w:t>Удаление по решению ответственного с применением предусмотренного средства очистки носителя. Проверяется результат; учитываются сроки хранения документов и резервных копий.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/>
            </w:pPr>
            <w:r>
              <w:rPr>
                <w:sz w:val="22"/>
              </w:rPr>
              <w:t>Уничтожение носителей</w:t>
            </w:r>
          </w:p>
        </w:tc>
        <w:tc>
          <w:tcPr>
            <w:tcW w:type="dxa" w:w="7257"/>
          </w:tcPr>
          <w:p>
            <w:pPr>
              <w:spacing w:after="60"/>
            </w:pPr>
            <w:r>
              <w:rPr>
                <w:sz w:val="22"/>
              </w:rPr>
              <w:t>Носитель выводится из использования, передаётся ответственному, уничтожение оформляется актом. До уничтожения хранится в сейфе. Бумажный шредер не считается средством уничтожения дисков.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/>
            </w:pPr>
            <w:r>
              <w:rPr>
                <w:sz w:val="22"/>
              </w:rPr>
              <w:t>Инциденты</w:t>
            </w:r>
          </w:p>
        </w:tc>
        <w:tc>
          <w:tcPr>
            <w:tcW w:type="dxa" w:w="7257"/>
          </w:tcPr>
          <w:p>
            <w:pPr>
              <w:spacing w:after="60"/>
            </w:pPr>
            <w:r>
              <w:rPr>
                <w:sz w:val="22"/>
              </w:rPr>
              <w:t>Работник сообщает Ковалеву Д. П.; затронутое рабочее место изолируется, обстоятельства фиксируются, восстановление выполняется после устранения причины.</w:t>
            </w:r>
          </w:p>
        </w:tc>
      </w:tr>
    </w:tbl>
    <w:p/>
    <w:p>
      <w:r>
        <w:t>Развёртывание средств защиты описывается по функциям: управление доступом, антивирусная защита, контроль целостности, межсетевое экранирование и защита резервных копий. В исходном перечне одновременно названы Astra Linux и Secret Net Studio без согласованной версии и схемы совместимости. Этот вопрос нужно разрешить до окончательного перечисления установленных продуктов; новые номера сертификатов в записку не вводятся.</w:t>
      </w:r>
    </w:p>
    <w:p>
      <w:r>
        <w:t>Пожарная и бытовая организация уже описана в документах № 12–15, 32–33: ответственный за пожарную безопасность, инструкция, журнал, размещение огнетушителей, условия доступа посетителей и санитарное обслуживание. При подготовке плана с этими материалами согласуются выход, проходы и места размещения средств пожаротушения.</w:t>
      </w:r>
    </w:p>
    <w:p>
      <w:pPr>
        <w:pStyle w:val="Heading1"/>
      </w:pPr>
      <w:r>
        <w:t>5. Дополнение базы по функциям выполняемых работ</w:t>
      </w:r>
    </w:p>
    <w:p>
      <w:r>
        <w:t>Для объяснения условного соответствия выбранным работам нужно показать не только офисную технику, но и средства контроля. На основе ранее выполненной сверки оборудования предлагается дополнить функциональную спецификацию следующими группами. Они описывают планируемое оснащение, а не уже совершённую закупку.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835"/>
          </w:tcPr>
          <w:p>
            <w:pPr>
              <w:spacing w:after="60"/>
            </w:pPr>
            <w:r>
              <w:rPr>
                <w:sz w:val="22"/>
              </w:rPr>
              <w:t>Группа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sz w:val="22"/>
              </w:rPr>
              <w:t>Что предусмотреть в спецификации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</w:pPr>
            <w:r>
              <w:rPr>
                <w:sz w:val="22"/>
              </w:rPr>
              <w:t>Акустические измерения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sz w:val="22"/>
              </w:rPr>
              <w:t>Генератор НЧ, акустические излучатели, шумомер, измерительный микрофон, датчик виброускорения и селективный микровольтметр; допустимо описание в составе единого комплекса.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</w:pPr>
            <w:r>
              <w:rPr>
                <w:sz w:val="22"/>
              </w:rPr>
              <w:t>Контроль защищённости АС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sz w:val="22"/>
              </w:rPr>
              <w:t>Средства поиска остаточной информации, контроля подключения устройств и целостности, тестирования на проникновение, анализа протоколов и сканирования защищённости.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</w:pPr>
            <w:r>
              <w:rPr>
                <w:sz w:val="22"/>
              </w:rPr>
              <w:t>Контроль исходных текстов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sz w:val="22"/>
              </w:rPr>
              <w:t>Средство анализа исходных текстов ПО; его назначение не смешивается со сканированием уязвимостей сети.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/>
            </w:pPr>
            <w:r>
              <w:rPr>
                <w:sz w:val="22"/>
              </w:rPr>
              <w:t>Оптические линии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sz w:val="22"/>
              </w:rPr>
              <w:t>Оптический тестер и рефлектометр — при включении соответствующих работ с ВОЛС.</w:t>
            </w:r>
          </w:p>
        </w:tc>
      </w:tr>
    </w:tbl>
    <w:p/>
    <w:p>
      <w:r>
        <w:t>Для каждой группы в приложении № 6 достаточно последовательно показать назначение, выбранный состав и связь с выполняемыми работами. Характеристики сверяются с сохранённым перечнем ФСТЭК от 10.08.2026. Подробная рабочая таблица находится в «Юридическая проверка/Сверка оборудования.md».</w:t>
      </w:r>
    </w:p>
    <w:p>
      <w:pPr>
        <w:pStyle w:val="Heading1"/>
      </w:pPr>
      <w:r>
        <w:t>6. Документы, сопровождающие записку</w:t>
      </w:r>
    </w:p>
    <w:p>
      <w:r>
        <w:t>Основные материалы для представления: справка о материально-техническом обеспечении № 8; договор аренды № 10; перечень СЗИ № 9; договор приобретения оборудования № 34; паспорта помещений № 35; описание техпроцесса и ресурсов № 27–28; сведения об АС и оборудовании № 26 и № 29.</w:t>
      </w:r>
    </w:p>
    <w:p>
      <w:r>
        <w:t>Организационные материалы: приказ и перечень конфиденциальной информации № 4–5; документы по пожарной безопасности № 12–15; политика и приказ по ПДн № 16–17; положение о коммерческой тайне № 23. Они поясняют распределение ответственности и порядок работы.</w:t>
      </w:r>
    </w:p>
    <w:p>
      <w:r>
        <w:t>Следующие небольшие дополнения могут конкретизировать организацию работы: список допуска в серверную и архив, журнал учёта носителей, журнал резервного копирования, карточки оборудования. Технический паспорт АС и схема размещения её средств целесообразно завершить одновременно с планом, чтобы сведения не расходились.</w:t>
      </w:r>
    </w:p>
    <w:p>
      <w:r>
        <w:t>Результат административной части: определены функциональные зоны, состав и назначение оборудования, распределение ответственности и порядок работы с информацией. После разработки плана требуется согласовать площади, проходы, размещение рабочих мест и технические паспорта. Отдельно согласуются предлагаемые процедуры с приложением № 4 и функциональное дополнение оснащения с приложением № 6.</w:t>
      </w:r>
    </w:p>
    <w:p>
      <w:r>
        <w:t>Подготовил: ____________________ / Ковалев Д. П. /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