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C9D20"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МИНИСТЕРСТВО НАУКИ И ВЫСШЕГО ОБРАЗОВАНИЯ</w:t>
      </w:r>
    </w:p>
    <w:p w14:paraId="0D548EEC"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РОССИЙСКОЙ ФЕДЕРАЦИИ</w:t>
      </w:r>
    </w:p>
    <w:p w14:paraId="7FFBB358"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ФЕДЕРАЛЬНОЕ ГОСУДАРСТВЕННОЕ БЮДЖЕТНОЕ</w:t>
      </w:r>
    </w:p>
    <w:p w14:paraId="761C3F56"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ОБРАЗОВАТЕЛЬНОЕ УЧРЕЖДЕНИЕ ВЫСШЕГО ОБРАЗОВАНИЯ</w:t>
      </w:r>
    </w:p>
    <w:p w14:paraId="34B6B690"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«ДОНСКОЙ ГОСУДАРСТВЕННЫЙ ТЕХНИЧЕСКИЙ УНИВЕРСИТЕТ»</w:t>
      </w:r>
    </w:p>
    <w:p w14:paraId="60867094"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(ДГТУ)</w:t>
      </w:r>
    </w:p>
    <w:p w14:paraId="2099B56F" w14:textId="77777777" w:rsidR="00EA4B6E" w:rsidRDefault="00EA4B6E">
      <w:pPr>
        <w:spacing w:after="0" w:line="360" w:lineRule="auto"/>
        <w:jc w:val="center"/>
        <w:rPr>
          <w:rFonts w:ascii="Times New Roman" w:hAnsi="Times New Roman" w:cs="Times New Roman"/>
          <w:sz w:val="28"/>
        </w:rPr>
      </w:pPr>
    </w:p>
    <w:p w14:paraId="43D22ABB" w14:textId="77777777" w:rsidR="00EA4B6E" w:rsidRDefault="00000000">
      <w:pPr>
        <w:spacing w:after="0" w:line="360" w:lineRule="auto"/>
        <w:jc w:val="center"/>
        <w:rPr>
          <w:rFonts w:ascii="Times New Roman" w:hAnsi="Times New Roman" w:cs="Times New Roman"/>
          <w:sz w:val="28"/>
        </w:rPr>
      </w:pPr>
      <w:r>
        <w:rPr>
          <w:rFonts w:ascii="Times New Roman" w:hAnsi="Times New Roman" w:cs="Times New Roman"/>
          <w:sz w:val="28"/>
        </w:rPr>
        <w:t>Факультет «Информатика и вычислительная техника»</w:t>
      </w:r>
    </w:p>
    <w:p w14:paraId="70BE25BE" w14:textId="77777777" w:rsidR="00EA4B6E" w:rsidRDefault="00000000">
      <w:pPr>
        <w:spacing w:after="0" w:line="360" w:lineRule="auto"/>
        <w:jc w:val="center"/>
        <w:rPr>
          <w:rFonts w:ascii="Times New Roman" w:hAnsi="Times New Roman" w:cs="Times New Roman"/>
          <w:sz w:val="28"/>
        </w:rPr>
      </w:pPr>
      <w:r>
        <w:rPr>
          <w:rFonts w:ascii="Times New Roman" w:hAnsi="Times New Roman" w:cs="Times New Roman"/>
          <w:sz w:val="28"/>
        </w:rPr>
        <w:t>Кафедра «Кибербезопасность информационных систем»</w:t>
      </w:r>
    </w:p>
    <w:p w14:paraId="49BAD3BF" w14:textId="77777777" w:rsidR="00EA4B6E" w:rsidRDefault="00EA4B6E">
      <w:pPr>
        <w:spacing w:after="0" w:line="360" w:lineRule="auto"/>
        <w:jc w:val="center"/>
        <w:rPr>
          <w:rFonts w:ascii="Times New Roman" w:hAnsi="Times New Roman" w:cs="Times New Roman"/>
          <w:sz w:val="28"/>
        </w:rPr>
      </w:pPr>
    </w:p>
    <w:p w14:paraId="1F5A2B9E"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ОТЧЁТ</w:t>
      </w:r>
    </w:p>
    <w:p w14:paraId="61480F15"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по практическому занятию № 14</w:t>
      </w:r>
    </w:p>
    <w:p w14:paraId="24778BCC"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по дисциплине «Организационное и правовое обеспечение</w:t>
      </w:r>
    </w:p>
    <w:p w14:paraId="193ACB8E"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информационной безопасности»</w:t>
      </w:r>
    </w:p>
    <w:p w14:paraId="7F9FD422"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на тему: «Изучение приказа ФСТЭК России от 11 апреля 2025 г. № 117</w:t>
      </w:r>
    </w:p>
    <w:p w14:paraId="319A1C7B"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«Требования о защите информации, содержащейся в государственных</w:t>
      </w:r>
    </w:p>
    <w:p w14:paraId="0043658B"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информационных системах, иных информационных системах государственных</w:t>
      </w:r>
    </w:p>
    <w:p w14:paraId="349B2438"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органов, государственных унитарных предприятий, государственных</w:t>
      </w:r>
    </w:p>
    <w:p w14:paraId="3EC93DF4"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учреждений»»</w:t>
      </w:r>
    </w:p>
    <w:p w14:paraId="495A980D" w14:textId="77777777" w:rsidR="00EA4B6E" w:rsidRDefault="00EA4B6E">
      <w:pPr>
        <w:spacing w:after="0" w:line="360" w:lineRule="auto"/>
        <w:jc w:val="center"/>
        <w:rPr>
          <w:rFonts w:ascii="Times New Roman" w:hAnsi="Times New Roman" w:cs="Times New Roman"/>
          <w:sz w:val="28"/>
        </w:rPr>
      </w:pPr>
    </w:p>
    <w:p w14:paraId="3387FF78" w14:textId="77777777" w:rsidR="00EA4B6E" w:rsidRDefault="00000000" w:rsidP="001432C6">
      <w:pPr>
        <w:spacing w:after="0" w:line="360" w:lineRule="auto"/>
        <w:jc w:val="right"/>
        <w:rPr>
          <w:rFonts w:ascii="Times New Roman" w:hAnsi="Times New Roman" w:cs="Times New Roman"/>
          <w:sz w:val="28"/>
        </w:rPr>
      </w:pPr>
      <w:r>
        <w:rPr>
          <w:rFonts w:ascii="Times New Roman" w:hAnsi="Times New Roman" w:cs="Times New Roman"/>
          <w:sz w:val="28"/>
        </w:rPr>
        <w:t>Выполнил: студент группы ВКБ53</w:t>
      </w:r>
    </w:p>
    <w:p w14:paraId="036062C8" w14:textId="77777777" w:rsidR="00EA4B6E" w:rsidRDefault="00000000" w:rsidP="001432C6">
      <w:pPr>
        <w:spacing w:after="0" w:line="360" w:lineRule="auto"/>
        <w:jc w:val="right"/>
        <w:rPr>
          <w:rFonts w:ascii="Times New Roman" w:hAnsi="Times New Roman" w:cs="Times New Roman"/>
          <w:sz w:val="28"/>
        </w:rPr>
      </w:pPr>
      <w:r>
        <w:rPr>
          <w:rFonts w:ascii="Times New Roman" w:hAnsi="Times New Roman" w:cs="Times New Roman"/>
          <w:sz w:val="28"/>
        </w:rPr>
        <w:t>Ковалев Данил Петрович</w:t>
      </w:r>
    </w:p>
    <w:p w14:paraId="23BA5160" w14:textId="77777777" w:rsidR="00EA4B6E" w:rsidRDefault="00000000" w:rsidP="001432C6">
      <w:pPr>
        <w:spacing w:after="0" w:line="360" w:lineRule="auto"/>
        <w:jc w:val="right"/>
        <w:rPr>
          <w:rFonts w:ascii="Times New Roman" w:hAnsi="Times New Roman" w:cs="Times New Roman"/>
          <w:sz w:val="28"/>
        </w:rPr>
      </w:pPr>
      <w:r>
        <w:rPr>
          <w:rFonts w:ascii="Times New Roman" w:hAnsi="Times New Roman" w:cs="Times New Roman"/>
          <w:sz w:val="28"/>
        </w:rPr>
        <w:t>Проверил: ____________________</w:t>
      </w:r>
    </w:p>
    <w:p w14:paraId="3DD084A0" w14:textId="77777777" w:rsidR="00EA4B6E" w:rsidRDefault="00EA4B6E">
      <w:pPr>
        <w:spacing w:after="0" w:line="360" w:lineRule="auto"/>
        <w:jc w:val="center"/>
        <w:rPr>
          <w:rFonts w:ascii="Times New Roman" w:hAnsi="Times New Roman" w:cs="Times New Roman"/>
          <w:sz w:val="28"/>
        </w:rPr>
      </w:pPr>
    </w:p>
    <w:p w14:paraId="7F8944C0" w14:textId="77777777" w:rsidR="001432C6" w:rsidRDefault="001432C6">
      <w:pPr>
        <w:spacing w:after="0" w:line="360" w:lineRule="auto"/>
        <w:jc w:val="center"/>
        <w:rPr>
          <w:rFonts w:ascii="Times New Roman" w:hAnsi="Times New Roman" w:cs="Times New Roman"/>
          <w:sz w:val="28"/>
        </w:rPr>
      </w:pPr>
    </w:p>
    <w:p w14:paraId="037CC32C" w14:textId="77777777" w:rsidR="00EA4B6E" w:rsidRDefault="00000000">
      <w:pPr>
        <w:spacing w:after="0" w:line="360" w:lineRule="auto"/>
        <w:jc w:val="center"/>
        <w:rPr>
          <w:rFonts w:ascii="Times New Roman" w:hAnsi="Times New Roman" w:cs="Times New Roman"/>
          <w:sz w:val="28"/>
        </w:rPr>
      </w:pPr>
      <w:r>
        <w:rPr>
          <w:rFonts w:ascii="Times New Roman" w:hAnsi="Times New Roman" w:cs="Times New Roman"/>
          <w:sz w:val="28"/>
        </w:rPr>
        <w:t>Ростов-на-Дону</w:t>
      </w:r>
    </w:p>
    <w:p w14:paraId="645828AD" w14:textId="77777777" w:rsidR="00EA4B6E" w:rsidRDefault="00000000">
      <w:pPr>
        <w:spacing w:after="0" w:line="360" w:lineRule="auto"/>
        <w:jc w:val="center"/>
        <w:rPr>
          <w:rFonts w:ascii="Times New Roman" w:hAnsi="Times New Roman" w:cs="Times New Roman"/>
          <w:sz w:val="28"/>
        </w:rPr>
      </w:pPr>
      <w:r>
        <w:rPr>
          <w:rFonts w:ascii="Times New Roman" w:hAnsi="Times New Roman" w:cs="Times New Roman"/>
          <w:sz w:val="28"/>
        </w:rPr>
        <w:t>2026</w:t>
      </w:r>
    </w:p>
    <w:p w14:paraId="251D6FCF"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sz w:val="28"/>
        </w:rPr>
        <w:br w:type="page"/>
      </w:r>
    </w:p>
    <w:p w14:paraId="75570E72"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b/>
          <w:bCs/>
          <w:sz w:val="28"/>
        </w:rPr>
        <w:lastRenderedPageBreak/>
        <w:t>Цель работы:</w:t>
      </w:r>
      <w:r>
        <w:rPr>
          <w:rFonts w:ascii="Times New Roman" w:hAnsi="Times New Roman" w:cs="Times New Roman"/>
          <w:sz w:val="28"/>
        </w:rPr>
        <w:t xml:space="preserve"> изучить приказ ФСТЭК России от 11 апреля 2025 г. № 117 «Требования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(далее — Требования) как нормативный правовой акт в области технической защиты информации, устанавливающий требования о защите (некриптографическими методами) информации, предотвращения несанкционированного доступа к информации, специальных воздействий на информацию (носители информации), содержащейся в функционирующих на территории Российской Федерации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получить теоретическую и практическую подготовку по вопросам общих положений Требований, организации деятельности по защите информации и управления данной деятельностью, проведения мероприятий и принятия мер по защите информации, определения класса защищенности информационной системы и базовых мер защиты информационных систем и содержащейся в них информации; выработать навыки работы с нормативными правовыми актами ФСТЭК России и открытыми источниками сети Интернет в области технической защиты информации.</w:t>
      </w:r>
    </w:p>
    <w:p w14:paraId="27D218BC"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ходе выполнения работы решаются следующие задачи:</w:t>
      </w:r>
    </w:p>
    <w:p w14:paraId="420BBEBC"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1) изучить приказ ФСТЭК России от 11 апреля 2025 г. № 117 «Требования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w:t>
      </w:r>
    </w:p>
    <w:p w14:paraId="57A1155A"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2) изучить общие положения Требований: назначение документа, сферу действия, соотношение Требований с нормативными правовыми актами в </w:t>
      </w:r>
      <w:r>
        <w:rPr>
          <w:rFonts w:ascii="Times New Roman" w:hAnsi="Times New Roman" w:cs="Times New Roman"/>
          <w:sz w:val="28"/>
        </w:rPr>
        <w:lastRenderedPageBreak/>
        <w:t>области защиты государственной тайны, персональных данных, критической информационной инфраструктуры и криптографической защиты информации;</w:t>
      </w:r>
    </w:p>
    <w:p w14:paraId="59BCFC7A"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3) изучить организацию деятельности по защите информации и управление данной деятельностью: политику защиты информации, внутренние стандарты и регламенты по защите информации, структурное подразделение (специалистов) по защите информации, показатели защищенности Кзи и уровня зрелости Пзи;</w:t>
      </w:r>
    </w:p>
    <w:p w14:paraId="422ECBE8"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4) изучить проведение мероприятий и принятие мер по защите информации: перечень мероприятий, управление уязвимостями и обновлениями, защиту информации при применении конечных устройств, мобильных устройств, удаленного и беспроводного доступа, при использовании искусственного интеллекта;</w:t>
      </w:r>
    </w:p>
    <w:p w14:paraId="1851593A"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5) изучить требования к определению класса защищенности информационной системы (К1, К2, К3): уровень значимости информации, масштаб информационной системы;</w:t>
      </w:r>
    </w:p>
    <w:p w14:paraId="03D8C6AA"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6) изучить базовые меры защиты информационных систем и содержащейся в них информации и требования к сертифицированным средствам защиты информации;</w:t>
      </w:r>
    </w:p>
    <w:p w14:paraId="2E4A0AE7"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7) проанализировать открытые источники сети Интернет (сайт ФСТЭК России, сайт Роскомнадзора, справочно-правовые системы, иные источники);</w:t>
      </w:r>
    </w:p>
    <w:p w14:paraId="6990FAA9"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8) дать краткие ответы на контрольные вопросы практического занятия.</w:t>
      </w:r>
    </w:p>
    <w:p w14:paraId="79ED0ED1"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КРАТКИЕ ТЕОРЕТИЧЕСКИЕ СВЕДЕНИЯ</w:t>
      </w:r>
    </w:p>
    <w:p w14:paraId="165E5792"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Приказ ФСТЭК России от 11 апреля 2025 г.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издан в соответствии с частью 5 статьи 16 Федерального закона от 27 июля 2006 г. № 149-ФЗ «Об информации, информационных технологиях и о защите информации» и пунктом 2, подпунктом 9(1) пункта 8 Положения о Федеральной службе по техническому </w:t>
      </w:r>
      <w:r>
        <w:rPr>
          <w:rFonts w:ascii="Times New Roman" w:hAnsi="Times New Roman" w:cs="Times New Roman"/>
          <w:sz w:val="28"/>
        </w:rPr>
        <w:lastRenderedPageBreak/>
        <w:t>и экспортному контролю, утвержденного Указом Президента Российской Федерации от 16 августа 2004 г. № 1085. Приказ зарегистрирован Министерством юстиции Российской Федерации 16 июня 2025 г. (регистрационный № 82619) и вступает в силу с 1 марта 2026 г.</w:t>
      </w:r>
    </w:p>
    <w:p w14:paraId="3C524864"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 пунктом 2 приказа признаны утратившими силу приказ ФСТЭК России от 11 февраля 2013 г. № 17 «Об утверждении Требований о защите информации, не составляющей государственную тайну, содержащейся в государственных информационных системах» и внесенные в него изменения (приказы ФСТЭК России от 15 февраля 2017 г. № 27, от 28 мая 2019 г. № 106, от 27 апреля 2020 г. № 61, пункт 1 изменений, утвержденных приказом ФСТЭК России от 28 августа 2024 г. № 159). Аттестаты соответствия на государственные информационные системы и иные информационные системы, выданные до дня вступления в силу приказа, считаются действительными (пункт 3 приказа).</w:t>
      </w:r>
    </w:p>
    <w:p w14:paraId="3BB001B0"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Требования состоят из трех разделов: I «Общие положения», II «Организация деятельности по защите информации и управление данной деятельностью», III «Проведение мероприятий и принятие мер по защите информации», а также Приложения «Требования к определению класса защищенности информационной системы».</w:t>
      </w:r>
    </w:p>
    <w:p w14:paraId="6A3DA336"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1 ОБЩИЕ ПОЛОЖЕНИЯ</w:t>
      </w:r>
    </w:p>
    <w:p w14:paraId="59AB4C7F"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 пунктом 1 Требования применяются для обеспечения защиты (некриптографическими методами) информации, предотвращения несанкционированного доступа к информации, специальных воздействий на информацию (носители информации) в целях ее добывания, уничтожения, искажения, блокирования доступа к информации, содержащейся в функционирующих на территории Российской Федерации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(далее — информационные системы).</w:t>
      </w:r>
    </w:p>
    <w:p w14:paraId="1BA283F9"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В случае передачи из государственной информационной системы информации, доступ к которой ограничен в соответствии с законодательством Российской Федерации (информация ограниченного доступа), информационная система, в которую передается информация ограниченного доступа, должна соответствовать требованиям о защите информации, установленным в соответствии с частью 5 статьи 16 Федерального закона № 149-ФЗ; состав передаваемой информации ограниченного доступа, цели ее защиты и уровень защищенности должны устанавливаться обладателем информации, заказчиком, оператором информационных систем (пункт 2). В муниципальных информационных системах защита информации обеспечивается в соответствии с Требованиями, если иное не установлено законодательством Российской Федерации (пункт 3).</w:t>
      </w:r>
    </w:p>
    <w:p w14:paraId="44ADA725"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Оператор (обладатель информации) должен обеспечивать защиту информации в соответствии с Требованиями на всех стадиях (этапах) обработки и хранения информации, создания и развития (модернизации), эксплуатации и вывода из эксплуатации информационных систем (пункт 9). Защита информации обеспечивается в целях: а) недопущения (снижения возможности) наступления негативных последствий (событий) от нарушения конфиденциальности, целостности, доступности информации; б) недопущения (снижения возможности) наступления негативных последствий (событий) от нарушения функционирования информационных систем вследствие реализации (возникновения) угроз безопасности информации (пункт 10). Негативные последствия (события) определяются оператором (обладателем информации) на основе информации, содержащейся в банке данных угроз безопасности информации ФСТЭК России (пункт 11).</w:t>
      </w:r>
    </w:p>
    <w:p w14:paraId="54F21F6A"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соответствии с пунктом 12 Требования не распространяются на информационные системы Администрации Президента Российской Федерации, аппарата Совета Безопасности Российской Федерации, Федерального Собрания Российской Федерации, Аппарата Правительства Российской Федерации, Конституционного Суда Российской Федерации, </w:t>
      </w:r>
      <w:r>
        <w:rPr>
          <w:rFonts w:ascii="Times New Roman" w:hAnsi="Times New Roman" w:cs="Times New Roman"/>
          <w:sz w:val="28"/>
        </w:rPr>
        <w:lastRenderedPageBreak/>
        <w:t>Верховного Суда Российской Федерации, а также на информационные системы государственных органов, осуществляющих разведывательную и контрразведывательную деятельность, информационные системы, обеспечивающие управление вооружением, военной и специальной техникой.</w:t>
      </w:r>
    </w:p>
    <w:p w14:paraId="67AC11B4"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Соотношение Требований с иными нормативными правовыми актами в области защиты информации установлено пунктами 4–7: при обработке и хранении в информационных системах информации, содержащей сведения, составляющие государственную тайну, ее защита должна обеспечиваться в соответствии с требованиями по технической защите информации, содержащей сведения, составляющие государственную тайну (подпункт 9(1) пункта 8 Положения о ФСТЭК России); при обработке в информационных системах персональных данных должны применяться Требования к защите персональных данных при их обработке в информационных системах персональных данных, утвержденные постановлением Правительства Российской Федерации от 1 ноября 2012 г. № 1119, и Требования; в случае если информационная система является значимым объектом критической информационной инфраструктуры Российской Федерации, защита содержащейся в ней информации должна обеспечиваться в соответствии с нормативными правовыми актами, принятыми на основании статьи 6 Федерального закона от 26 июля 2017 г. № 187-ФЗ «О безопасности критической информационной инфраструктуры Российской Федерации», и Требованиями; в случае использования шифровальных (криптографических) средств защиты информации должны применяться требования о защите информации, установленные ФСБ России в соответствии с частью 5 статьи 16 Федерального закона № 149-ФЗ, и Требования. Функционирование информационных систем на базе информационно-телекоммуникационной инфраструктуры допускается при условии защиты информационно-телекоммуникационной инфраструктуры в соответствии с Требованиями (пункт 8).</w:t>
      </w:r>
    </w:p>
    <w:p w14:paraId="4F300B52"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lastRenderedPageBreak/>
        <w:t>2 ОРГАНИЗАЦИЯ ДЕЯТЕЛЬНОСТИ ПО ЗАЩИТЕ ИНФОРМАЦИИ И УПРАВЛЕНИЕ ДАННОЙ ДЕЯТЕЛЬНОСТЬЮ</w:t>
      </w:r>
    </w:p>
    <w:p w14:paraId="012F15F8"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Организация деятельности по защите информации в соответствии с пунктом 14 должна включать: а) разработку и утверждение политики защиты информации; б) определение лиц, ответственных за защиту информации; в) применение программных, программно-аппаратных средств, предназначенных для защиты информации; г) разработку и утверждение внутренних стандартов по защите информации; д) разработку и утверждение внутренних регламентов по защите информации; е) выделение организационных, технических и иных ресурсов, необходимых для защиты информации.</w:t>
      </w:r>
    </w:p>
    <w:p w14:paraId="066A8205"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Политика защиты информации должна содержать: область действия политики, включая перечень информации, информационных систем, компонентов информационно-телекоммуникационной инфраструктуры, подлежащих защите; цели и задачи защиты информации; принципы защиты информации; перечни объектов защиты, включая программные, программно-аппаратные средства, информационные системы, сети и подсети, образующие информационно-телекоммуникационную инфраструктуру; категории лиц, участвующих в защите информации, их обязанности (функции) и полномочия; состав организационной системы управления деятельностью по защите информации и схему взаимодействия ее элементов; ответственность работников за нарушение требований о защите информации и установленных оператором (обладателем информации) правил обработки информации.</w:t>
      </w:r>
    </w:p>
    <w:p w14:paraId="3F0AB2C3"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Внутренние стандарты по защите информации должны содержать требования к первичной идентификации пользователей, применяемым моделям доступа пользователей, перечень разрешенного и (или) запрещенного для использования программного обеспечения, требования к типовым конфигурациям и настройкам программных, программно-аппаратных средств, в том числе предназначенных для доступа к сети «Интернет» и удаленного доступа, требования к защите конечных устройств и мобильных устройств, </w:t>
      </w:r>
      <w:r>
        <w:rPr>
          <w:rFonts w:ascii="Times New Roman" w:hAnsi="Times New Roman" w:cs="Times New Roman"/>
          <w:sz w:val="28"/>
        </w:rPr>
        <w:lastRenderedPageBreak/>
        <w:t>требования к непрерывности функционирования информационных систем, резервному копированию информации, сбору, регистрации и анализу событий безопасности, защите информации при подключении к информационным системам иных информационных систем. Внутренние регламенты по защите информации должны содержать порядок создания, учета, изменения и блокирования, контроля, удаления учетных записей (в том числе привилегированных), порядок создания, изменения, блокирования, контроля, удаления аутентификационной информации и средств аутентификации, порядок предоставления пользователям удаленного доступа, порядок управления уязвимостями и обновлениями, порядок обработки, хранения и обращения с информацией ограниченного доступа, порядок мониторинга информационной безопасности, порядок восстановления штатного функционирования информационных систем и другие.</w:t>
      </w:r>
    </w:p>
    <w:p w14:paraId="1878C9FA"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Политика защиты информации утверждается руководителем оператора (обладателя информации) или уполномоченным им лицом (ответственным лицом) и обязательна для исполнения всеми подразделениями (работниками) оператора (обладателя информации) в части, их касающейся (пункт 15). Защиту информации должен организовывать руководитель оператора (обладателя информации) или по его решению ответственное лицо (пункт 17), которое должно создать (определить) структурное подразделение или назначить отдельных специалистов, на которых возлагаются обязанности (функции) по защите информации (пункт 19).</w:t>
      </w:r>
    </w:p>
    <w:p w14:paraId="6CE93BF5"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соответствии с пунктом 20 работники структурного подразделения (специалисты) по защите информации должны обладать компетенциями, необходимыми для выполнения возложенных на них обязанностей (функций); не менее 30 процентов работников структурного подразделения по защите информации должны иметь профессиональное образование по специальности или направлению подготовки в области информационной безопасности или пройти обучение по программе профессиональной переподготовки в области информационной безопасности. Для проведения мероприятий и принятия мер </w:t>
      </w:r>
      <w:r>
        <w:rPr>
          <w:rFonts w:ascii="Times New Roman" w:hAnsi="Times New Roman" w:cs="Times New Roman"/>
          <w:sz w:val="28"/>
        </w:rPr>
        <w:lastRenderedPageBreak/>
        <w:t>по защите информации оператором (обладателем информации) могут привлекаться организации, имеющие лицензию на деятельность по технической защите конфиденциальной информации (пункт 24).</w:t>
      </w:r>
    </w:p>
    <w:p w14:paraId="4AAE126D"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Управление деятельностью по защите информации должно осуществляться в рамках функционирующей организационной системы управления и включать: а) разработку и планирование мероприятий и мер по защите информации; б) проведение мероприятий и принятие мер по защите информации; в) проведение оценки состояния защиты информации; г) совершенствование мероприятий и мер по защите информации (пункт 28). При разработке и планировании мероприятий и мер по защите информации должны быть определены события в информационных системах, наступление которых может привести к нарушению целей защиты информации, выявлены и оценены угрозы безопасности информации, определены состав и сроки проведения мероприятий и принятия мер и оценены необходимые ресурсы (пункт 29).</w:t>
      </w:r>
    </w:p>
    <w:p w14:paraId="1305B325"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Для оценки состояния защиты информации вводятся два ключевых показателя (пункт 31): показатель защищенности Кзи, характеризующий текущее состояние защиты информации от базового уровня угроз безопасности информации, и показатель уровня зрелости Пзи, определяющий достаточность и эффективность проведения мероприятий по защите информации. Расчет и оценка показателя защищенности Кзи должны проводиться не реже одного раза в шесть месяцев, показателя уровня зрелости Пзи — не реже одного раза в два года (пункт 32). О полученных по результатам оценки значениях показателей в случае их несоответствия нормированным значениям в течение 3 календарных дней со дня завершения оценки информируется руководитель оператора (обладателя информации); результаты оценки показателей в срок не позднее 5 рабочих дней после дня их расчета направляются оператором (обладателем информации) в ФСТЭК России.</w:t>
      </w:r>
    </w:p>
    <w:p w14:paraId="5CB65A39"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3 ПРОВЕДЕНИЕ МЕРОПРИЯТИЙ И ПРИНЯТИЕ МЕР ПО ЗАЩИТЕ ИНФОРМАЦИИ</w:t>
      </w:r>
    </w:p>
    <w:p w14:paraId="5AB016FF"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В соответствии с пунктом 34 для достижения целей защиты информации оператором (обладателем информации) должны проводиться следующие мероприятия: а) выявление и оценка угроз безопасности информации; б) контроль конфигураций информационных систем; в) управление уязвимостями; г) управление обновлениями; д) обеспечение защиты информации при обработке, хранении и обращении с информацией ограниченного доступа; е) обеспечение защиты информации при применении конечных устройств; ж) обеспечение защиты информации при применении мобильных устройств; з) обеспечение защиты информации при удаленном доступе пользователей к информационным системам; и) обеспечение защиты информации при беспроводном доступе пользователей; к) обеспечение защиты информации при предоставлении привилегированного доступа; л) обеспечение мониторинга информационной безопасности; м) обеспечение разработки безопасного программного обеспечения; н) обеспечение физической защиты информационных систем; о) обеспечение непрерывности функционирования информационных систем при возникновении нештатных ситуаций; п) повышение уровня знаний и информированности пользователей по вопросам защиты информации; р) обеспечение защиты информации при взаимодействии с подрядными организациями; с) обеспечение защиты от компьютерных атак, направленных на отказ в обслуживании; т) обеспечение защиты информации при использовании искусственного интеллекта; у) реализация в информационных системах мер по их защите и защите содержащейся в них информации; ф) проведение контроля уровня защищенности информации; х) обеспечение непрерывного взаимодействия с государственной системой обнаружения, предупреждения и ликвидации последствий компьютерных атак на информационные ресурсы Российской Федерации.</w:t>
      </w:r>
    </w:p>
    <w:p w14:paraId="306F09C2"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Мероприятия по выявлению и оценке угроз безопасности информации (пункт 36) должны предусматривать определение в ходе создания информационных систем актуальных угроз и разработку в установленных </w:t>
      </w:r>
      <w:r>
        <w:rPr>
          <w:rFonts w:ascii="Times New Roman" w:hAnsi="Times New Roman" w:cs="Times New Roman"/>
          <w:sz w:val="28"/>
        </w:rPr>
        <w:lastRenderedPageBreak/>
        <w:t>случаях моделей угроз безопасности информации, а также своевременное выявление актуальных угроз и их оценку в ходе эксплуатации информационных систем. Мероприятия по контролю конфигураций информационных систем (пункт 37) должны исключать несанкционированное изменение состава программных, программно-аппаратных средств, их настроек и конфигураций, установленных во внутренних стандартах по защите информации, и обеспечивать обнаружение фактов несанкционированных изменений.</w:t>
      </w:r>
    </w:p>
    <w:p w14:paraId="2ED61824"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Мероприятия по управлению уязвимостями (пункт 38) должны включать выявление уязвимостей информационных систем, оценку их критичности, определение методов и приоритетов устранения уязвимостей, контроль за их устранением. Устранение уязвимостей, которые могут быть использованы нарушителями, или исключение возможности их использования за счет применения компенсирующих мер должно проводиться: в отношении уязвимостей критического уровня опасности — в срок не более 24 часов; в отношении уязвимостей высокого уровня опасности — в срок не более 7 календарных дней; в отношении уязвимостей среднего и низкого уровней опасности сроки и порядок их устранения определяются во внутреннем регламенте по защите информации. При выявлении уязвимостей информационных систем, сведения о которых отсутствуют в банке данных угроз безопасности информации ФСТЭК России, оператор (обладатель информации) в срок не более 5 рабочих дней с даты такого выявления должен направить информацию об уязвимости в ФСТЭК России для оценки необходимости включения выявленной уязвимости в банк данных угроз безопасности информации ФСТЭК России.</w:t>
      </w:r>
    </w:p>
    <w:p w14:paraId="6668ED8D"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Мероприятия по управлению обновлениями (пункт 39) должны включать проверку подлинности и целостности обновлений программных, программно-аппаратных средств, тестирование обновлений до их применения в контурах промышленной эксплуатации информационных систем, выдачу разрешения на применение обновлений с использованием безопасных </w:t>
      </w:r>
      <w:r>
        <w:rPr>
          <w:rFonts w:ascii="Times New Roman" w:hAnsi="Times New Roman" w:cs="Times New Roman"/>
          <w:sz w:val="28"/>
        </w:rPr>
        <w:lastRenderedPageBreak/>
        <w:t>настроек и конфигураций; бесконтрольная установка обновлений не допускается.</w:t>
      </w:r>
    </w:p>
    <w:p w14:paraId="626E1735"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Мероприятия по защите информации при обработке, хранении и обращении с информацией ограниченного доступа (пункт 40) должны исключать неправомерное распространение информации ограниченного доступа и доступ к ней лиц, для которых такая информация не предназначена и (или) для которых такой доступ запрещен. Мероприятия по обеспечению защиты информации при применении конечных устройств (пункт 41) должны исключать возможность несанкционированного доступа к информационным системам и конечным устройствам или воздействия на них через интерфейсы и порты, непосредственно взаимодействующие с сетью «Интернет» и (или) доступные из сети «Интернет».</w:t>
      </w:r>
    </w:p>
    <w:p w14:paraId="347D360E"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Мероприятия по обеспечению защиты информации при применении мобильных устройств (пункт 42) должны исключать возможность несанкционированного доступа (воздействия) к информационным системам и содержащейся в них информации через каналы передачи мобильных данных, мобильные сервисы, интерфейсы и порты мобильных устройств. При применении мобильных устройств для доступа к информационным системам в целях выполнения своих обязанностей (функций) оператор (обладатель информации) должен обеспечивать защиту каналов передачи данных и осуществлять доступ пользователей с применением строгой аутентификации; пользователем должен быть исключен несанкционированный доступ к мобильному устройству. Применение пользователями личных мобильных устройств для доступа к информационным системам допускается в случае соответствия мобильных устройств Требованиям и наличия у оператора (обладателя информации) возможности контроля использования мобильных устройств (пункт 43).</w:t>
      </w:r>
    </w:p>
    <w:p w14:paraId="428F7CD8"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Мероприятия по обеспечению защиты информации при удаленном доступе пользователей (пункт 46) должны исключать возможность несанкционированного доступа (воздействия) к информационным системам и </w:t>
      </w:r>
      <w:r>
        <w:rPr>
          <w:rFonts w:ascii="Times New Roman" w:hAnsi="Times New Roman" w:cs="Times New Roman"/>
          <w:sz w:val="28"/>
        </w:rPr>
        <w:lastRenderedPageBreak/>
        <w:t>содержащейся в них информации через каналы передачи данных, интерфейсы и порты удаленно подключаемых программно-аппаратных средств. Удаленный доступ в целях выполнения своих обязанностей (функций) должен осуществляться с использованием программно-аппаратных средств, выделенных оператором (обладателем информации) и соответствующих Требованиям; по согласованию со структурным подразделением (специалистами) по защите информации допускается предоставление удаленного доступа с использованием личных программно-аппаратных средств пользователя при условии применения сертифицированных средств обеспечения безопасной дистанционной работы (приказ ФСТЭК России от 16 февраля 2021 г. № 32), средств антивирусной защиты и иных средств защиты информации. Удаленный доступ должен осуществляться с использованием сетей связи, расположенных на территории Российской Федерации, посредством применения средств защиты канала передачи данных и строгой аутентификации пользователей. Мероприятия по обеспечению защиты информации при беспроводном доступе (пункт 47) должны исключать возможность несанкционированного доступа за счет несанкционированного подключения к точкам беспроводного доступа; точки беспроводного доступа, используемые для доступа к информационным системам, должны быть изолированы от беспроводных сетей связи, предназначенных для доступа к сети «Интернет».</w:t>
      </w:r>
    </w:p>
    <w:p w14:paraId="15B5486F"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Мероприятия по обеспечению защиты информации при предоставлении привилегированного доступа (пункт 48) должны исключать возможность получения привилегированного доступа лицами, для которых такой доступ должен быть исключен; привилегированный доступ должен осуществляться с применением строгой аутентификации, а в случае технической невозможности — с использованием усиленной многофакторной аутентификации; привилегированные учетные записи, имеющие права по созданию других привилегированных учетных записей, должны быть персонифицированными; </w:t>
      </w:r>
      <w:r>
        <w:rPr>
          <w:rFonts w:ascii="Times New Roman" w:hAnsi="Times New Roman" w:cs="Times New Roman"/>
          <w:sz w:val="28"/>
        </w:rPr>
        <w:lastRenderedPageBreak/>
        <w:t>все действия по доступу с использованием привилегированных учетных записей подлежат регистрации.</w:t>
      </w:r>
    </w:p>
    <w:p w14:paraId="66A87542"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Мероприятия по осуществлению мониторинга информационной безопасности (пункт 49) должны предусматривать сбор данных о событиях безопасности, их обработку и анализ, выявление признаков реализации угроз безопасности информации; мониторинг проводится в отношении всех информационных систем, за исключением локальных и изолированных, в которых обеспечивается контроль журналов регистрации событий безопасности; при анализе событий безопасности допускается использование доверенных технологий искусственного интеллекта. Мероприятия по разработке безопасного программного обеспечения (пункт 50) проводятся в случае самостоятельной разработки оператором (обладателем информации) программного обеспечения и должны предусматривать реализацию мер, предусмотренных разделами 4 и 5 ГОСТ Р 56939-2024.</w:t>
      </w:r>
    </w:p>
    <w:p w14:paraId="67A741E3"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Мероприятия по обеспечению физической защиты информационных систем (пункт 51) должны исключать возможность несанкционированного физического доступа к программно-аппаратным средствам обработки и хранения информации; съемные машинные носители информации, разрешенные для использования, подлежат учету и контролю использования; подключение обнаруженного съемного машинного носителя информации, принадлежность которого или владельца которого установить не удалось, к информационным системам запрещается. Мероприятия по обеспечению непрерывности функционирования информационных систем (пункты 52–55) должны обеспечивать восстановление выполнения значимых функций в пределах интервалов времени восстановления, установленных внутренними стандартами и регламентами: для информационных систем 1 класса защищенности — не более 24 часов, 2 класса защищенности — не более 7 календарных дней, 3 класса защищенности — не более 4 недель с момента обнаружения нарушения функционирования (пункт 53); должно быть обеспечено создание достаточного количества резервных копий программных, </w:t>
      </w:r>
      <w:r>
        <w:rPr>
          <w:rFonts w:ascii="Times New Roman" w:hAnsi="Times New Roman" w:cs="Times New Roman"/>
          <w:sz w:val="28"/>
        </w:rPr>
        <w:lastRenderedPageBreak/>
        <w:t>программно-аппаратных средств, их конфигураций и информации, а также их хранение на разных типах машинных носителей информации.</w:t>
      </w:r>
    </w:p>
    <w:p w14:paraId="1697844C"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Мероприятия по повышению уровня знаний и информированности пользователей (пункты 56–57) включают доведение информационных материалов, проведение лекций, семинаров, обучающих игр, имитационных рассылок электронных писем с целью оценки устойчивости пользователей к методам социальной инженерии, проведение тренировок; оценка уровня знаний пользователей должна проводиться не реже одного раза в три года или после компьютерного инцидента. Мероприятия по защите информации при взаимодействии с подрядными организациями (пункт 58) должны исключать возможность несанкционированного доступа или воздействий на информационные системы через взаимодействующие программно-аппаратные средства подрядных организаций; разработка (развитие) и (или) тестирование программного обеспечения подрядными организациями непосредственно в эксплуатируемых информационных системах не допускается.</w:t>
      </w:r>
    </w:p>
    <w:p w14:paraId="4DBB217D"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Мероприятия по организации и проведению защиты от компьютерных атак, направленных на отказ в обслуживании (пункт 59), должны исключать возможность блокирования авторизованным пользователям доступа к информационным системам; оператором (обладателем информации) должно быть обеспечено взаимодействие с государственной системой обнаружения, предупреждения и ликвидации последствий компьютерных атак на информационные ресурсы Российской Федерации, а также взаимодействие в автоматизированном режиме с Центром мониторинга и управления сетью связи общего пользования.</w:t>
      </w:r>
    </w:p>
    <w:p w14:paraId="1F0095FF"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Мероприятия по обеспечению защиты информации при использовании искусственного интеллекта (пункты 60–61) должны обеспечивать возможность исключения несанкционированного доступа к информации или воздействия на информационные системы, несанкционированного распространения и модификации информации, а также использования информационных систем не по назначению за счет воздействия на наборы </w:t>
      </w:r>
      <w:r>
        <w:rPr>
          <w:rFonts w:ascii="Times New Roman" w:hAnsi="Times New Roman" w:cs="Times New Roman"/>
          <w:sz w:val="28"/>
        </w:rPr>
        <w:lastRenderedPageBreak/>
        <w:t>данных, применяемые модели искусственного интеллекта и их параметры, процессы и сервисы по обработке данных и поиску решений. Не допускается передача лицу, разработавшему модель искусственного интеллекта, информации ограниченного доступа, содержащейся в информационных системах, в том числе для улучшения функционирования модели искусственного интеллекта. При взаимодействии пользователей с сервисами на основе искусственного интеллекта должны быть определены шаблоны запросов и ответов (или допустимые тематики) и обеспечен контроль их соблюдения, разработаны статистические критерии для выявления недостоверных ответов искусственного интеллекта, обеспечено реагирование на недостоверные ответы посредством ограничения области принимаемых решений, исключено нерегламентированное влияние искусственного интеллекта на параметры модели и функционирование информационных систем; непосредственно в состав информационных систем должны включаться доверенные технологии искусственного интеллекта или их компоненты.</w:t>
      </w:r>
    </w:p>
    <w:p w14:paraId="74872C74"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4 БАЗОВЫЕ МЕРЫ ЗАЩИТЫ И ТРЕБОВАНИЯ К СРЕДСТВАМ ЗАЩИТЫ ИНФОРМАЦИИ</w:t>
      </w:r>
    </w:p>
    <w:p w14:paraId="00C14FA9"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 пунктом 62 мероприятия по реализации в информационных системах мер по их защите и защите содержащейся в них информации должны включать: 1) реализацию базовых мер защиты информационных систем и содержащейся в них информации соответствующих классов защищенности; 2) адаптацию базовых мер защиты применительно к архитектуре информационных систем, применяемым информационным технологиям, особенностям функционирования информационных систем; 3) верификацию адаптированных базовых мер защиты в соответствии с актуальными угрозами и возможностями нарушителей, их дополнение и (или) усиление.</w:t>
      </w:r>
    </w:p>
    <w:p w14:paraId="1319C111"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информационных системах должны быть реализованы следующие базовые меры защиты (пункт 63): идентификация и аутентификация; </w:t>
      </w:r>
      <w:r>
        <w:rPr>
          <w:rFonts w:ascii="Times New Roman" w:hAnsi="Times New Roman" w:cs="Times New Roman"/>
          <w:sz w:val="28"/>
        </w:rPr>
        <w:lastRenderedPageBreak/>
        <w:t>управление доступом; регистрация событий безопасности; защита виртуализации и облачных вычислений; защита технологий контейнерных сред и их оркестрации; защита сервисов электронной почты; защита веб-технологий; защита программных интерфейсов взаимодействия приложений; защита конечных устройств; защита мобильных устройств; защита технологий интернета вещей; защита точек беспроводного доступа; антивирусная защита; обнаружение и предотвращение вторжений на сетевом уровне; сегментация и межсетевое экранирование; защита от компьютерных атак, направленных на отказ в обслуживании; защита каналов передачи данных и сетевого взаимодействия.</w:t>
      </w:r>
    </w:p>
    <w:p w14:paraId="5E106545"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 пунктом 64 реализация мер по защите информационных систем и содержащейся в них информации должна обеспечивать защиту: в информационных системах 3 класса защищенности — от нарушителей с базовым уровнем возможностей; в информационных системах 2 класса защищенности — от нарушителей с повышенным уровнем возможностей; в информационных системах 1 класса защищенности — от нарушителей с высоким уровнем возможностей. Оператором (обладателем информации) может быть принято решение о применении мер защиты от нарушителей с более высоким уровнем возможностей.</w:t>
      </w:r>
    </w:p>
    <w:p w14:paraId="3609E0F8"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С целью подтверждения достаточности принятых мер защиты до начала обработки и (или) хранения информации в государственных информационных системах должна быть проведена их аттестация на соответствие Требованиям в соответствии с Порядком организации и проведения работ по аттестации объектов информатизации, утвержденным приказом ФСТЭК России от 29 апреля 2021 г. № 77 (пункт 65). Контроль уровня защищенности информации должен проводиться не реже одного раза в три года или после компьютерного инцидента (пункт 67) одним или совокупностью методов, указанных в пункте 66: автоматизированное и (или) ручное выявление уязвимостей с последующей экспертной оценкой возможности их использования; выявление несанкционированных подключений устройств; тестирование </w:t>
      </w:r>
      <w:r>
        <w:rPr>
          <w:rFonts w:ascii="Times New Roman" w:hAnsi="Times New Roman" w:cs="Times New Roman"/>
          <w:sz w:val="28"/>
        </w:rPr>
        <w:lastRenderedPageBreak/>
        <w:t>информационных систем путем моделирования реализации актуальных угроз; проведение тренировок по отработке действий работников в условиях реализации актуальных угроз.</w:t>
      </w:r>
    </w:p>
    <w:p w14:paraId="3408649C"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При отсутствии возможности реализации отдельных мероприятий и (или) принятия мер по защите информации должны быть разработаны и внедрены компенсирующие меры, позволяющие обеспечить блокирование (нейтрализацию) актуальных угроз (пункт 69). Технические меры по защите информации должны приниматься на аппаратном, системном, прикладном уровнях, а также в информационно-телекоммуникационной инфраструктуре при ее наличии (пункт 70).</w:t>
      </w:r>
    </w:p>
    <w:p w14:paraId="41087855"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 пунктом 71 для защиты информации должны применяться сертифицированные средства защиты информации в соответствии с инструкциями (правилами) по их эксплуатации, установленными разработчиками в эксплуатационной документации; применяемые средства защиты информации должны быть обеспечены со стороны их разработчиков поддержкой безопасности на территории Российской Федерации, включая выпуск и применение обновлений программного обеспечения, обеспечивающих устранение выявленных уязвимостей, дефектов и недостатков. Применяемые сертифицированные средства защиты информации должны соответствовать (пункт 72):</w:t>
      </w:r>
    </w:p>
    <w:p w14:paraId="7CFD2F8A"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для защиты информационных систем 1 класса защищенности — не ниже чем 4 классу защиты и уровню доверия;</w:t>
      </w:r>
    </w:p>
    <w:p w14:paraId="1815B919"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для защиты информационных систем 2 класса защищенности — не ниже чем 5 классу защиты и уровню доверия;</w:t>
      </w:r>
    </w:p>
    <w:p w14:paraId="146AA038"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для защиты информационных систем 3 класса защищенности — 6 классу защиты и уровню доверия.</w:t>
      </w:r>
    </w:p>
    <w:p w14:paraId="5991374B"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5 ТРЕБОВАНИЯ К ОПРЕДЕЛЕНИЮ КЛАССА ЗАЩИЩЕННОСТИ ИНФОРМАЦИОННОЙ СИСТЕМЫ</w:t>
      </w:r>
    </w:p>
    <w:p w14:paraId="330325DE"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соответствии с Приложением к Требованиям оператором (обладателем информации) устанавливаются три класса защищенности информационных </w:t>
      </w:r>
      <w:r>
        <w:rPr>
          <w:rFonts w:ascii="Times New Roman" w:hAnsi="Times New Roman" w:cs="Times New Roman"/>
          <w:sz w:val="28"/>
        </w:rPr>
        <w:lastRenderedPageBreak/>
        <w:t>систем: первый класс (К1), второй класс (К2), третий класс (К3), определяющие уровни защищенности содержащейся в них информации. Самый низкий класс — третий, самый высокий — первый. Класс защищенности информационной системы определяется в зависимости от двух основных критериев: уровня значимости информации (УЗ), обрабатываемой в этой информационной системе, и масштаба информационной системы.</w:t>
      </w:r>
    </w:p>
    <w:p w14:paraId="1AD08586"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Уровень значимости информации определяется в зависимости от степени возможных негативных последствий (ущерба) для обладателя информации и (или) оператора от нарушения конфиденциальности (неправомерные доступ, копирование, предоставление или распространение), целостности (неправомерные уничтожение или модифицирование) или доступности (неправомерное блокирование) информации. Негативные последствия (ущерб) определяются в том числе на основе перечня негативных последствий, включенных в банк данных угроз безопасности информации ФСТЭК России. Степень возможного ущерба определяется обладателем информации или оператором (обладателем информации) в соответствии с таблицей 1.</w:t>
      </w:r>
    </w:p>
    <w:p w14:paraId="4C9F3148"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Таблица 1 — Степень возможного ущерба от нарушения безопасности информации</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6"/>
        <w:gridCol w:w="7367"/>
      </w:tblGrid>
      <w:tr w:rsidR="00EA4B6E" w14:paraId="62E4DAAC" w14:textId="77777777">
        <w:tc>
          <w:tcPr>
            <w:tcW w:w="1984" w:type="dxa"/>
            <w:vAlign w:val="center"/>
          </w:tcPr>
          <w:p w14:paraId="12327B90" w14:textId="77777777" w:rsidR="00EA4B6E" w:rsidRDefault="00000000">
            <w:pPr>
              <w:spacing w:after="0" w:line="360" w:lineRule="auto"/>
              <w:jc w:val="center"/>
              <w:rPr>
                <w:rFonts w:ascii="Times New Roman" w:hAnsi="Times New Roman" w:cs="Times New Roman"/>
                <w:b/>
                <w:sz w:val="20"/>
              </w:rPr>
            </w:pPr>
            <w:r>
              <w:rPr>
                <w:rFonts w:ascii="Times New Roman" w:hAnsi="Times New Roman" w:cs="Times New Roman"/>
                <w:b/>
                <w:bCs/>
                <w:sz w:val="20"/>
              </w:rPr>
              <w:t>Степень возможного ущерба</w:t>
            </w:r>
          </w:p>
        </w:tc>
        <w:tc>
          <w:tcPr>
            <w:tcW w:w="7360" w:type="dxa"/>
            <w:vAlign w:val="center"/>
          </w:tcPr>
          <w:p w14:paraId="35BB0613" w14:textId="77777777" w:rsidR="00EA4B6E" w:rsidRDefault="00000000">
            <w:pPr>
              <w:spacing w:after="0" w:line="360" w:lineRule="auto"/>
              <w:jc w:val="center"/>
              <w:rPr>
                <w:rFonts w:ascii="Times New Roman" w:hAnsi="Times New Roman" w:cs="Times New Roman"/>
                <w:b/>
                <w:sz w:val="20"/>
              </w:rPr>
            </w:pPr>
            <w:r>
              <w:rPr>
                <w:rFonts w:ascii="Times New Roman" w:hAnsi="Times New Roman" w:cs="Times New Roman"/>
                <w:b/>
                <w:bCs/>
                <w:sz w:val="20"/>
              </w:rPr>
              <w:t>Возможный ущерб от нарушения безопасности информации и (или) функционирования информационной системы</w:t>
            </w:r>
          </w:p>
        </w:tc>
      </w:tr>
      <w:tr w:rsidR="00EA4B6E" w14:paraId="2DAEAEE4" w14:textId="77777777">
        <w:tc>
          <w:tcPr>
            <w:tcW w:w="1984" w:type="dxa"/>
            <w:vAlign w:val="center"/>
          </w:tcPr>
          <w:p w14:paraId="00A5D52D" w14:textId="77777777" w:rsidR="00EA4B6E" w:rsidRDefault="00000000">
            <w:pPr>
              <w:spacing w:after="0" w:line="360" w:lineRule="auto"/>
              <w:jc w:val="center"/>
              <w:rPr>
                <w:rFonts w:ascii="Times New Roman" w:hAnsi="Times New Roman" w:cs="Times New Roman"/>
                <w:sz w:val="20"/>
              </w:rPr>
            </w:pPr>
            <w:r>
              <w:rPr>
                <w:rFonts w:ascii="Times New Roman" w:hAnsi="Times New Roman" w:cs="Times New Roman"/>
                <w:sz w:val="20"/>
              </w:rPr>
              <w:t>Высокая</w:t>
            </w:r>
          </w:p>
        </w:tc>
        <w:tc>
          <w:tcPr>
            <w:tcW w:w="7360" w:type="dxa"/>
            <w:vAlign w:val="center"/>
          </w:tcPr>
          <w:p w14:paraId="74EFC6E8" w14:textId="77777777" w:rsidR="00EA4B6E" w:rsidRDefault="00000000">
            <w:pPr>
              <w:spacing w:after="0" w:line="360" w:lineRule="auto"/>
              <w:rPr>
                <w:rFonts w:ascii="Times New Roman" w:hAnsi="Times New Roman" w:cs="Times New Roman"/>
                <w:sz w:val="20"/>
              </w:rPr>
            </w:pPr>
            <w:r>
              <w:rPr>
                <w:rFonts w:ascii="Times New Roman" w:hAnsi="Times New Roman" w:cs="Times New Roman"/>
                <w:sz w:val="20"/>
              </w:rPr>
              <w:t>Возможны существенные негативные последствия в социальной, политической, международной, экономической, финансовой или иных областях деятельности и (или) информационная система и (или) оператор, обладатель информации не могут выполнять возложенные на них функции</w:t>
            </w:r>
          </w:p>
        </w:tc>
      </w:tr>
      <w:tr w:rsidR="00EA4B6E" w14:paraId="488EAB58" w14:textId="77777777">
        <w:tc>
          <w:tcPr>
            <w:tcW w:w="1984" w:type="dxa"/>
            <w:vAlign w:val="center"/>
          </w:tcPr>
          <w:p w14:paraId="2178228B" w14:textId="77777777" w:rsidR="00EA4B6E" w:rsidRDefault="00000000">
            <w:pPr>
              <w:spacing w:after="0" w:line="360" w:lineRule="auto"/>
              <w:jc w:val="center"/>
              <w:rPr>
                <w:rFonts w:ascii="Times New Roman" w:hAnsi="Times New Roman" w:cs="Times New Roman"/>
                <w:sz w:val="20"/>
              </w:rPr>
            </w:pPr>
            <w:r>
              <w:rPr>
                <w:rFonts w:ascii="Times New Roman" w:hAnsi="Times New Roman" w:cs="Times New Roman"/>
                <w:sz w:val="20"/>
              </w:rPr>
              <w:t>Средняя</w:t>
            </w:r>
          </w:p>
        </w:tc>
        <w:tc>
          <w:tcPr>
            <w:tcW w:w="7360" w:type="dxa"/>
            <w:vAlign w:val="center"/>
          </w:tcPr>
          <w:p w14:paraId="18D1ED70" w14:textId="77777777" w:rsidR="00EA4B6E" w:rsidRDefault="00000000">
            <w:pPr>
              <w:spacing w:after="0" w:line="360" w:lineRule="auto"/>
              <w:rPr>
                <w:rFonts w:ascii="Times New Roman" w:hAnsi="Times New Roman" w:cs="Times New Roman"/>
                <w:sz w:val="20"/>
              </w:rPr>
            </w:pPr>
            <w:r>
              <w:rPr>
                <w:rFonts w:ascii="Times New Roman" w:hAnsi="Times New Roman" w:cs="Times New Roman"/>
                <w:sz w:val="20"/>
              </w:rPr>
              <w:t>Возможны умеренные негативные последствия в социальной, политической, международной, экономической, финансовой или иных областях деятельности и (или) информационная система и (или) оператор, обладатель информации не могут выполнять хотя бы одну из возложенных на них функций</w:t>
            </w:r>
          </w:p>
        </w:tc>
      </w:tr>
      <w:tr w:rsidR="00EA4B6E" w14:paraId="5F59B170" w14:textId="77777777">
        <w:tc>
          <w:tcPr>
            <w:tcW w:w="1984" w:type="dxa"/>
            <w:vAlign w:val="center"/>
          </w:tcPr>
          <w:p w14:paraId="245017A7" w14:textId="77777777" w:rsidR="00EA4B6E" w:rsidRDefault="00000000">
            <w:pPr>
              <w:spacing w:after="0" w:line="360" w:lineRule="auto"/>
              <w:jc w:val="center"/>
              <w:rPr>
                <w:rFonts w:ascii="Times New Roman" w:hAnsi="Times New Roman" w:cs="Times New Roman"/>
                <w:sz w:val="20"/>
              </w:rPr>
            </w:pPr>
            <w:r>
              <w:rPr>
                <w:rFonts w:ascii="Times New Roman" w:hAnsi="Times New Roman" w:cs="Times New Roman"/>
                <w:sz w:val="20"/>
              </w:rPr>
              <w:t>Низкая</w:t>
            </w:r>
          </w:p>
        </w:tc>
        <w:tc>
          <w:tcPr>
            <w:tcW w:w="7360" w:type="dxa"/>
            <w:vAlign w:val="center"/>
          </w:tcPr>
          <w:p w14:paraId="2FA81C7D" w14:textId="77777777" w:rsidR="00EA4B6E" w:rsidRDefault="00000000">
            <w:pPr>
              <w:spacing w:after="0" w:line="360" w:lineRule="auto"/>
              <w:rPr>
                <w:rFonts w:ascii="Times New Roman" w:hAnsi="Times New Roman" w:cs="Times New Roman"/>
                <w:sz w:val="20"/>
              </w:rPr>
            </w:pPr>
            <w:r>
              <w:rPr>
                <w:rFonts w:ascii="Times New Roman" w:hAnsi="Times New Roman" w:cs="Times New Roman"/>
                <w:sz w:val="20"/>
              </w:rPr>
              <w:t xml:space="preserve">Возможны незначительные негативные последствия в социальной, политической, международной, экономической, финансовой или иных областях деятельности и (или) информационная система и (или) оператор, обладатель информации могут выполнять возложенные на них функции с недостаточной эффективностью или </w:t>
            </w:r>
            <w:r>
              <w:rPr>
                <w:rFonts w:ascii="Times New Roman" w:hAnsi="Times New Roman" w:cs="Times New Roman"/>
                <w:sz w:val="20"/>
              </w:rPr>
              <w:lastRenderedPageBreak/>
              <w:t>выполнение функций возможно только с привлечением дополнительных сил и средств</w:t>
            </w:r>
          </w:p>
        </w:tc>
      </w:tr>
    </w:tbl>
    <w:p w14:paraId="0EF90137" w14:textId="77777777" w:rsidR="00EA4B6E" w:rsidRDefault="00EA4B6E">
      <w:pPr>
        <w:spacing w:after="0" w:line="360" w:lineRule="auto"/>
        <w:ind w:firstLine="709"/>
        <w:jc w:val="both"/>
        <w:rPr>
          <w:rFonts w:ascii="Times New Roman" w:hAnsi="Times New Roman" w:cs="Times New Roman"/>
          <w:sz w:val="28"/>
        </w:rPr>
      </w:pPr>
    </w:p>
    <w:p w14:paraId="01B04133"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Высокий уровень значимости (УЗ 1) должен устанавливаться, если хотя бы для одного из свойств безопасности информации (конфиденциальности, целостности, доступности) определена высокая степень ущерба. Средний уровень значимости (УЗ 2) должен устанавливаться, если хотя бы для одного из свойств безопасности информации определена средняя степень ущерба и нет ни одного свойства, для которого определена высокая степень ущерба. Низкий уровень значимости (УЗ 3) должен устанавливаться, если для всех свойств безопасности информации определены низкие степени ущерба. Для информации, которая отнесена к информации ограниченного распространения и для носителей которой установлена ограничительная пометка «для служебного пользования», должен быть установлен УЗ 1.</w:t>
      </w:r>
    </w:p>
    <w:p w14:paraId="61C1E711"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Для информационной системы должен быть определен федеральный масштаб, если она предназначена для решения задач на всей территории Российской Федерации или в пределах двух и более субъектов Российской Федерации; региональный масштаб — если она предназначена для решения задач в пределах одного субъекта Российской Федерации; объектовый масштаб — если она предназначена для решения задач в пределах объекта (объектов) одного государственного органа, муниципального образования, организации. Класс защищенности информационной системы определяется в соответствии с таблицей 2.</w:t>
      </w:r>
    </w:p>
    <w:p w14:paraId="66CA5117"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Таблица 2 — Класс защищенности информационной системы</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00"/>
        <w:gridCol w:w="2151"/>
        <w:gridCol w:w="2151"/>
        <w:gridCol w:w="2151"/>
      </w:tblGrid>
      <w:tr w:rsidR="00EA4B6E" w14:paraId="1F753D64" w14:textId="77777777">
        <w:tc>
          <w:tcPr>
            <w:tcW w:w="2400" w:type="dxa"/>
            <w:vAlign w:val="center"/>
          </w:tcPr>
          <w:p w14:paraId="7A95CEFF" w14:textId="77777777" w:rsidR="00EA4B6E" w:rsidRDefault="00000000">
            <w:pPr>
              <w:spacing w:after="0" w:line="360" w:lineRule="auto"/>
              <w:jc w:val="center"/>
              <w:rPr>
                <w:rFonts w:ascii="Times New Roman" w:hAnsi="Times New Roman" w:cs="Times New Roman"/>
                <w:b/>
                <w:sz w:val="20"/>
              </w:rPr>
            </w:pPr>
            <w:r>
              <w:rPr>
                <w:rFonts w:ascii="Times New Roman" w:hAnsi="Times New Roman" w:cs="Times New Roman"/>
                <w:b/>
                <w:bCs/>
                <w:sz w:val="20"/>
              </w:rPr>
              <w:t>УЗ</w:t>
            </w:r>
          </w:p>
        </w:tc>
        <w:tc>
          <w:tcPr>
            <w:tcW w:w="5340" w:type="dxa"/>
            <w:gridSpan w:val="3"/>
            <w:vAlign w:val="center"/>
          </w:tcPr>
          <w:p w14:paraId="6032FF33" w14:textId="77777777" w:rsidR="00EA4B6E" w:rsidRDefault="00000000">
            <w:pPr>
              <w:spacing w:after="0" w:line="360" w:lineRule="auto"/>
              <w:jc w:val="center"/>
              <w:rPr>
                <w:rFonts w:ascii="Times New Roman" w:hAnsi="Times New Roman" w:cs="Times New Roman"/>
                <w:b/>
                <w:sz w:val="20"/>
              </w:rPr>
            </w:pPr>
            <w:r>
              <w:rPr>
                <w:rFonts w:ascii="Times New Roman" w:hAnsi="Times New Roman" w:cs="Times New Roman"/>
                <w:b/>
                <w:bCs/>
                <w:sz w:val="20"/>
              </w:rPr>
              <w:t>Масштаб информационной системы</w:t>
            </w:r>
          </w:p>
        </w:tc>
      </w:tr>
      <w:tr w:rsidR="00EA4B6E" w14:paraId="40DD09EE" w14:textId="77777777">
        <w:tc>
          <w:tcPr>
            <w:tcW w:w="2400" w:type="dxa"/>
            <w:vAlign w:val="center"/>
          </w:tcPr>
          <w:p w14:paraId="6FC0F473" w14:textId="77777777" w:rsidR="00EA4B6E" w:rsidRDefault="00EA4B6E">
            <w:pPr>
              <w:spacing w:after="0" w:line="360" w:lineRule="auto"/>
              <w:jc w:val="center"/>
              <w:rPr>
                <w:rFonts w:ascii="Times New Roman" w:hAnsi="Times New Roman" w:cs="Times New Roman"/>
                <w:sz w:val="20"/>
              </w:rPr>
            </w:pPr>
          </w:p>
        </w:tc>
        <w:tc>
          <w:tcPr>
            <w:tcW w:w="1780" w:type="dxa"/>
            <w:vAlign w:val="center"/>
          </w:tcPr>
          <w:p w14:paraId="586ED8C9" w14:textId="77777777" w:rsidR="00EA4B6E" w:rsidRDefault="00000000">
            <w:pPr>
              <w:spacing w:after="0" w:line="360" w:lineRule="auto"/>
              <w:jc w:val="center"/>
              <w:rPr>
                <w:rFonts w:ascii="Times New Roman" w:hAnsi="Times New Roman" w:cs="Times New Roman"/>
                <w:sz w:val="20"/>
              </w:rPr>
            </w:pPr>
            <w:r>
              <w:rPr>
                <w:rFonts w:ascii="Times New Roman" w:hAnsi="Times New Roman" w:cs="Times New Roman"/>
                <w:sz w:val="20"/>
              </w:rPr>
              <w:t>Федеральный</w:t>
            </w:r>
          </w:p>
        </w:tc>
        <w:tc>
          <w:tcPr>
            <w:tcW w:w="1780" w:type="dxa"/>
            <w:vAlign w:val="center"/>
          </w:tcPr>
          <w:p w14:paraId="2F7F7E59" w14:textId="77777777" w:rsidR="00EA4B6E" w:rsidRDefault="00000000">
            <w:pPr>
              <w:spacing w:after="0" w:line="360" w:lineRule="auto"/>
              <w:jc w:val="center"/>
              <w:rPr>
                <w:rFonts w:ascii="Times New Roman" w:hAnsi="Times New Roman" w:cs="Times New Roman"/>
                <w:sz w:val="20"/>
              </w:rPr>
            </w:pPr>
            <w:r>
              <w:rPr>
                <w:rFonts w:ascii="Times New Roman" w:hAnsi="Times New Roman" w:cs="Times New Roman"/>
                <w:sz w:val="20"/>
              </w:rPr>
              <w:t>Региональный</w:t>
            </w:r>
          </w:p>
        </w:tc>
        <w:tc>
          <w:tcPr>
            <w:tcW w:w="1780" w:type="dxa"/>
            <w:vAlign w:val="center"/>
          </w:tcPr>
          <w:p w14:paraId="491EE251" w14:textId="77777777" w:rsidR="00EA4B6E" w:rsidRDefault="00000000">
            <w:pPr>
              <w:spacing w:after="0" w:line="360" w:lineRule="auto"/>
              <w:jc w:val="center"/>
              <w:rPr>
                <w:rFonts w:ascii="Times New Roman" w:hAnsi="Times New Roman" w:cs="Times New Roman"/>
                <w:sz w:val="20"/>
              </w:rPr>
            </w:pPr>
            <w:r>
              <w:rPr>
                <w:rFonts w:ascii="Times New Roman" w:hAnsi="Times New Roman" w:cs="Times New Roman"/>
                <w:sz w:val="20"/>
              </w:rPr>
              <w:t>Объектовый</w:t>
            </w:r>
          </w:p>
        </w:tc>
      </w:tr>
      <w:tr w:rsidR="00EA4B6E" w14:paraId="728461E3" w14:textId="77777777">
        <w:tc>
          <w:tcPr>
            <w:tcW w:w="2400" w:type="dxa"/>
            <w:vAlign w:val="center"/>
          </w:tcPr>
          <w:p w14:paraId="7AD2B464" w14:textId="77777777" w:rsidR="00EA4B6E" w:rsidRDefault="00000000">
            <w:pPr>
              <w:spacing w:after="0" w:line="360" w:lineRule="auto"/>
              <w:jc w:val="center"/>
              <w:rPr>
                <w:rFonts w:ascii="Times New Roman" w:hAnsi="Times New Roman" w:cs="Times New Roman"/>
                <w:sz w:val="20"/>
              </w:rPr>
            </w:pPr>
            <w:r>
              <w:rPr>
                <w:rFonts w:ascii="Times New Roman" w:hAnsi="Times New Roman" w:cs="Times New Roman"/>
                <w:sz w:val="20"/>
              </w:rPr>
              <w:t>УЗ 1</w:t>
            </w:r>
          </w:p>
        </w:tc>
        <w:tc>
          <w:tcPr>
            <w:tcW w:w="1780" w:type="dxa"/>
            <w:vAlign w:val="center"/>
          </w:tcPr>
          <w:p w14:paraId="005F64BB" w14:textId="77777777" w:rsidR="00EA4B6E" w:rsidRDefault="00000000">
            <w:pPr>
              <w:spacing w:after="0" w:line="360" w:lineRule="auto"/>
              <w:jc w:val="center"/>
              <w:rPr>
                <w:rFonts w:ascii="Times New Roman" w:hAnsi="Times New Roman" w:cs="Times New Roman"/>
                <w:sz w:val="20"/>
              </w:rPr>
            </w:pPr>
            <w:r>
              <w:rPr>
                <w:rFonts w:ascii="Times New Roman" w:hAnsi="Times New Roman" w:cs="Times New Roman"/>
                <w:sz w:val="20"/>
              </w:rPr>
              <w:t>К1</w:t>
            </w:r>
          </w:p>
        </w:tc>
        <w:tc>
          <w:tcPr>
            <w:tcW w:w="1780" w:type="dxa"/>
            <w:vAlign w:val="center"/>
          </w:tcPr>
          <w:p w14:paraId="66A80BE9" w14:textId="77777777" w:rsidR="00EA4B6E" w:rsidRDefault="00000000">
            <w:pPr>
              <w:spacing w:after="0" w:line="360" w:lineRule="auto"/>
              <w:jc w:val="center"/>
              <w:rPr>
                <w:rFonts w:ascii="Times New Roman" w:hAnsi="Times New Roman" w:cs="Times New Roman"/>
                <w:sz w:val="20"/>
              </w:rPr>
            </w:pPr>
            <w:r>
              <w:rPr>
                <w:rFonts w:ascii="Times New Roman" w:hAnsi="Times New Roman" w:cs="Times New Roman"/>
                <w:sz w:val="20"/>
              </w:rPr>
              <w:t>К1</w:t>
            </w:r>
          </w:p>
        </w:tc>
        <w:tc>
          <w:tcPr>
            <w:tcW w:w="1780" w:type="dxa"/>
            <w:vAlign w:val="center"/>
          </w:tcPr>
          <w:p w14:paraId="57DDC967" w14:textId="77777777" w:rsidR="00EA4B6E" w:rsidRDefault="00000000">
            <w:pPr>
              <w:spacing w:after="0" w:line="360" w:lineRule="auto"/>
              <w:jc w:val="center"/>
              <w:rPr>
                <w:rFonts w:ascii="Times New Roman" w:hAnsi="Times New Roman" w:cs="Times New Roman"/>
                <w:sz w:val="20"/>
              </w:rPr>
            </w:pPr>
            <w:r>
              <w:rPr>
                <w:rFonts w:ascii="Times New Roman" w:hAnsi="Times New Roman" w:cs="Times New Roman"/>
                <w:sz w:val="20"/>
              </w:rPr>
              <w:t>К1</w:t>
            </w:r>
          </w:p>
        </w:tc>
      </w:tr>
      <w:tr w:rsidR="00EA4B6E" w14:paraId="16DB1956" w14:textId="77777777">
        <w:tc>
          <w:tcPr>
            <w:tcW w:w="2400" w:type="dxa"/>
            <w:vAlign w:val="center"/>
          </w:tcPr>
          <w:p w14:paraId="5BAC29C3" w14:textId="77777777" w:rsidR="00EA4B6E" w:rsidRDefault="00000000">
            <w:pPr>
              <w:spacing w:after="0" w:line="360" w:lineRule="auto"/>
              <w:jc w:val="center"/>
              <w:rPr>
                <w:rFonts w:ascii="Times New Roman" w:hAnsi="Times New Roman" w:cs="Times New Roman"/>
                <w:sz w:val="20"/>
              </w:rPr>
            </w:pPr>
            <w:r>
              <w:rPr>
                <w:rFonts w:ascii="Times New Roman" w:hAnsi="Times New Roman" w:cs="Times New Roman"/>
                <w:sz w:val="20"/>
              </w:rPr>
              <w:t>УЗ 2</w:t>
            </w:r>
          </w:p>
        </w:tc>
        <w:tc>
          <w:tcPr>
            <w:tcW w:w="1780" w:type="dxa"/>
            <w:vAlign w:val="center"/>
          </w:tcPr>
          <w:p w14:paraId="76CB180B" w14:textId="77777777" w:rsidR="00EA4B6E" w:rsidRDefault="00000000">
            <w:pPr>
              <w:spacing w:after="0" w:line="360" w:lineRule="auto"/>
              <w:jc w:val="center"/>
              <w:rPr>
                <w:rFonts w:ascii="Times New Roman" w:hAnsi="Times New Roman" w:cs="Times New Roman"/>
                <w:sz w:val="20"/>
              </w:rPr>
            </w:pPr>
            <w:r>
              <w:rPr>
                <w:rFonts w:ascii="Times New Roman" w:hAnsi="Times New Roman" w:cs="Times New Roman"/>
                <w:sz w:val="20"/>
              </w:rPr>
              <w:t>К1</w:t>
            </w:r>
          </w:p>
        </w:tc>
        <w:tc>
          <w:tcPr>
            <w:tcW w:w="1780" w:type="dxa"/>
            <w:vAlign w:val="center"/>
          </w:tcPr>
          <w:p w14:paraId="68666803" w14:textId="77777777" w:rsidR="00EA4B6E" w:rsidRDefault="00000000">
            <w:pPr>
              <w:spacing w:after="0" w:line="360" w:lineRule="auto"/>
              <w:jc w:val="center"/>
              <w:rPr>
                <w:rFonts w:ascii="Times New Roman" w:hAnsi="Times New Roman" w:cs="Times New Roman"/>
                <w:sz w:val="20"/>
              </w:rPr>
            </w:pPr>
            <w:r>
              <w:rPr>
                <w:rFonts w:ascii="Times New Roman" w:hAnsi="Times New Roman" w:cs="Times New Roman"/>
                <w:sz w:val="20"/>
              </w:rPr>
              <w:t>К2</w:t>
            </w:r>
          </w:p>
        </w:tc>
        <w:tc>
          <w:tcPr>
            <w:tcW w:w="1780" w:type="dxa"/>
            <w:vAlign w:val="center"/>
          </w:tcPr>
          <w:p w14:paraId="3BB12B68" w14:textId="77777777" w:rsidR="00EA4B6E" w:rsidRDefault="00000000">
            <w:pPr>
              <w:spacing w:after="0" w:line="360" w:lineRule="auto"/>
              <w:jc w:val="center"/>
              <w:rPr>
                <w:rFonts w:ascii="Times New Roman" w:hAnsi="Times New Roman" w:cs="Times New Roman"/>
                <w:sz w:val="20"/>
              </w:rPr>
            </w:pPr>
            <w:r>
              <w:rPr>
                <w:rFonts w:ascii="Times New Roman" w:hAnsi="Times New Roman" w:cs="Times New Roman"/>
                <w:sz w:val="20"/>
              </w:rPr>
              <w:t>К2</w:t>
            </w:r>
          </w:p>
        </w:tc>
      </w:tr>
      <w:tr w:rsidR="00EA4B6E" w14:paraId="2516A1D4" w14:textId="77777777">
        <w:tc>
          <w:tcPr>
            <w:tcW w:w="2400" w:type="dxa"/>
            <w:vAlign w:val="center"/>
          </w:tcPr>
          <w:p w14:paraId="6E67C8F0" w14:textId="77777777" w:rsidR="00EA4B6E" w:rsidRDefault="00000000">
            <w:pPr>
              <w:spacing w:after="0" w:line="360" w:lineRule="auto"/>
              <w:jc w:val="center"/>
              <w:rPr>
                <w:rFonts w:ascii="Times New Roman" w:hAnsi="Times New Roman" w:cs="Times New Roman"/>
                <w:sz w:val="20"/>
              </w:rPr>
            </w:pPr>
            <w:r>
              <w:rPr>
                <w:rFonts w:ascii="Times New Roman" w:hAnsi="Times New Roman" w:cs="Times New Roman"/>
                <w:sz w:val="20"/>
              </w:rPr>
              <w:t>УЗ 3</w:t>
            </w:r>
          </w:p>
        </w:tc>
        <w:tc>
          <w:tcPr>
            <w:tcW w:w="1780" w:type="dxa"/>
            <w:vAlign w:val="center"/>
          </w:tcPr>
          <w:p w14:paraId="1E949115" w14:textId="77777777" w:rsidR="00EA4B6E" w:rsidRDefault="00000000">
            <w:pPr>
              <w:spacing w:after="0" w:line="360" w:lineRule="auto"/>
              <w:jc w:val="center"/>
              <w:rPr>
                <w:rFonts w:ascii="Times New Roman" w:hAnsi="Times New Roman" w:cs="Times New Roman"/>
                <w:sz w:val="20"/>
              </w:rPr>
            </w:pPr>
            <w:r>
              <w:rPr>
                <w:rFonts w:ascii="Times New Roman" w:hAnsi="Times New Roman" w:cs="Times New Roman"/>
                <w:sz w:val="20"/>
              </w:rPr>
              <w:t>К2</w:t>
            </w:r>
          </w:p>
        </w:tc>
        <w:tc>
          <w:tcPr>
            <w:tcW w:w="1780" w:type="dxa"/>
            <w:vAlign w:val="center"/>
          </w:tcPr>
          <w:p w14:paraId="448E89B4" w14:textId="77777777" w:rsidR="00EA4B6E" w:rsidRDefault="00000000">
            <w:pPr>
              <w:spacing w:after="0" w:line="360" w:lineRule="auto"/>
              <w:jc w:val="center"/>
              <w:rPr>
                <w:rFonts w:ascii="Times New Roman" w:hAnsi="Times New Roman" w:cs="Times New Roman"/>
                <w:sz w:val="20"/>
              </w:rPr>
            </w:pPr>
            <w:r>
              <w:rPr>
                <w:rFonts w:ascii="Times New Roman" w:hAnsi="Times New Roman" w:cs="Times New Roman"/>
                <w:sz w:val="20"/>
              </w:rPr>
              <w:t>К3</w:t>
            </w:r>
          </w:p>
        </w:tc>
        <w:tc>
          <w:tcPr>
            <w:tcW w:w="1780" w:type="dxa"/>
            <w:vAlign w:val="center"/>
          </w:tcPr>
          <w:p w14:paraId="2B458546" w14:textId="77777777" w:rsidR="00EA4B6E" w:rsidRDefault="00000000">
            <w:pPr>
              <w:spacing w:after="0" w:line="360" w:lineRule="auto"/>
              <w:jc w:val="center"/>
              <w:rPr>
                <w:rFonts w:ascii="Times New Roman" w:hAnsi="Times New Roman" w:cs="Times New Roman"/>
                <w:sz w:val="20"/>
              </w:rPr>
            </w:pPr>
            <w:r>
              <w:rPr>
                <w:rFonts w:ascii="Times New Roman" w:hAnsi="Times New Roman" w:cs="Times New Roman"/>
                <w:sz w:val="20"/>
              </w:rPr>
              <w:t>К3</w:t>
            </w:r>
          </w:p>
        </w:tc>
      </w:tr>
    </w:tbl>
    <w:p w14:paraId="704AFBDC" w14:textId="77777777" w:rsidR="00EA4B6E" w:rsidRDefault="00EA4B6E">
      <w:pPr>
        <w:spacing w:after="0" w:line="360" w:lineRule="auto"/>
        <w:ind w:firstLine="709"/>
        <w:jc w:val="both"/>
        <w:rPr>
          <w:rFonts w:ascii="Times New Roman" w:hAnsi="Times New Roman" w:cs="Times New Roman"/>
          <w:sz w:val="28"/>
        </w:rPr>
      </w:pPr>
    </w:p>
    <w:p w14:paraId="07AD0975"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Классы защищенности информационных систем, функционирующих на базе информационно-телекоммуникационной инфраструктуры, не должны </w:t>
      </w:r>
      <w:r>
        <w:rPr>
          <w:rFonts w:ascii="Times New Roman" w:hAnsi="Times New Roman" w:cs="Times New Roman"/>
          <w:sz w:val="28"/>
        </w:rPr>
        <w:lastRenderedPageBreak/>
        <w:t>быть выше класса защищенности этой информационно-телекоммуникационной инфраструктуры (пункт 8 Приложения). Допускается присвоение отдельным сегментам информационной системы разных классов защищенности, в этом случае меры по защите информации сегментов принимаются в соответствии с присвоенными им классами защищенности (пункт 9). Результаты классификации оформляются актом, который утверждается оператором (обладателем информации); акт классификации должен содержать наименование классифицируемой системы и сегментов, УЗ, масштаб информационной системы, присвоенный класс защищенности (пункт 10). Класс защищенности информационной системы подлежит пересмотру при изменении масштаба информационной системы или значимости содержащейся в ней информации (пункт 11).</w:t>
      </w:r>
    </w:p>
    <w:p w14:paraId="14507B96"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t>6 ОТЧЁТ ПО ИЗУЧЕННЫМ САЙТАМ</w:t>
      </w:r>
    </w:p>
    <w:p w14:paraId="6EA1F82A" w14:textId="77777777" w:rsidR="00EA4B6E" w:rsidRDefault="00000000">
      <w:pPr>
        <w:spacing w:after="0" w:line="360" w:lineRule="auto"/>
        <w:ind w:firstLine="708"/>
        <w:rPr>
          <w:rFonts w:ascii="Times New Roman" w:hAnsi="Times New Roman" w:cs="Times New Roman"/>
          <w:b/>
          <w:sz w:val="28"/>
        </w:rPr>
      </w:pPr>
      <w:r>
        <w:rPr>
          <w:rFonts w:ascii="Times New Roman" w:hAnsi="Times New Roman" w:cs="Times New Roman"/>
          <w:b/>
          <w:bCs/>
          <w:sz w:val="28"/>
        </w:rPr>
        <w:t>6.1 САЙТ ФСТЭК РОССИИ</w:t>
      </w:r>
    </w:p>
    <w:p w14:paraId="56BA58D2"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ФСТЭК России — федеральный орган исполнительной власти, уполномоченный в области противодействия техническим разведкам и технической защиты информации, а также в области государственной безопасности по вопросам лицензирования деятельности по разработке средств защиты информации и оказанию услуг по защите государственной тайны (Указ Президента РФ от 16.08.2004 № 1085 «Вопросы Федеральной службы по техническому и экспортному контролю»).</w:t>
      </w:r>
    </w:p>
    <w:p w14:paraId="45EE49FA"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Официальный сайт ФСТЭК России (https://fstec.ru) содержит следующие основные разделы:</w:t>
      </w:r>
    </w:p>
    <w:p w14:paraId="6198E5EB"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«О ФСТЭК России» — положение о службе, руководство, структура, полномочия, историческая справка;</w:t>
      </w:r>
    </w:p>
    <w:p w14:paraId="41B94A01"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«Деятельность» — лицензирование деятельности по технической защите конфиденциальной информации и по разработке и производству средств защиты конфиденциальной информации; сертификация средств защиты информации; аттестация объектов информатизации; государственный контроль за деятельностью по технической защите информации;</w:t>
      </w:r>
    </w:p>
    <w:p w14:paraId="7C58D5D6"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 «Документы» — федеральные законы, указы Президента РФ, постановления Правительства РФ, приказы ФСТЭК России, методические документы; раздел «Специальные нормативные документы» содержит в том числе Требования, утвержденные приказом ФСТЭК России от 11 апреля 2025 г. № 117;</w:t>
      </w:r>
    </w:p>
    <w:p w14:paraId="77106BE6"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«Реестры» — Государственный реестр сертифицированных средств защиты информации, реестр лицензий ФСТЭК России, реестр аккредитованных органов по сертификации и испытательных лабораторий, реестр организаций, осуществляющих аттестацию объектов информатизации;</w:t>
      </w:r>
    </w:p>
    <w:p w14:paraId="4C084BD1"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«Банк данных угроз безопасности информации» (https://bdu.fstec.ru) — перечни угроз безопасности информации, сведения об уязвимостях и вредоносном программном обеспечении;</w:t>
      </w:r>
    </w:p>
    <w:p w14:paraId="7551751A"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«Новости», «Пресс-центр», «Госуслуги».</w:t>
      </w:r>
    </w:p>
    <w:p w14:paraId="51066107"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ходе выполнения практического занятия на сайте ФСТЭК России изучены: Требования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утвержденные приказом ФСТЭК России от 11 апреля 2025 г. № 117 (раздел «Документы» — «Специальные нормативные документы»), сведения о банке данных угроз безопасности информации ФСТЭК России, материалы по сертификации средств защиты информации и аттестации объектов информатизации, использованные при ответах на контрольные вопросы.</w:t>
      </w:r>
    </w:p>
    <w:p w14:paraId="7CC529AC" w14:textId="77777777" w:rsidR="00EA4B6E" w:rsidRDefault="00000000">
      <w:pPr>
        <w:spacing w:after="0" w:line="360" w:lineRule="auto"/>
        <w:ind w:firstLine="708"/>
        <w:rPr>
          <w:rFonts w:ascii="Times New Roman" w:hAnsi="Times New Roman" w:cs="Times New Roman"/>
          <w:b/>
          <w:sz w:val="28"/>
        </w:rPr>
      </w:pPr>
      <w:r>
        <w:rPr>
          <w:rFonts w:ascii="Times New Roman" w:hAnsi="Times New Roman" w:cs="Times New Roman"/>
          <w:b/>
          <w:bCs/>
          <w:sz w:val="28"/>
        </w:rPr>
        <w:t>6.2 САЙТ РОСКОМНАДЗОРА</w:t>
      </w:r>
    </w:p>
    <w:p w14:paraId="32DCAD69"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Роскомнадзор — Федеральная служба по надзору в сфере связи, информационных технологий и массовых коммуникаций (постановление Правительства РФ от 16.03.2009 № 228), осуществляющая функции по контролю и надзору в сфере средств массовой информации, в том числе электронных, и массовых коммуникаций, информационных технологий и связи.</w:t>
      </w:r>
    </w:p>
    <w:p w14:paraId="56F56DC9"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Официальный сайт Роскомнадзора (https://rkn.gov.ru) содержит следующие основные разделы:</w:t>
      </w:r>
    </w:p>
    <w:p w14:paraId="20818D4A"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«О Роскомнадзоре» — положение о службе, руководство, структура, полномочия, территориальные органы;</w:t>
      </w:r>
    </w:p>
    <w:p w14:paraId="25161E7C"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«Деятельность» — «Персональные данные» (материалы для граждан и операторов персональных данных, портал персональных данных https://pd.rkn.gov.ru), «Связь» (лицензирование деятельности в области оказания услуг связи, контроль за соблюдением требований в области связи, Центр мониторинга и управления сетью связи общего пользования), «Электронные коммуникации» (пресечение распространения противоправной информации, единый реестр запрещенной информации), «СМИ», «Информационные технологии», «Учёт интернет-рекламы»;</w:t>
      </w:r>
    </w:p>
    <w:p w14:paraId="5C9C4347"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«Документы» — федеральные законы, подзаконные и ведомственные нормативные акты, административные регламенты;</w:t>
      </w:r>
    </w:p>
    <w:p w14:paraId="71CDD887"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«Госуслуги», «Обращения граждан», «Пресс-центр».</w:t>
      </w:r>
    </w:p>
    <w:p w14:paraId="00F895CD"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контексте темы практического занятия Роскомнадзор осуществляет государственный контроль (надзор) в области персональных данных и связи, а его Центр мониторинга и управления сетью связи общего пользования взаимодействует с операторами информационных систем при проведении мероприятий по защите от компьютерных атак, направленных на отказ в обслуживании (пункт 59 Требований). В ходе выполнения практического занятия на сайте Роскомнадзора изучены: материалы разделов «Персональные данные», «Связь» и «Информационные технологии», перечни нормативных правовых актов, определяющих полномочия службы.</w:t>
      </w:r>
    </w:p>
    <w:p w14:paraId="5B979C88" w14:textId="77777777" w:rsidR="00EA4B6E" w:rsidRDefault="00000000">
      <w:pPr>
        <w:spacing w:after="0" w:line="360" w:lineRule="auto"/>
        <w:ind w:firstLine="708"/>
        <w:rPr>
          <w:rFonts w:ascii="Times New Roman" w:hAnsi="Times New Roman" w:cs="Times New Roman"/>
          <w:b/>
          <w:sz w:val="28"/>
        </w:rPr>
      </w:pPr>
      <w:r>
        <w:rPr>
          <w:rFonts w:ascii="Times New Roman" w:hAnsi="Times New Roman" w:cs="Times New Roman"/>
          <w:b/>
          <w:bCs/>
          <w:sz w:val="28"/>
        </w:rPr>
        <w:t>6.3 ИНЫЕ ОТКРЫТЫЕ ИСТОЧНИКИ СЕТИ ИНТЕРНЕТ</w:t>
      </w:r>
    </w:p>
    <w:p w14:paraId="625CFD0C"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ходе выполнения практического занятия также использованы следующие открытые источники сети Интернет:</w:t>
      </w:r>
    </w:p>
    <w:p w14:paraId="2464B364"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официальный сайт ФСТЭК России (https://fstec.ru) — раздел «Специальные нормативные документы»: Требования, утвержденные приказом ФСТЭК России от 11 апреля 2025 г. № 117;</w:t>
      </w:r>
    </w:p>
    <w:p w14:paraId="4642CABC"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 справочно-правовая система «КонсультантПлюс» (https://www.consultant.ru/document/cons_doc_LAW_507869/) — полный текст приказа ФСТЭК России от 11.04.2025 № 117 и утвержденных им Требований, разделы I–III и Приложение;</w:t>
      </w:r>
    </w:p>
    <w:p w14:paraId="0B686C1C"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правовая система «Консультант» (https://www.consultant.ru/law/hotdocs/89683.html) — обзор документа «С 1 марта 2026 г. обновляются Требования о защите информации, содержащейся в государственных информационных системах…»;</w:t>
      </w:r>
    </w:p>
    <w:p w14:paraId="40083188"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официальный интернет-портал правовой информации (http://pravo.gov.ru) — официальное опубликование нормативных правовых актов;</w:t>
      </w:r>
    </w:p>
    <w:p w14:paraId="15611390"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аналитическая статья «Анализ ключевых изменений в требованиях к защите информации согласно Приказу ФСТЭК № 117» (https://habr.com/ru/companies/ussc/articles/939640/) — обзор основных нововведений Требований;</w:t>
      </w:r>
    </w:p>
    <w:p w14:paraId="48383708"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справочные системы «Гарант» (https://base.garant.ru) и «Контур.Норматив» (https://normativ.kontur.ru) — тексты нормативных правовых актов в области технической защиты информации.</w:t>
      </w:r>
    </w:p>
    <w:p w14:paraId="2FA3FED5"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ходе изучения источников проанализировано содержание приказа ФСТЭК России от 11 апреля 2025 г. № 117 и утвержденных им Требований; текст документа сверен по двум независимым источникам (СПС «КонсультантПлюс» и официальный сайт ФСТЭК России), расхождений в содержании не обнаружено.</w:t>
      </w:r>
    </w:p>
    <w:p w14:paraId="4173EB73"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sz w:val="28"/>
        </w:rPr>
        <w:br w:type="page"/>
      </w:r>
    </w:p>
    <w:p w14:paraId="171C6BDA"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lastRenderedPageBreak/>
        <w:t>ОТВЕТЫ НА КОНТРОЛЬНЫЕ ВОПРОСЫ</w:t>
      </w:r>
    </w:p>
    <w:p w14:paraId="38625234" w14:textId="77777777" w:rsidR="00EA4B6E" w:rsidRDefault="00000000">
      <w:pPr>
        <w:spacing w:after="0" w:line="360" w:lineRule="auto"/>
        <w:ind w:firstLine="708"/>
        <w:rPr>
          <w:rFonts w:ascii="Times New Roman" w:hAnsi="Times New Roman" w:cs="Times New Roman"/>
          <w:b/>
          <w:sz w:val="28"/>
        </w:rPr>
      </w:pPr>
      <w:r>
        <w:rPr>
          <w:rFonts w:ascii="Times New Roman" w:hAnsi="Times New Roman" w:cs="Times New Roman"/>
          <w:b/>
          <w:bCs/>
          <w:sz w:val="28"/>
        </w:rPr>
        <w:t>Вопрос 1. Сфера действия настоящего приказа, на какие ИС приказ не распространяется?</w:t>
      </w:r>
    </w:p>
    <w:p w14:paraId="2EF85DB9"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 пунктом 1 Требования применяются для обеспечения защиты (некриптографическими методами) информации, предотвращения несанкционированного доступа к информации, специальных воздействий на информацию (носители информации) в целях ее добывания, уничтожения, искажения, блокирования доступа к информации, содержащейся в функционирующих на территории Российской Федерации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В муниципальных информационных системах защита информации обеспечивается в соответствии с Требованиями, если иное не установлено законодательством Российской Федерации (пункт 3).</w:t>
      </w:r>
    </w:p>
    <w:p w14:paraId="09304AF7"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 пунктом 12 Требования не распространяются на информационные системы Администрации Президента Российской Федерации, аппарата Совета Безопасности Российской Федерации, Федерального Собрания Российской Федерации, Аппарата Правительства Российской Федерации, Конституционного Суда Российской Федерации, Верховного Суда Российской Федерации, а также на информационные системы государственных органов, осуществляющих разведывательную и контрразведывательную деятельность, и информационные системы, обеспечивающие управление вооружением, военной и специальной техникой. Кроме того, защита информации, содержащей сведения, составляющие государственную тайну, обеспечивается в соответствии с требованиями по технической защите информации, содержащей сведения, составляющие государственную тайну (пункт 4).</w:t>
      </w:r>
    </w:p>
    <w:p w14:paraId="1CB8A785" w14:textId="77777777" w:rsidR="00EA4B6E" w:rsidRDefault="00000000">
      <w:pPr>
        <w:spacing w:after="0" w:line="360" w:lineRule="auto"/>
        <w:ind w:firstLine="708"/>
        <w:rPr>
          <w:rFonts w:ascii="Times New Roman" w:hAnsi="Times New Roman" w:cs="Times New Roman"/>
          <w:b/>
          <w:sz w:val="28"/>
        </w:rPr>
      </w:pPr>
      <w:r>
        <w:rPr>
          <w:rFonts w:ascii="Times New Roman" w:hAnsi="Times New Roman" w:cs="Times New Roman"/>
          <w:b/>
          <w:bCs/>
          <w:sz w:val="28"/>
        </w:rPr>
        <w:t xml:space="preserve">Вопрос 2. Как Требования, утвержденные приказом ФСТЭК 117, соотносятся с нормативными актами в области защиты: а) государственной тайны; б) персональных данных; в) критической </w:t>
      </w:r>
      <w:r>
        <w:rPr>
          <w:rFonts w:ascii="Times New Roman" w:hAnsi="Times New Roman" w:cs="Times New Roman"/>
          <w:b/>
          <w:bCs/>
          <w:sz w:val="28"/>
        </w:rPr>
        <w:lastRenderedPageBreak/>
        <w:t>информационной инфраструктуры (КИИ); г) криптографической защиты?</w:t>
      </w:r>
    </w:p>
    <w:p w14:paraId="72FF5F39"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а) государственная тайна (пункт 4): при обработке и хранении в информационных системах информации, содержащей сведения, составляющие государственную тайну, ее защита должна обеспечиваться в соответствии с требованиями по технической защите информации, содержащей сведения, составляющие государственную тайну (подпункт 9(1) пункта 8 Положения о ФСТЭК России, утвержденного Указом Президента РФ от 16.08.2004 № 1085); Требования на такую информацию не распространяются;</w:t>
      </w:r>
    </w:p>
    <w:p w14:paraId="49F4F99A"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б) персональные данные (пункт 5): при обработке в информационных системах информации, содержащей персональные данные, должны применяться Требования к защите персональных данных при их обработке в информационных системах персональных данных, утвержденные постановлением Правительства РФ от 01.11.2012 № 1119, и Требования (то есть Требования применяются совместно с постановлением № 1119);</w:t>
      </w:r>
    </w:p>
    <w:p w14:paraId="5618785D"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КИИ (пункт 6): в случае если информационная система является значимым объектом критической информационной инфраструктуры Российской Федерации, защита содержащейся в ней информации должна обеспечиваться в соответствии с нормативными правовыми актами, принятыми на основании статьи 6 Федерального закона от 26.07.2017 № 187-ФЗ «О безопасности критической информационной инфраструктуры Российской Федерации» (в том числе приказ ФСТЭК России от 25.12.2017 № 239), и Требованиями;</w:t>
      </w:r>
    </w:p>
    <w:p w14:paraId="03CE6573"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г) криптографическая защита (пункт 7): в случае использования для защиты информации шифровальных (криптографических) средств защиты информации должны применяться требования о защите информации, установленные ФСБ России в соответствии с частью 5 статьи 16 Федерального закона № 149-ФЗ, и Требования.</w:t>
      </w:r>
    </w:p>
    <w:p w14:paraId="2016A234" w14:textId="77777777" w:rsidR="00EA4B6E" w:rsidRDefault="00000000">
      <w:pPr>
        <w:spacing w:after="0" w:line="360" w:lineRule="auto"/>
        <w:ind w:firstLine="708"/>
        <w:rPr>
          <w:rFonts w:ascii="Times New Roman" w:hAnsi="Times New Roman" w:cs="Times New Roman"/>
          <w:b/>
          <w:sz w:val="28"/>
        </w:rPr>
      </w:pPr>
      <w:r>
        <w:rPr>
          <w:rFonts w:ascii="Times New Roman" w:hAnsi="Times New Roman" w:cs="Times New Roman"/>
          <w:b/>
          <w:bCs/>
          <w:sz w:val="28"/>
        </w:rPr>
        <w:lastRenderedPageBreak/>
        <w:t>Вопрос 3. Что должна содержать Политика защиты информации, разработка которой предписана оператору (обладателю информации)? Назовите не менее пяти обязательных элементов.</w:t>
      </w:r>
    </w:p>
    <w:p w14:paraId="1F596BED"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 пунктом 14 Требований политика защиты информации должна содержать в том числе: 1) область действия политики, включая перечень информации, информационных систем, компонентов информационно-телекоммуникационной инфраструктуры, подлежащих защите; 2) цели и задачи защиты информации; 3) принципы защиты информации; 4) перечни объектов защиты, включая программные, программно-аппаратные средства, информационные системы, сети и подсети, образующие информационно-телекоммуникационную инфраструктуру; 5) категории лиц, участвующих в защите информации, их обязанности (функции) и полномочия; 6) состав организационной системы управления деятельностью по защите информации и схему взаимодействия ее элементов; 7) ответственность работников за нарушение требований о защите информации и установленных оператором (обладателем информации) правил обработки информации. Политика защиты информации утверждается руководителем оператора (обладателя информации) или ответственным лицом и обязательна для исполнения всеми подразделениями (работниками) оператора (обладателя информации) (пункт 15).</w:t>
      </w:r>
    </w:p>
    <w:p w14:paraId="448E1E11" w14:textId="77777777" w:rsidR="00EA4B6E" w:rsidRDefault="00000000">
      <w:pPr>
        <w:spacing w:after="0" w:line="360" w:lineRule="auto"/>
        <w:ind w:firstLine="708"/>
        <w:rPr>
          <w:rFonts w:ascii="Times New Roman" w:hAnsi="Times New Roman" w:cs="Times New Roman"/>
          <w:b/>
          <w:sz w:val="28"/>
        </w:rPr>
      </w:pPr>
      <w:r>
        <w:rPr>
          <w:rFonts w:ascii="Times New Roman" w:hAnsi="Times New Roman" w:cs="Times New Roman"/>
          <w:b/>
          <w:bCs/>
          <w:sz w:val="28"/>
        </w:rPr>
        <w:t>Вопрос 4. Какие требования к квалификации сотрудников структурного подразделения по защите информации установлены в приказе ФСТЭК 117? Какова обязательная доля специалистов с профильным образованием?</w:t>
      </w:r>
    </w:p>
    <w:p w14:paraId="1B244A25"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соответствии с пунктом 20 Требований работники структурного подразделения (специалисты) по защите информации должны обладать компетенциями, необходимыми для выполнения возложенных на них обязанностей (функций) по защите информации в соответствии с Требованиями. При этом не менее 30 процентов работников структурного подразделения по защите информации должны иметь профессиональное </w:t>
      </w:r>
      <w:r>
        <w:rPr>
          <w:rFonts w:ascii="Times New Roman" w:hAnsi="Times New Roman" w:cs="Times New Roman"/>
          <w:sz w:val="28"/>
        </w:rPr>
        <w:lastRenderedPageBreak/>
        <w:t>образование по специальности или направлению подготовки в области информационной безопасности или пройти обучение по программе профессиональной переподготовки в области информационной безопасности. Обязанности (функции) и полномочия специалистов по защите информации должны быть установлены в их должностных обязанностях (трудовых функциях).</w:t>
      </w:r>
    </w:p>
    <w:p w14:paraId="5A3D2A5B" w14:textId="77777777" w:rsidR="00EA4B6E" w:rsidRDefault="00000000">
      <w:pPr>
        <w:spacing w:after="0" w:line="360" w:lineRule="auto"/>
        <w:ind w:firstLine="708"/>
        <w:rPr>
          <w:rFonts w:ascii="Times New Roman" w:hAnsi="Times New Roman" w:cs="Times New Roman"/>
          <w:b/>
          <w:sz w:val="28"/>
        </w:rPr>
      </w:pPr>
      <w:r>
        <w:rPr>
          <w:rFonts w:ascii="Times New Roman" w:hAnsi="Times New Roman" w:cs="Times New Roman"/>
          <w:b/>
          <w:bCs/>
          <w:sz w:val="28"/>
        </w:rPr>
        <w:t>Вопрос 5. Какие два ключевых показателя для оценки состояния защиты информации вводятся в приказе ФСТЭК 117? Какова периодичность их расчета и куда должны направляться результаты в случае несоответствия норме?</w:t>
      </w:r>
    </w:p>
    <w:p w14:paraId="778ED8BF"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 пунктом 31 Требований оценка состояния защиты информации должна проводиться на основе определения: а) показателя защищенности Кзи, характеризующего текущее состояние защиты информации от базового уровня угроз безопасности информации; б) показателя уровня зрелости Пзи, определяющего достаточность и эффективность проведения мероприятий по защите информации. Для определения значений и расчета показателей должны применяться методические документы, утвержденные ФСТЭК России.</w:t>
      </w:r>
    </w:p>
    <w:p w14:paraId="3E1E029C"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 пунктом 32 расчет и оценка показателя защищенности Кзи должны проводиться не реже одного раза в шесть месяцев, показателя уровня зрелости Пзи — не реже одного раза в два года. О полученных значениях показателей в случае их несоответствия нормированным значениям, указанным в методических документах ФСТЭК России, в течение 3 календарных дней со дня завершения оценки информируется руководитель оператора (обладателя информации) для принятия решения о проведении мероприятий по совершенствованию защиты информации. Результаты оценки показателей в срок не позднее 5 рабочих дней после дня их расчета должны направляться оператором (обладателем информации) в ФСТЭК России в целях мониторинга текущего состояния технической защиты информации.</w:t>
      </w:r>
    </w:p>
    <w:p w14:paraId="2056F1D1" w14:textId="77777777" w:rsidR="00EA4B6E" w:rsidRDefault="00000000">
      <w:pPr>
        <w:spacing w:after="0" w:line="360" w:lineRule="auto"/>
        <w:ind w:firstLine="708"/>
        <w:rPr>
          <w:rFonts w:ascii="Times New Roman" w:hAnsi="Times New Roman" w:cs="Times New Roman"/>
          <w:b/>
          <w:sz w:val="28"/>
        </w:rPr>
      </w:pPr>
      <w:r>
        <w:rPr>
          <w:rFonts w:ascii="Times New Roman" w:hAnsi="Times New Roman" w:cs="Times New Roman"/>
          <w:b/>
          <w:bCs/>
          <w:sz w:val="28"/>
        </w:rPr>
        <w:lastRenderedPageBreak/>
        <w:t>Вопрос 6. Какие критические сроки для устранения уязвимостей установлены в приказе ФСТЭК 117? Что обязан сделать оператор при обнаружении уязвимости, отсутствующей в банке данных ФСТЭК России?</w:t>
      </w:r>
    </w:p>
    <w:p w14:paraId="42879BEB"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 пунктом 38 Требований устранение уязвимостей, которые могут быть использованы нарушителями, или исключение возможности их использования за счет применения компенсирующих мер должно проводиться: в отношении уязвимостей критического уровня опасности — в срок не более 24 часов; в отношении уязвимостей высокого уровня опасности — в срок не более 7 календарных дней; в отношении уязвимостей среднего и низкого уровней опасности сроки и порядок их устранения определяются во внутреннем регламенте по защите информации исходя из особенностей функционирования информационных систем.</w:t>
      </w:r>
    </w:p>
    <w:p w14:paraId="67755AAA"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При выявлении уязвимостей информационных систем, сведения о которых отсутствуют в банке данных угроз безопасности информации ФСТЭК России, оператор (обладатель информации) в срок не более 5 рабочих дней с даты такого выявления должен направить информацию об уязвимости в ФСТЭК России для оценки необходимости включения выявленной уязвимости в банк данных угроз безопасности информации ФСТЭК России (подпункт 21 пункта 8 Положения о ФСТЭК России).</w:t>
      </w:r>
    </w:p>
    <w:p w14:paraId="1C2412DD" w14:textId="77777777" w:rsidR="00EA4B6E" w:rsidRDefault="00000000">
      <w:pPr>
        <w:spacing w:after="0" w:line="360" w:lineRule="auto"/>
        <w:ind w:firstLine="708"/>
        <w:rPr>
          <w:rFonts w:ascii="Times New Roman" w:hAnsi="Times New Roman" w:cs="Times New Roman"/>
          <w:b/>
          <w:sz w:val="28"/>
        </w:rPr>
      </w:pPr>
      <w:r>
        <w:rPr>
          <w:rFonts w:ascii="Times New Roman" w:hAnsi="Times New Roman" w:cs="Times New Roman"/>
          <w:b/>
          <w:bCs/>
          <w:sz w:val="28"/>
        </w:rPr>
        <w:t>Вопрос 7. Какие специальные мероприятия по защите информации предписаны в связи с применением (назовите не менее трех): а) искусственного интеллекта; б) мобильных устройств; в) технологий удаленного доступа?</w:t>
      </w:r>
    </w:p>
    <w:p w14:paraId="2EF4595D"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а) искусственный интеллект (пункты 60–61 Требований): 1) исключение несанкционированного доступа к информации или воздействия на информационные системы за счет воздействия на наборы данных, применяемые модели искусственного интеллекта и их параметры, процессы и сервисы по обработке данных и поиску решений; 2) запрет передачи лицу, разработавшему модель искусственного интеллекта, информации </w:t>
      </w:r>
      <w:r>
        <w:rPr>
          <w:rFonts w:ascii="Times New Roman" w:hAnsi="Times New Roman" w:cs="Times New Roman"/>
          <w:sz w:val="28"/>
        </w:rPr>
        <w:lastRenderedPageBreak/>
        <w:t>ограниченного доступа, содержащейся в информационных системах, в том числе для улучшения функционирования модели; 3) определение шаблонов запросов и ответов (или допустимых тематик) при взаимодействии пользователей с сервисами на основе искусственного интеллекта и контроль их соблюдения; 4) разработка статистических критериев для выявления недостоверных ответов искусственного интеллекта и реагирование на них посредством ограничения области принимаемых решений; 5) исключение нерегламентированного влияния искусственного интеллекта на параметры модели и функционирование информационных систем; 6) включение непосредственно в состав информационных систем доверенных технологий искусственного интеллекта или их компонентов;</w:t>
      </w:r>
    </w:p>
    <w:p w14:paraId="6F151DA6"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б) мобильные устройства (пункты 42–45 Требований): 1) исключение несанкционированного доступа (воздействия) к информационным системам через каналы передачи мобильных данных, мобильные сервисы, интерфейсы и порты мобильных устройств; 2) обеспечение защиты каналов передачи данных; 3) доступ пользователей с применением строгой аутентификации; 4) исключение пользователем несанкционированного доступа к мобильному устройству; 5) применение личных мобильных устройств допускается только в случае соответствия устройств Требованиям и наличия у оператора возможности контроля их использования; 6) контроль использования мобильных устройств в соответствии с внутренними стандартами и регламентами по защите информации;</w:t>
      </w:r>
    </w:p>
    <w:p w14:paraId="181F537B"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технологии удаленного доступа (пункт 46 Требований): 1) исключение несанкционированного доступа (воздействия) к информационным системам через каналы передачи данных, интерфейсы и порты удаленно подключаемых программно-аппаратных средств; 2) осуществление удаленного доступа с использованием программно-аппаратных средств, выделенных оператором (обладателем информации) и соответствующих Требованиям; 3) применение при использовании личных программно-аппаратных средств (по согласованию со структурным подразделением по защите информации) сертифицированных </w:t>
      </w:r>
      <w:r>
        <w:rPr>
          <w:rFonts w:ascii="Times New Roman" w:hAnsi="Times New Roman" w:cs="Times New Roman"/>
          <w:sz w:val="28"/>
        </w:rPr>
        <w:lastRenderedPageBreak/>
        <w:t>средств обеспечения безопасной дистанционной работы (приказ ФСТЭК России от 16.02.2021 № 32), средств антивирусной защиты и иных средств защиты информации; 4) использование сетей связи, расположенных на территории Российской Федерации; 5) применение средств защиты канала передачи данных и строгой аутентификации пользователей; 6) контроль удаленного доступа в соответствии с внутренними стандартами и регламентами.</w:t>
      </w:r>
    </w:p>
    <w:p w14:paraId="04D25800" w14:textId="77777777" w:rsidR="00EA4B6E" w:rsidRDefault="00000000">
      <w:pPr>
        <w:spacing w:after="0" w:line="360" w:lineRule="auto"/>
        <w:ind w:firstLine="708"/>
        <w:rPr>
          <w:rFonts w:ascii="Times New Roman" w:hAnsi="Times New Roman" w:cs="Times New Roman"/>
          <w:b/>
          <w:sz w:val="28"/>
        </w:rPr>
      </w:pPr>
      <w:r>
        <w:rPr>
          <w:rFonts w:ascii="Times New Roman" w:hAnsi="Times New Roman" w:cs="Times New Roman"/>
          <w:b/>
          <w:bCs/>
          <w:sz w:val="28"/>
        </w:rPr>
        <w:t>Вопрос 8. По каким двум основным критериям определяется класс защищенности (К1, К2, К3) информационной системы согласно Приложению к Требованиям? Какой уровень значимости (УЗ) автоматически присваивается информации с грифом «для служебного пользования»?</w:t>
      </w:r>
    </w:p>
    <w:p w14:paraId="1486A1F6"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 Приложением к Требованиям класс защищенности информационной системы (К1, К2, К3) определяется в зависимости от двух основных критериев: 1) уровня значимости информации (УЗ), обрабатываемой в этой информационной системе; 2) масштаба информационной системы (федеральный, региональный, объектовый). Уровень значимости информации определяется в зависимости от степени возможных негативных последствий (ущерба) для обладателя информации и (или) оператора от нарушения конфиденциальности, целостности или доступности информации: УЗ 1 устанавливается, если хотя бы для одного из свойств безопасности информации определена высокая степень ущерба; УЗ 2 — если хотя бы для одного свойства определена средняя степень ущерба и нет ни одного свойства с высокой степенью ущерба; УЗ 3 — если для всех свойств определены низкие степени ущерба.</w:t>
      </w:r>
    </w:p>
    <w:p w14:paraId="0C00296C"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Для информации, которая отнесена к информации ограниченного распространения и для носителей которой установлена ограничительная пометка «для служебного пользования», должен быть установлен УЗ 1 (пункт 4 Приложения), то есть информации с грифом «для служебного пользования» автоматически присваивается высший уровень значимости — УЗ 1. Класс </w:t>
      </w:r>
      <w:r>
        <w:rPr>
          <w:rFonts w:ascii="Times New Roman" w:hAnsi="Times New Roman" w:cs="Times New Roman"/>
          <w:sz w:val="28"/>
        </w:rPr>
        <w:lastRenderedPageBreak/>
        <w:t>защищенности при этом определяется по таблице 2 Приложения: при УЗ 1 информационной системе присваивается класс К1 независимо от масштаба.</w:t>
      </w:r>
    </w:p>
    <w:p w14:paraId="7D41B98C" w14:textId="77777777" w:rsidR="00EA4B6E" w:rsidRDefault="00000000">
      <w:pPr>
        <w:spacing w:after="0" w:line="360" w:lineRule="auto"/>
        <w:ind w:firstLine="708"/>
        <w:rPr>
          <w:rFonts w:ascii="Times New Roman" w:hAnsi="Times New Roman" w:cs="Times New Roman"/>
          <w:b/>
          <w:sz w:val="28"/>
        </w:rPr>
      </w:pPr>
      <w:r>
        <w:rPr>
          <w:rFonts w:ascii="Times New Roman" w:hAnsi="Times New Roman" w:cs="Times New Roman"/>
          <w:b/>
          <w:bCs/>
          <w:sz w:val="28"/>
        </w:rPr>
        <w:t>Вопрос 9. Согласно пунктам 63-64 приказа ФСТЭК 117, от нарушителей с каким уровнем возможностей должны обеспечивать защиту информационные системы 1, 2 и 3 класса защищенности? Приведите примеры базовых мер защиты из перечня в приказе ФСТЭК 117.</w:t>
      </w:r>
    </w:p>
    <w:p w14:paraId="5D781B3B"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 пунктом 64 Требований реализация мер по защите информационных систем и содержащейся в них информации должна обеспечивать защиту: в информационных системах 3 класса защищенности — от нарушителей с базовым уровнем возможностей; в информационных системах 2 класса защищенности — от нарушителей с повышенным уровнем возможностей; в информационных системах 1 класса защищенности — от нарушителей с высоким уровнем возможностей. Оператором (обладателем информации) может быть принято решение о применении мер защиты от нарушителей с более высоким уровнем возможностей.</w:t>
      </w:r>
    </w:p>
    <w:p w14:paraId="63B98B83"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 пунктом 63 Требований в информационных системах должны быть реализованы следующие базовые меры защиты (примеры): идентификация и аутентификация; управление доступом; регистрация событий безопасности; защита виртуализации и облачных вычислений; защита технологий контейнерных сред и их оркестрации; защита сервисов электронной почты; защита веб-технологий; защита программных интерфейсов взаимодействия приложений; защита конечных устройств; защита мобильных устройств; защита технологий интернета вещей; защита точек беспроводного доступа; антивирусная защита; обнаружение и предотвращение вторжений на сетевом уровне; сегментация и межсетевое экранирование; защита от компьютерных атак, направленных на отказ в обслуживании; защита каналов передачи данных и сетевого взаимодействия.</w:t>
      </w:r>
    </w:p>
    <w:p w14:paraId="6029FBB3" w14:textId="77777777" w:rsidR="00EA4B6E" w:rsidRDefault="00000000">
      <w:pPr>
        <w:spacing w:after="0" w:line="360" w:lineRule="auto"/>
        <w:ind w:firstLine="708"/>
        <w:rPr>
          <w:rFonts w:ascii="Times New Roman" w:hAnsi="Times New Roman" w:cs="Times New Roman"/>
          <w:b/>
          <w:sz w:val="28"/>
        </w:rPr>
      </w:pPr>
      <w:r>
        <w:rPr>
          <w:rFonts w:ascii="Times New Roman" w:hAnsi="Times New Roman" w:cs="Times New Roman"/>
          <w:b/>
          <w:bCs/>
          <w:sz w:val="28"/>
        </w:rPr>
        <w:t xml:space="preserve">Вопрос 10. Какие требования предъявляются к сертифицированным средствам защиты информации (СЗИ) в </w:t>
      </w:r>
      <w:r>
        <w:rPr>
          <w:rFonts w:ascii="Times New Roman" w:hAnsi="Times New Roman" w:cs="Times New Roman"/>
          <w:b/>
          <w:bCs/>
          <w:sz w:val="28"/>
        </w:rPr>
        <w:lastRenderedPageBreak/>
        <w:t>зависимости от класса защищенности информационной системы? На что дополнительно должно быть обращено внимание при их применении согласно приказу ФСТЭК 117?</w:t>
      </w:r>
    </w:p>
    <w:p w14:paraId="45A9FD6F"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 пунктом 71 Требований для защиты информации должны применяться сертифицированные средства защиты информации в соответствии с инструкциями (правилами) по их эксплуатации, установленными разработчиками в эксплуатационной документации. В соответствии с пунктом 72 применяемые сертифицированные средства защиты информации должны соответствовать: для защиты информационных систем 1 класса защищенности — не ниже чем 4 классу защиты и уровню доверия; для защиты информационных систем 2 класса защищенности — не ниже чем 5 классу защиты и уровню доверия; для защиты информационных систем 3 класса защищенности — 6 классу защиты и уровню доверия.</w:t>
      </w:r>
    </w:p>
    <w:p w14:paraId="256C6B62"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Дополнительно при применении сертифицированных СЗИ должно быть обращено внимание на следующее: 1) применяемые средства защиты информации должны быть обеспечены со стороны их разработчиков поддержкой безопасности на территории Российской Федерации, включая выпуск и применение обновлений программного обеспечения, обеспечивающих устранение выявленных уязвимостей, дефектов и недостатков (пункт 71); 2) средства защиты информации должны применяться с соблюдением запретов, установленных пунктом 6 Указа Президента Российской Федерации от 1 мая 2022 г. № 250 «О дополнительных мерах по обеспечению информационной безопасности Российской Федерации» (пункт 71); 3) технические меры по защите информации должны приниматься на аппаратном, системном, прикладном уровнях, а также в информационно-телекоммуникационной инфраструктуре: на аппаратном и системном уровнях — посредством применения встроенных в аппаратное обеспечение и системное программное обеспечение средств защиты, на прикладном и сетевом (инфраструктурном) уровнях — применением встроенных в прикладное программное обеспечение средств защиты и (или) наложенных и </w:t>
      </w:r>
      <w:r>
        <w:rPr>
          <w:rFonts w:ascii="Times New Roman" w:hAnsi="Times New Roman" w:cs="Times New Roman"/>
          <w:sz w:val="28"/>
        </w:rPr>
        <w:lastRenderedPageBreak/>
        <w:t>сетевых средств защиты информации (пункт 70); 4) мероприятия и меры по защите информации должны реализовываться с использованием методических документов ФСТЭК России (пункт 68); 5) при невозможности реализации отдельных мероприятий должны быть разработаны и внедрены компенсирующие меры с подтверждением их эффективности при аттестации информационных систем (пункт 69).</w:t>
      </w:r>
    </w:p>
    <w:p w14:paraId="4B606332"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sz w:val="28"/>
        </w:rPr>
        <w:br w:type="page"/>
      </w:r>
    </w:p>
    <w:p w14:paraId="4BCA51C6"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lastRenderedPageBreak/>
        <w:t>ВЫВОДЫ</w:t>
      </w:r>
    </w:p>
    <w:p w14:paraId="2BB00640"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ходе выполнения практического занятия № 14 изучен приказ ФСТЭК России от 11 апреля 2025 г. № 117 «Требования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как нормативный правовой акт в области технической защиты информации, устанавливающий требования о защите (некриптографическими методами) информации, предотвращения несанкционированного доступа к информации, специальных воздействий на информацию (носители информации), содержащейся в функционирующих на территории Российской Федерации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w:t>
      </w:r>
    </w:p>
    <w:p w14:paraId="1AEC9F9E"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В процессе выполнения работы:</w:t>
      </w:r>
    </w:p>
    <w:p w14:paraId="02B42620"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1) изучен приказ ФСТЭК России от 11 апреля 2025 г. № 117 и утвержденные им Требования (издан на основании части 5 статьи 16 Федерального закона № 149-ФЗ и Положения о ФСТЭК России, утвержденного Указом Президента РФ № 1085; зарегистрирован Минюстом России 16 июня 2025 г. № 82619; вступает в силу с 1 марта 2026 г.; признает утратившим силу приказ ФСТЭК России от 11 февраля 2013 г. № 17 с изменениями);</w:t>
      </w:r>
    </w:p>
    <w:p w14:paraId="5427562B"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2) изучены общие положения Требований: сфера действия (государственные информационные системы, иные информационные системы государственных органов, государственных унитарных предприятий, государственных учреждений, функционирующие на территории РФ), информационные системы, на которые Требования не распространяются (пункт 12), соотношение Требований с нормативными правовыми актами в области защиты государственной тайны, персональных данных, критической </w:t>
      </w:r>
      <w:r>
        <w:rPr>
          <w:rFonts w:ascii="Times New Roman" w:hAnsi="Times New Roman" w:cs="Times New Roman"/>
          <w:sz w:val="28"/>
        </w:rPr>
        <w:lastRenderedPageBreak/>
        <w:t>информационной инфраструктуры и криптографической защиты информации (пункты 4–7);</w:t>
      </w:r>
    </w:p>
    <w:p w14:paraId="0421807A"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3) изучена организация деятельности по защите информации и управление данной деятельностью: состав организации деятельности (политика защиты информации, ответственные лица, внутренние стандарты и регламенты, ресурсы), структурное подразделение (специалисты) по защите информации, требование о наличии профильного образования (профессиональной переподготовки) не менее чем у 30 процентов работников подразделения, показатели защищенности Кзи (не реже одного раза в шесть месяцев) и уровня зрелости Пзи (не реже одного раза в два года), порядок информирования руководителя оператора и направления результатов оценки в ФСТЭК России;</w:t>
      </w:r>
    </w:p>
    <w:p w14:paraId="144A6C10"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4) изучено проведение мероприятий и принятие мер по защите информации: перечень из двадцати одного мероприятия (пункт 34), управление уязвимостями (критический уровень опасности — не более 24 часов, высокий — не более 7 календарных дней, направление сведений о новых уязвимостях в ФСТЭК России в срок не более 5 рабочих дней), управление обновлениями, защита информации при применении конечных устройств, мобильных устройств, удаленного и беспроводного доступа, привилегированного доступа, мониторинг информационной безопасности, разработка безопасного программного обеспечения, физическая защита, непрерывность функционирования (интервалы восстановления: 24 часа — К1, 7 дней — К2, 4 недели — К3), защита от компьютерных атак, направленных на отказ в обслуживании, защита информации при использовании искусственного интеллекта;</w:t>
      </w:r>
    </w:p>
    <w:p w14:paraId="06206DF2"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5) изучены требования к определению класса защищенности информационной системы: два критерия (уровень значимости информации и масштаб информационной системы), уровни значимости УЗ 1, УЗ 2, УЗ 3, автоматическое присвоение УЗ 1 информации с пометкой «для служебного пользования», определение класса защищенности по таблице Приложения </w:t>
      </w:r>
      <w:r>
        <w:rPr>
          <w:rFonts w:ascii="Times New Roman" w:hAnsi="Times New Roman" w:cs="Times New Roman"/>
          <w:sz w:val="28"/>
        </w:rPr>
        <w:lastRenderedPageBreak/>
        <w:t>(например, при УЗ 2 региональной информационной системе присваивается класс К2);</w:t>
      </w:r>
    </w:p>
    <w:p w14:paraId="25267F02"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6) изучены базовые меры защиты информационных систем и содержащейся в них информации (семнадцать мер по пункту 63) и требования к сертифицированным средствам защиты информации (не ниже 4 класса защиты и уровня доверия — для К1, не ниже 5 класса — для К2, 6 класса — для К3), а также требования к поддержке безопасности СЗИ на территории Российской Федерации;</w:t>
      </w:r>
    </w:p>
    <w:p w14:paraId="50E33C01"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7) проанализированы открытые источники сети Интернет: сайт ФСТЭК России, сайт Роскомнадзора, СПС «КонсультантПлюс», правовая система «Консультант», официальный интернет-портал правовой информации, аналитическая статья на ресурсе Habr и другие; текст приказа и Требований сверен по двум независимым источникам;</w:t>
      </w:r>
    </w:p>
    <w:p w14:paraId="3881C8C2"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8) даны краткие ответы на контрольные вопросы практического занятия.</w:t>
      </w:r>
    </w:p>
    <w:p w14:paraId="65FF7E82"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Таким образом, цель практического занятия достигнута: изучен приказ ФСТЭК России от 11 апреля 2025 г. № 117 «Требования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как нормативный правовой акт в области технической защиты информации, получена теоретическая подготовка по всем учебным вопросам занятия, выработаны навыки работы с нормативными правовыми актами ФСТЭК России и открытыми источниками сети Интернет в области технической защиты информации.</w:t>
      </w:r>
    </w:p>
    <w:p w14:paraId="15A53EBC"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sz w:val="28"/>
        </w:rPr>
        <w:br w:type="page"/>
      </w:r>
    </w:p>
    <w:p w14:paraId="7F646F49" w14:textId="77777777" w:rsidR="00EA4B6E" w:rsidRDefault="00000000">
      <w:pPr>
        <w:spacing w:after="0" w:line="360" w:lineRule="auto"/>
        <w:jc w:val="center"/>
        <w:rPr>
          <w:rFonts w:ascii="Times New Roman" w:hAnsi="Times New Roman" w:cs="Times New Roman"/>
          <w:b/>
          <w:sz w:val="28"/>
        </w:rPr>
      </w:pPr>
      <w:r>
        <w:rPr>
          <w:rFonts w:ascii="Times New Roman" w:hAnsi="Times New Roman" w:cs="Times New Roman"/>
          <w:b/>
          <w:bCs/>
          <w:sz w:val="28"/>
        </w:rPr>
        <w:lastRenderedPageBreak/>
        <w:t>СПИСОК ИСПОЛЬЗОВАННЫХ ИСТОЧНИКОВ</w:t>
      </w:r>
    </w:p>
    <w:p w14:paraId="4B0E3E2D"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1. Требования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[Электронный ресурс]: утв. приказом ФСТЭК России от 11 апреля 2025 г. № 117 (зарегистрирован Минюстом России 16 июня 2025 г., регистрационный № 82619) // СПС «КонсультантПлюс». — Режим доступа: https://www.consultant.ru/document/cons_doc_LAW_507869/ (дата обращения: 18.08.2026).</w:t>
      </w:r>
    </w:p>
    <w:p w14:paraId="7C742B85"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2. Приказ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(Зарегистрировано в Минюсте России 16.06.2025 № 82619) [Электронный ресурс] // Правовая система «Консультант». — Режим доступа: https://www.consultant.ru/law/hotdocs/89683.html (дата обращения: 18.08.2026).</w:t>
      </w:r>
    </w:p>
    <w:p w14:paraId="0FB69218"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3. То же // Официальный сайт ФСТЭК России. — Режим доступа: https://fstec.ru/dokumenty/vse-dokumenty/spetsialnye-normativnye-dokumenty/trebovaniya-utverzhdeny-prikazom-fstek-rossii-ot-11-aprelya-2025-g-n-117 (дата обращения: 18.08.2026).</w:t>
      </w:r>
    </w:p>
    <w:p w14:paraId="6A0F5119"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4. Федеральный закон от 27.07.2006 № 149-ФЗ «Об информации, информационных технологиях и о защите информации» [Электронный ресурс] // СПС «КонсультантПлюс». — Режим доступа: http://www.consultant.ru/ (дата обращения: 18.08.2026).</w:t>
      </w:r>
    </w:p>
    <w:p w14:paraId="68A716A1"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5. Федеральный закон от 26.07.2017 № 187-ФЗ «О безопасности критической информационной инфраструктуры Российской Федерации» [Электронный ресурс] // СПС «КонсультантПлюс». — Режим доступа: http://www.consultant.ru/ (дата обращения: 18.08.2026).</w:t>
      </w:r>
    </w:p>
    <w:p w14:paraId="6D1C0390"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6. Постановление Правительства РФ от 01.11.2012 № 1119 «Об утверждении требований к защите персональных данных при их обработке в информационных системах персональных данных» [Электронный ресурс] // СПС «КонсультантПлюс». — Режим доступа: http://www.consultant.ru/ (дата обращения: 18.08.2026).</w:t>
      </w:r>
    </w:p>
    <w:p w14:paraId="66C1ACC9"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7. Указ Президента РФ от 16.08.2004 № 1085 «Вопросы Федеральной службы по техническому и экспортному контролю» [Электронный ресурс] // Официальный интернет-портал правовой информации. — Режим доступа: http://pravo.gov.ru/ (дата обращения: 18.08.2026).</w:t>
      </w:r>
    </w:p>
    <w:p w14:paraId="2F0E966E"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8. Указ Президента РФ от 01.05.2022 № 250 «О дополнительных мерах по обеспечению информационной безопасности Российской Федерации» [Электронный ресурс] // Официальный интернет-портал правовой информации. — Режим доступа: http://pravo.gov.ru/ (дата обращения: 18.08.2026).</w:t>
      </w:r>
    </w:p>
    <w:p w14:paraId="5DADB3A7"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9. Постановление Правительства РФ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 [Электронный ресурс] // СПС «КонсультантПлюс». — Режим доступа: http://www.consultant.ru/ (дата обращения: 18.08.2026).</w:t>
      </w:r>
    </w:p>
    <w:p w14:paraId="6BD2089F"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10. Приказ ФСТЭК России от 29.04.2021 № 77 «Об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 не составляющей государственную тайну» [Электронный ресурс] // Официальный сайт ФСТЭК России. — Режим доступа: https://fstec.ru/ (дата обращения: 18.08.2026).</w:t>
      </w:r>
    </w:p>
    <w:p w14:paraId="73A1BEBC"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11. Приказ ФСТЭК России от 16.02.2021 № 32 «Об утверждении Требований к средствам обеспечения безопасной дистанционной работы» [Электронный ресурс] // Официальный сайт ФСТЭК России. — Режим доступа: https://fstec.ru/ (дата обращения: 18.08.2026).</w:t>
      </w:r>
    </w:p>
    <w:p w14:paraId="1F1F1F9F"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12. Анализ ключевых изменений в требованиях к защите информации согласно Приказу ФСТЭК № 117 [Электронный ресурс] // Habr. — Режим доступа: https://habr.com/ru/companies/ussc/articles/939640/ (дата обращения: 18.08.2026).</w:t>
      </w:r>
    </w:p>
    <w:p w14:paraId="080CCAD7"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13. Официальный сайт ФСТЭК России [Электронный ресурс]. — Режим доступа: https://fstec.ru/ (дата обращения: 18.08.2026).</w:t>
      </w:r>
    </w:p>
    <w:p w14:paraId="6DCE56CB"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14. Официальный сайт Роскомнадзора [Электронный ресурс]. — Режим доступа: https://rkn.gov.ru/ (дата обращения: 18.08.2026).</w:t>
      </w:r>
    </w:p>
    <w:p w14:paraId="1FE4AEE5"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15. СПС «КонсультантПлюс» [Электронный ресурс]. — Режим доступа: http://www.consultant.ru/ (дата обращения: 18.08.2026).</w:t>
      </w:r>
    </w:p>
    <w:p w14:paraId="2316587E"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16. Официальный интернет-портал правовой информации [Электронный ресурс]. — Режим доступа: http://pravo.gov.ru/ (дата обращения: 18.08.2026).</w:t>
      </w:r>
    </w:p>
    <w:p w14:paraId="2B4D9053"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17. Кормановский Н.С., Михайличенко С.В., Савков С.В. Организационно-правовое и методическое обеспечение информационной безопасности: учеб. пособие. — СПб.: НИУ ИТМО, 2013.</w:t>
      </w:r>
    </w:p>
    <w:p w14:paraId="59A67C9E" w14:textId="77777777" w:rsidR="00EA4B6E" w:rsidRDefault="00000000">
      <w:pPr>
        <w:spacing w:after="0" w:line="360" w:lineRule="auto"/>
        <w:ind w:firstLine="709"/>
        <w:jc w:val="both"/>
        <w:rPr>
          <w:rFonts w:ascii="Times New Roman" w:hAnsi="Times New Roman" w:cs="Times New Roman"/>
          <w:sz w:val="28"/>
        </w:rPr>
      </w:pPr>
      <w:r>
        <w:rPr>
          <w:rFonts w:ascii="Times New Roman" w:hAnsi="Times New Roman" w:cs="Times New Roman"/>
          <w:sz w:val="28"/>
        </w:rPr>
        <w:t>18. Стрельцов А.А. Организационно-правовое обеспечение информационной безопасности: учеб. пособие для студентов вузов. — М.: Издательский центр «Академия», 2008.</w:t>
      </w:r>
    </w:p>
    <w:sectPr w:rsidR="00EA4B6E" w:rsidSect="00107B44">
      <w:pgSz w:w="11907" w:h="16839"/>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B44"/>
    <w:rsid w:val="00006DD6"/>
    <w:rsid w:val="00107B44"/>
    <w:rsid w:val="00114AC5"/>
    <w:rsid w:val="001432C6"/>
    <w:rsid w:val="00296D91"/>
    <w:rsid w:val="002E5F0F"/>
    <w:rsid w:val="003D72E2"/>
    <w:rsid w:val="00C1124A"/>
    <w:rsid w:val="00EA4B6E"/>
    <w:rsid w:val="00F865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3706B"/>
  <w15:chartTrackingRefBased/>
  <w15:docId w15:val="{783F4EF5-DAAE-41F3-AD30-4C5977CDE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07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07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07B4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07B4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07B4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07B4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07B4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07B4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07B4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07B4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07B4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07B4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07B4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07B4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07B4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07B44"/>
    <w:rPr>
      <w:rFonts w:eastAsiaTheme="majorEastAsia" w:cstheme="majorBidi"/>
      <w:color w:val="595959" w:themeColor="text1" w:themeTint="A6"/>
    </w:rPr>
  </w:style>
  <w:style w:type="character" w:customStyle="1" w:styleId="80">
    <w:name w:val="Заголовок 8 Знак"/>
    <w:basedOn w:val="a0"/>
    <w:link w:val="8"/>
    <w:uiPriority w:val="9"/>
    <w:semiHidden/>
    <w:rsid w:val="00107B4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07B44"/>
    <w:rPr>
      <w:rFonts w:eastAsiaTheme="majorEastAsia" w:cstheme="majorBidi"/>
      <w:color w:val="272727" w:themeColor="text1" w:themeTint="D8"/>
    </w:rPr>
  </w:style>
  <w:style w:type="paragraph" w:styleId="a3">
    <w:name w:val="Title"/>
    <w:basedOn w:val="a"/>
    <w:next w:val="a"/>
    <w:link w:val="a4"/>
    <w:uiPriority w:val="10"/>
    <w:qFormat/>
    <w:rsid w:val="00107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07B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7B4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07B4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07B44"/>
    <w:pPr>
      <w:spacing w:before="160"/>
      <w:jc w:val="center"/>
    </w:pPr>
    <w:rPr>
      <w:i/>
      <w:iCs/>
      <w:color w:val="404040" w:themeColor="text1" w:themeTint="BF"/>
    </w:rPr>
  </w:style>
  <w:style w:type="character" w:customStyle="1" w:styleId="22">
    <w:name w:val="Цитата 2 Знак"/>
    <w:basedOn w:val="a0"/>
    <w:link w:val="21"/>
    <w:uiPriority w:val="29"/>
    <w:rsid w:val="00107B44"/>
    <w:rPr>
      <w:i/>
      <w:iCs/>
      <w:color w:val="404040" w:themeColor="text1" w:themeTint="BF"/>
    </w:rPr>
  </w:style>
  <w:style w:type="paragraph" w:styleId="a7">
    <w:name w:val="List Paragraph"/>
    <w:basedOn w:val="a"/>
    <w:uiPriority w:val="34"/>
    <w:qFormat/>
    <w:rsid w:val="00107B44"/>
    <w:pPr>
      <w:ind w:left="720"/>
      <w:contextualSpacing/>
    </w:pPr>
  </w:style>
  <w:style w:type="character" w:styleId="a8">
    <w:name w:val="Intense Emphasis"/>
    <w:basedOn w:val="a0"/>
    <w:uiPriority w:val="21"/>
    <w:qFormat/>
    <w:rsid w:val="00107B44"/>
    <w:rPr>
      <w:i/>
      <w:iCs/>
      <w:color w:val="0F4761" w:themeColor="accent1" w:themeShade="BF"/>
    </w:rPr>
  </w:style>
  <w:style w:type="paragraph" w:styleId="a9">
    <w:name w:val="Intense Quote"/>
    <w:basedOn w:val="a"/>
    <w:next w:val="a"/>
    <w:link w:val="aa"/>
    <w:uiPriority w:val="30"/>
    <w:qFormat/>
    <w:rsid w:val="00107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07B44"/>
    <w:rPr>
      <w:i/>
      <w:iCs/>
      <w:color w:val="0F4761" w:themeColor="accent1" w:themeShade="BF"/>
    </w:rPr>
  </w:style>
  <w:style w:type="character" w:styleId="ab">
    <w:name w:val="Intense Reference"/>
    <w:basedOn w:val="a0"/>
    <w:uiPriority w:val="32"/>
    <w:qFormat/>
    <w:rsid w:val="00107B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40</Pages>
  <Words>10403</Words>
  <Characters>59300</Characters>
  <Application>Microsoft Office Word</Application>
  <DocSecurity>0</DocSecurity>
  <Lines>494</Lines>
  <Paragraphs>139</Paragraphs>
  <ScaleCrop>false</ScaleCrop>
  <Company/>
  <LinksUpToDate>false</LinksUpToDate>
  <CharactersWithSpaces>69564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Ковалёв</dc:creator>
  <cp:keywords/>
  <dc:description/>
  <cp:lastModifiedBy>Данил Ковалёв</cp:lastModifiedBy>
  <cp:revision>7</cp:revision>
  <dcterms:created xsi:type="dcterms:W3CDTF">2026-08-18T19:32:00Z</dcterms:created>
  <dcterms:modified xsi:type="dcterms:W3CDTF">2026-08-18T20:36:00Z</dcterms:modified>
</cp:coreProperties>
</file>