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before="0" w:after="0"/>
        <w:ind w:firstLine="0"/>
        <w:jc w:val="center"/>
      </w:pPr>
      <w:r>
        <w:rPr>
          <w:rFonts w:ascii="Times New Roman" w:hAnsi="Times New Roman" w:cs="Times New Roman" w:eastAsia="Times New Roman"/>
          <w:b w:val="0"/>
          <w:i w:val="0"/>
          <w:sz w:val="28"/>
        </w:rPr>
        <w:t>МИНИСТЕРСТВО НАУКИ И ВЫСШЕГО ОБРАЗОВАНИЯ</w:t>
      </w:r>
    </w:p>
    <w:p>
      <w:pPr>
        <w:widowControl/>
        <w:spacing w:line="240" w:lineRule="auto" w:before="0" w:after="200"/>
        <w:ind w:firstLine="0"/>
        <w:jc w:val="center"/>
      </w:pPr>
      <w:r>
        <w:rPr>
          <w:rFonts w:ascii="Times New Roman" w:hAnsi="Times New Roman" w:cs="Times New Roman" w:eastAsia="Times New Roman"/>
          <w:b w:val="0"/>
          <w:i w:val="0"/>
          <w:sz w:val="28"/>
        </w:rPr>
        <w:t>РОССИЙСКОЙ ФЕДЕРАЦИИ</w:t>
      </w:r>
    </w:p>
    <w:p>
      <w:pPr>
        <w:widowControl/>
        <w:spacing w:line="240" w:lineRule="auto" w:before="0" w:after="0"/>
        <w:ind w:firstLine="0"/>
        <w:jc w:val="center"/>
      </w:pPr>
      <w:r>
        <w:rPr>
          <w:rFonts w:ascii="Times New Roman" w:hAnsi="Times New Roman" w:cs="Times New Roman" w:eastAsia="Times New Roman"/>
          <w:b/>
          <w:i w:val="0"/>
          <w:sz w:val="28"/>
        </w:rPr>
        <w:t>ФЕДЕРАЛЬНОЕ ГОСУДАРСТВЕННОЕ БЮДЖЕТНОЕ</w:t>
      </w:r>
    </w:p>
    <w:p>
      <w:pPr>
        <w:widowControl/>
        <w:spacing w:line="240" w:lineRule="auto" w:before="0" w:after="0"/>
        <w:ind w:firstLine="0"/>
        <w:jc w:val="center"/>
      </w:pPr>
      <w:r>
        <w:rPr>
          <w:rFonts w:ascii="Times New Roman" w:hAnsi="Times New Roman" w:cs="Times New Roman" w:eastAsia="Times New Roman"/>
          <w:b/>
          <w:i w:val="0"/>
          <w:sz w:val="28"/>
        </w:rPr>
        <w:t>ОБРАЗОВАТЕЛЬНОЕ УЧРЕЖДЕНИЕ ВЫСШЕГО ОБРАЗОВАНИЯ</w:t>
      </w:r>
    </w:p>
    <w:p>
      <w:pPr>
        <w:widowControl/>
        <w:spacing w:line="240" w:lineRule="auto" w:before="0" w:after="0"/>
        <w:ind w:firstLine="0"/>
        <w:jc w:val="center"/>
      </w:pPr>
      <w:r>
        <w:rPr>
          <w:rFonts w:ascii="Times New Roman" w:hAnsi="Times New Roman" w:cs="Times New Roman" w:eastAsia="Times New Roman"/>
          <w:b/>
          <w:i w:val="0"/>
          <w:sz w:val="28"/>
        </w:rPr>
        <w:t>«ДОНСКОЙ ГОСУДАРСТВЕННЫЙ ТЕХНИЧЕСКИЙ УНИВЕРСИТЕТ»</w:t>
      </w:r>
    </w:p>
    <w:p>
      <w:pPr>
        <w:widowControl/>
        <w:spacing w:line="240" w:lineRule="auto" w:before="0" w:after="480"/>
        <w:ind w:firstLine="0"/>
        <w:jc w:val="center"/>
      </w:pPr>
      <w:r>
        <w:rPr>
          <w:rFonts w:ascii="Times New Roman" w:hAnsi="Times New Roman" w:cs="Times New Roman" w:eastAsia="Times New Roman"/>
          <w:b/>
          <w:i w:val="0"/>
          <w:sz w:val="28"/>
        </w:rPr>
        <w:t>(ДГТУ)</w:t>
      </w:r>
    </w:p>
    <w:p>
      <w:pPr>
        <w:widowControl/>
        <w:spacing w:line="360" w:lineRule="auto" w:before="0" w:after="0"/>
        <w:ind w:firstLine="0"/>
        <w:jc w:val="left"/>
      </w:pPr>
      <w:r>
        <w:rPr>
          <w:rFonts w:ascii="Times New Roman" w:hAnsi="Times New Roman" w:cs="Times New Roman" w:eastAsia="Times New Roman"/>
          <w:b w:val="0"/>
          <w:i w:val="0"/>
          <w:sz w:val="28"/>
        </w:rPr>
        <w:t>Факультет «Информатика и вычислительная техника»</w:t>
      </w:r>
    </w:p>
    <w:p>
      <w:pPr>
        <w:widowControl/>
        <w:spacing w:line="360" w:lineRule="auto" w:before="0" w:after="0"/>
        <w:ind w:firstLine="0"/>
        <w:jc w:val="left"/>
      </w:pPr>
      <w:r>
        <w:rPr>
          <w:rFonts w:ascii="Times New Roman" w:hAnsi="Times New Roman" w:cs="Times New Roman" w:eastAsia="Times New Roman"/>
          <w:b w:val="0"/>
          <w:i w:val="0"/>
          <w:sz w:val="28"/>
        </w:rPr>
        <w:t>Кафедра «Кибербезопасность информационных систем»</w:t>
      </w: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120"/>
        <w:ind w:firstLine="0"/>
        <w:jc w:val="center"/>
      </w:pPr>
      <w:r>
        <w:rPr>
          <w:rFonts w:ascii="Times New Roman" w:hAnsi="Times New Roman" w:cs="Times New Roman" w:eastAsia="Times New Roman"/>
          <w:b/>
          <w:i w:val="0"/>
          <w:sz w:val="28"/>
        </w:rPr>
        <w:t>ОТЧЁТ</w:t>
      </w:r>
    </w:p>
    <w:p>
      <w:pPr>
        <w:widowControl/>
        <w:spacing w:line="240" w:lineRule="auto" w:before="0" w:after="280"/>
        <w:ind w:firstLine="0"/>
        <w:jc w:val="center"/>
      </w:pPr>
      <w:r>
        <w:rPr>
          <w:rFonts w:ascii="Times New Roman" w:hAnsi="Times New Roman" w:cs="Times New Roman" w:eastAsia="Times New Roman"/>
          <w:b/>
          <w:i w:val="0"/>
          <w:sz w:val="28"/>
        </w:rPr>
        <w:t>по вступительной лабораторной работе № 0</w:t>
      </w:r>
    </w:p>
    <w:p>
      <w:pPr>
        <w:widowControl/>
        <w:spacing w:line="240" w:lineRule="auto" w:before="0" w:after="120"/>
        <w:ind w:firstLine="0"/>
        <w:jc w:val="center"/>
      </w:pPr>
      <w:r>
        <w:rPr>
          <w:rFonts w:ascii="Times New Roman" w:hAnsi="Times New Roman" w:cs="Times New Roman" w:eastAsia="Times New Roman"/>
          <w:b w:val="0"/>
          <w:i w:val="0"/>
          <w:sz w:val="28"/>
        </w:rPr>
        <w:t>по дисциплине «Модели безопасности компьютерных систем»</w:t>
      </w:r>
    </w:p>
    <w:p>
      <w:pPr>
        <w:widowControl/>
        <w:spacing w:line="240" w:lineRule="auto" w:before="0" w:after="0"/>
        <w:ind w:firstLine="0"/>
        <w:jc w:val="center"/>
      </w:pPr>
      <w:r>
        <w:rPr>
          <w:rFonts w:ascii="Times New Roman" w:hAnsi="Times New Roman" w:cs="Times New Roman" w:eastAsia="Times New Roman"/>
          <w:b w:val="0"/>
          <w:i w:val="0"/>
          <w:sz w:val="28"/>
        </w:rPr>
        <w:t>на тему: «Угрозы информационному и киберпространству России</w:t>
      </w:r>
    </w:p>
    <w:p>
      <w:pPr>
        <w:widowControl/>
        <w:spacing w:line="240" w:lineRule="auto" w:before="0" w:after="0"/>
        <w:ind w:firstLine="0"/>
        <w:jc w:val="center"/>
      </w:pPr>
      <w:r>
        <w:rPr>
          <w:rFonts w:ascii="Times New Roman" w:hAnsi="Times New Roman" w:cs="Times New Roman" w:eastAsia="Times New Roman"/>
          <w:b w:val="0"/>
          <w:i w:val="0"/>
          <w:sz w:val="28"/>
        </w:rPr>
        <w:t>и возможные методы их нейтрализации</w:t>
      </w:r>
    </w:p>
    <w:p>
      <w:pPr>
        <w:widowControl/>
        <w:spacing w:line="240" w:lineRule="auto" w:before="0" w:after="0"/>
        <w:ind w:firstLine="0"/>
        <w:jc w:val="center"/>
      </w:pPr>
      <w:r>
        <w:rPr>
          <w:rFonts w:ascii="Times New Roman" w:hAnsi="Times New Roman" w:cs="Times New Roman" w:eastAsia="Times New Roman"/>
          <w:b w:val="0"/>
          <w:i w:val="0"/>
          <w:sz w:val="28"/>
        </w:rPr>
        <w:t>и противодействия атакам противника»</w:t>
      </w: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tbl>
      <w:tblPr>
        <w:tblW w:type="auto" w:w="0"/>
        <w:jc w:val="right"/>
        <w:tblLook w:firstColumn="1" w:firstRow="1" w:lastColumn="0" w:lastRow="0" w:noHBand="0" w:noVBand="1" w:val="04A0"/>
        <w:tblBorders>
          <w:top w:val="none" w:sz="0"/>
          <w:left w:val="none" w:sz="0"/>
          <w:bottom w:val="none" w:sz="0"/>
          <w:right w:val="none" w:sz="0"/>
          <w:insideH w:val="none" w:sz="0"/>
          <w:insideV w:val="none" w:sz="0"/>
        </w:tblBorders>
      </w:tblPr>
      <w:tblGrid>
        <w:gridCol w:w="9355"/>
      </w:tblGrid>
      <w:tr>
        <w:tc>
          <w:tcPr>
            <w:tcW w:type="dxa" w:w="4819"/>
          </w:tcPr>
          <w:p>
            <w:pPr>
              <w:widowControl/>
              <w:spacing w:line="240" w:lineRule="auto" w:before="0" w:after="0"/>
              <w:ind w:firstLine="0"/>
              <w:jc w:val="left"/>
            </w:pPr>
            <w:r/>
            <w:r>
              <w:rPr>
                <w:rFonts w:ascii="Times New Roman" w:hAnsi="Times New Roman" w:cs="Times New Roman" w:eastAsia="Times New Roman"/>
                <w:b w:val="0"/>
                <w:i w:val="0"/>
                <w:sz w:val="28"/>
              </w:rPr>
              <w:t>Выполнил: студент группы ВКБ53</w:t>
            </w:r>
          </w:p>
        </w:tc>
      </w:tr>
      <w:tr>
        <w:tc>
          <w:tcPr>
            <w:tcW w:type="dxa" w:w="4819"/>
          </w:tcPr>
          <w:p>
            <w:pPr>
              <w:widowControl/>
              <w:spacing w:line="240" w:lineRule="auto" w:before="0" w:after="0"/>
              <w:ind w:firstLine="0"/>
              <w:jc w:val="center"/>
            </w:pPr>
            <w:r/>
            <w:r>
              <w:rPr>
                <w:rFonts w:ascii="Times New Roman" w:hAnsi="Times New Roman" w:cs="Times New Roman" w:eastAsia="Times New Roman"/>
                <w:b w:val="0"/>
                <w:i w:val="0"/>
                <w:sz w:val="28"/>
              </w:rPr>
              <w:t>Ковалев Данил Петрович</w:t>
            </w:r>
          </w:p>
        </w:tc>
      </w:tr>
      <w:tr>
        <w:tc>
          <w:tcPr>
            <w:tcW w:type="dxa" w:w="4819"/>
          </w:tcPr>
          <w:p>
            <w:pPr>
              <w:widowControl/>
              <w:spacing w:line="240" w:lineRule="auto" w:before="0" w:after="0"/>
              <w:ind w:firstLine="0"/>
              <w:jc w:val="center"/>
            </w:pPr>
            <w:r/>
            <w:r>
              <w:rPr>
                <w:rFonts w:ascii="Times New Roman" w:hAnsi="Times New Roman" w:cs="Times New Roman" w:eastAsia="Times New Roman"/>
                <w:b w:val="0"/>
                <w:i w:val="0"/>
                <w:sz w:val="20"/>
              </w:rPr>
              <w:t>(Фамилия, имя, отчество)</w:t>
            </w:r>
          </w:p>
        </w:tc>
      </w:tr>
      <w:tr>
        <w:tc>
          <w:tcPr>
            <w:tcW w:type="dxa" w:w="4819"/>
          </w:tcPr>
          <w:p>
            <w:pPr>
              <w:widowControl/>
              <w:spacing w:line="240" w:lineRule="auto" w:before="0" w:after="0"/>
              <w:ind w:firstLine="0"/>
              <w:jc w:val="left"/>
            </w:pPr>
            <w:r/>
          </w:p>
        </w:tc>
      </w:tr>
      <w:tr>
        <w:tc>
          <w:tcPr>
            <w:tcW w:type="dxa" w:w="4819"/>
          </w:tcPr>
          <w:p>
            <w:pPr>
              <w:widowControl/>
              <w:spacing w:line="240" w:lineRule="auto" w:before="0" w:after="0"/>
              <w:ind w:firstLine="0"/>
              <w:jc w:val="left"/>
            </w:pPr>
            <w:r/>
            <w:r>
              <w:rPr>
                <w:rFonts w:ascii="Times New Roman" w:hAnsi="Times New Roman" w:cs="Times New Roman" w:eastAsia="Times New Roman"/>
                <w:b w:val="0"/>
                <w:i w:val="0"/>
                <w:sz w:val="28"/>
              </w:rPr>
              <w:t xml:space="preserve">Проверил: </w:t>
            </w:r>
            <w:r>
              <w:rPr>
                <w:rFonts w:ascii="Times New Roman" w:hAnsi="Times New Roman" w:cs="Times New Roman" w:eastAsia="Times New Roman"/>
                <w:b w:val="0"/>
                <w:i/>
                <w:sz w:val="28"/>
              </w:rPr>
              <w:t>_</w:t>
            </w:r>
            <w:r>
              <w:rPr>
                <w:rFonts w:ascii="Times New Roman" w:hAnsi="Times New Roman" w:cs="Times New Roman" w:eastAsia="Times New Roman"/>
                <w:b w:val="0"/>
                <w:i/>
                <w:sz w:val="28"/>
              </w:rPr>
              <w:t>_</w:t>
            </w:r>
            <w:r>
              <w:rPr>
                <w:rFonts w:ascii="Times New Roman" w:hAnsi="Times New Roman" w:cs="Times New Roman" w:eastAsia="Times New Roman"/>
                <w:b w:val="0"/>
                <w:i/>
                <w:sz w:val="28"/>
              </w:rPr>
              <w:t>_</w:t>
            </w:r>
            <w:r>
              <w:rPr>
                <w:rFonts w:ascii="Times New Roman" w:hAnsi="Times New Roman" w:cs="Times New Roman" w:eastAsia="Times New Roman"/>
                <w:b w:val="0"/>
                <w:i/>
                <w:sz w:val="28"/>
              </w:rPr>
              <w:t>_</w:t>
            </w:r>
            <w:r>
              <w:rPr>
                <w:rFonts w:ascii="Times New Roman" w:hAnsi="Times New Roman" w:cs="Times New Roman" w:eastAsia="Times New Roman"/>
                <w:b w:val="0"/>
                <w:i/>
                <w:sz w:val="28"/>
              </w:rPr>
            </w:r>
          </w:p>
        </w:tc>
      </w:tr>
      <w:tr>
        <w:tc>
          <w:tcPr>
            <w:tcW w:type="dxa" w:w="4819"/>
          </w:tcPr>
          <w:p>
            <w:pPr>
              <w:widowControl/>
              <w:spacing w:line="240" w:lineRule="auto" w:before="0" w:after="0"/>
              <w:ind w:firstLine="0"/>
              <w:jc w:val="center"/>
            </w:pPr>
            <w:r/>
            <w:r>
              <w:rPr>
                <w:rFonts w:ascii="Times New Roman" w:hAnsi="Times New Roman" w:cs="Times New Roman" w:eastAsia="Times New Roman"/>
                <w:b w:val="0"/>
                <w:i w:val="0"/>
                <w:sz w:val="20"/>
              </w:rPr>
              <w:t>(Фамилия, имя, отчество)</w:t>
            </w:r>
          </w:p>
        </w:tc>
      </w:tr>
    </w:tbl>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r>
        <w:rPr>
          <w:rFonts w:ascii="Times New Roman" w:hAnsi="Times New Roman" w:cs="Times New Roman" w:eastAsia="Times New Roman"/>
          <w:b w:val="0"/>
          <w:i w:val="0"/>
          <w:sz w:val="28"/>
        </w:rPr>
        <w:t>Ростов-на-Дону</w:t>
      </w:r>
    </w:p>
    <w:p>
      <w:pPr>
        <w:widowControl/>
        <w:spacing w:line="240" w:lineRule="auto" w:before="0" w:after="0"/>
        <w:ind w:firstLine="0"/>
        <w:jc w:val="center"/>
      </w:pPr>
      <w:r>
        <w:rPr>
          <w:rFonts w:ascii="Times New Roman" w:hAnsi="Times New Roman" w:cs="Times New Roman" w:eastAsia="Times New Roman"/>
          <w:b w:val="0"/>
          <w:i w:val="0"/>
          <w:sz w:val="28"/>
        </w:rPr>
        <w:t>2026</w:t>
      </w:r>
    </w:p>
    <w:p>
      <w:pPr>
        <w:widowControl/>
        <w:spacing w:line="240" w:lineRule="auto" w:before="0" w:after="0"/>
        <w:ind w:firstLine="0"/>
        <w:jc w:val="both"/>
      </w:pPr>
      <w:r>
        <w:rPr>
          <w:rFonts w:ascii="Times New Roman" w:hAnsi="Times New Roman" w:cs="Times New Roman" w:eastAsia="Times New Roman"/>
          <w:b w:val="0"/>
          <w:i w:val="0"/>
          <w:sz w:val="28"/>
        </w:rPr>
        <w:br w:type="page"/>
      </w:r>
    </w:p>
    <w:p>
      <w:pPr>
        <w:keepNext/>
        <w:widowControl/>
        <w:spacing w:line="360" w:lineRule="auto" w:before="240" w:after="240"/>
        <w:ind w:firstLine="0"/>
        <w:jc w:val="center"/>
      </w:pPr>
      <w:r>
        <w:rPr>
          <w:rFonts w:ascii="Times New Roman" w:hAnsi="Times New Roman" w:cs="Times New Roman" w:eastAsia="Times New Roman"/>
          <w:b/>
          <w:i w:val="0"/>
          <w:sz w:val="28"/>
        </w:rPr>
        <w:t xml:space="preserve">ЦЕЛЬ РАБОТЫ</w:t>
      </w:r>
    </w:p>
    <w:p>
      <w:pPr>
        <w:widowControl/>
        <w:spacing w:line="360" w:lineRule="auto" w:before="0" w:after="0"/>
        <w:ind w:firstLine="709"/>
        <w:jc w:val="both"/>
      </w:pPr>
      <w:r>
        <w:rPr>
          <w:rFonts w:ascii="Times New Roman" w:hAnsi="Times New Roman" w:cs="Times New Roman" w:eastAsia="Times New Roman"/>
          <w:b w:val="0"/>
          <w:i w:val="0"/>
          <w:sz w:val="28"/>
        </w:rPr>
        <w:t xml:space="preserve">Изучить современный ландшафт угроз информационному пространству и киберпространству Российской Федерации: методы социальной инженерии, применяемые злоумышленником; состав существующих кибератак и их классификацию по уровням иерархической модели взаимодействия открытых систем (OSI); атаки на беспроводные устройства; уязвимости этапов проектирования, реализации и эксплуатации программного обеспечения; угрозы виртуальной среды, средств контейнеризации Docker и Kubernetes, а также облачных технологий. Рассмотреть возможности современных средств защиты информации — антивирусных средств, межсетевых экранов, средств обнаружения и предотвращения вторжений, средств предотвращения утечек, средств шифрования и систем биометрической аутентификации, — принципы построения ситуационных центров и механизм работы ловушек-приманок (honeypot). Проанализировать наиболее известные кибератаки 2023–2024 гг. в мире и в России, оценить причинённый ими ущерб владельцам информационных ресурсов, государству и гражданам, а также выполнить самостоятельный поиск новейшей учебной и научной литературы по изучаемой тематике.</w:t>
      </w:r>
    </w:p>
    <w:p>
      <w:pPr>
        <w:keepNext/>
        <w:widowControl/>
        <w:spacing w:line="360" w:lineRule="auto" w:before="240" w:after="240"/>
        <w:ind w:firstLine="0"/>
        <w:jc w:val="center"/>
      </w:pPr>
      <w:r>
        <w:rPr>
          <w:rFonts w:ascii="Times New Roman" w:hAnsi="Times New Roman" w:cs="Times New Roman" w:eastAsia="Times New Roman"/>
          <w:b/>
          <w:i w:val="0"/>
          <w:sz w:val="28"/>
        </w:rPr>
        <w:t xml:space="preserve">КРАТКИЕ ТЕОРЕТИЧЕСКИЕ СВЕДЕНИЯ</w:t>
      </w:r>
    </w:p>
    <w:p>
      <w:pPr>
        <w:widowControl/>
        <w:spacing w:line="360" w:lineRule="auto" w:before="0" w:after="0"/>
        <w:ind w:firstLine="709"/>
        <w:jc w:val="both"/>
      </w:pPr>
      <w:r>
        <w:rPr>
          <w:rFonts w:ascii="Times New Roman" w:hAnsi="Times New Roman" w:cs="Times New Roman" w:eastAsia="Times New Roman"/>
          <w:b w:val="0"/>
          <w:i w:val="0"/>
          <w:sz w:val="28"/>
        </w:rPr>
        <w:t xml:space="preserve">Теоретической основой работы являются издания, указанные в задании: А. А. Бирюков «Информационная безопасность: защита и нападение» (3-е изд., ДМК Пресс, 2024), К. Хэднеги «Искусство обмана. Социальная инженерия в мошеннических схемах» (Альпина Паблишер, 2020), Ю. Диогенес и Э. Озкайя «Кибербезопасность: стратегии атак и обороны» (ДМК Пресс, 2020), С. А. Бабин «Лаборатория хакера» (БХВ-Петербург, 2016), а также результаты самостоятельного расширенного поиска материалов в сети Интернет — нормативные документы ФСТЭК и ФСБ России, отчёты российских и зарубежных центров мониторинга киберугроз, публикации в рецензируемых научных журналах.</w:t>
      </w:r>
    </w:p>
    <w:p>
      <w:pPr>
        <w:widowControl/>
        <w:spacing w:line="360" w:lineRule="auto" w:before="0" w:after="0"/>
        <w:ind w:firstLine="709"/>
        <w:jc w:val="both"/>
      </w:pPr>
      <w:r>
        <w:rPr>
          <w:rFonts w:ascii="Times New Roman" w:hAnsi="Times New Roman" w:cs="Times New Roman" w:eastAsia="Times New Roman"/>
          <w:b w:val="0"/>
          <w:i/>
          <w:sz w:val="28"/>
        </w:rPr>
        <w:t xml:space="preserve">Информационное пространство</w:t>
      </w:r>
      <w:r>
        <w:rPr>
          <w:rFonts w:ascii="Times New Roman" w:hAnsi="Times New Roman" w:cs="Times New Roman" w:eastAsia="Times New Roman"/>
          <w:b w:val="0"/>
          <w:i w:val="0"/>
          <w:sz w:val="28"/>
        </w:rPr>
        <w:t xml:space="preserve"> понимается как совокупность информационных ресурсов, информационной инфраструктуры, субъектов, осуществляющих сбор, формирование, распространение и использование информации, а также системы регулирования возникающих при этом общественных отношений. </w:t>
      </w:r>
      <w:r>
        <w:rPr>
          <w:rFonts w:ascii="Times New Roman" w:hAnsi="Times New Roman" w:cs="Times New Roman" w:eastAsia="Times New Roman"/>
          <w:b w:val="0"/>
          <w:i/>
          <w:sz w:val="28"/>
        </w:rPr>
        <w:t xml:space="preserve">Киберпространство</w:t>
      </w:r>
      <w:r>
        <w:rPr>
          <w:rFonts w:ascii="Times New Roman" w:hAnsi="Times New Roman" w:cs="Times New Roman" w:eastAsia="Times New Roman"/>
          <w:b w:val="0"/>
          <w:i w:val="0"/>
          <w:sz w:val="28"/>
        </w:rPr>
        <w:t xml:space="preserve"> — его технологическая составляющая, образуемая совокупностью взаимосвязанных информационных систем, сетей связи, автоматизированных систем управления и обрабатываемых в них данных. Именно киберпространство рассматривается сегодня как самостоятельная сфера противоборства наряду с наземной, морской, воздушной и космической.</w:t>
      </w:r>
    </w:p>
    <w:p>
      <w:pPr>
        <w:widowControl/>
        <w:spacing w:line="360" w:lineRule="auto" w:before="0" w:after="0"/>
        <w:ind w:firstLine="709"/>
        <w:jc w:val="both"/>
      </w:pPr>
      <w:r>
        <w:rPr>
          <w:rFonts w:ascii="Times New Roman" w:hAnsi="Times New Roman" w:cs="Times New Roman" w:eastAsia="Times New Roman"/>
          <w:b w:val="0"/>
          <w:i w:val="0"/>
          <w:sz w:val="28"/>
        </w:rPr>
        <w:t xml:space="preserve">Базовыми понятиями предметной области выступают </w:t>
      </w:r>
      <w:r>
        <w:rPr>
          <w:rFonts w:ascii="Times New Roman" w:hAnsi="Times New Roman" w:cs="Times New Roman" w:eastAsia="Times New Roman"/>
          <w:b w:val="0"/>
          <w:i/>
          <w:sz w:val="28"/>
        </w:rPr>
        <w:t xml:space="preserve">угроза</w:t>
      </w:r>
      <w:r>
        <w:rPr>
          <w:rFonts w:ascii="Times New Roman" w:hAnsi="Times New Roman" w:cs="Times New Roman" w:eastAsia="Times New Roman"/>
          <w:b w:val="0"/>
          <w:i w:val="0"/>
          <w:sz w:val="28"/>
        </w:rPr>
        <w:t xml:space="preserve"> — потенциально возможное событие или действие, способное нанести ущерб субъектам информационных отношений; </w:t>
      </w:r>
      <w:r>
        <w:rPr>
          <w:rFonts w:ascii="Times New Roman" w:hAnsi="Times New Roman" w:cs="Times New Roman" w:eastAsia="Times New Roman"/>
          <w:b w:val="0"/>
          <w:i/>
          <w:sz w:val="28"/>
        </w:rPr>
        <w:t xml:space="preserve">уязвимость</w:t>
      </w:r>
      <w:r>
        <w:rPr>
          <w:rFonts w:ascii="Times New Roman" w:hAnsi="Times New Roman" w:cs="Times New Roman" w:eastAsia="Times New Roman"/>
          <w:b w:val="0"/>
          <w:i w:val="0"/>
          <w:sz w:val="28"/>
        </w:rPr>
        <w:t xml:space="preserve"> — недостаток архитектуры, реализации или эксплуатации системы, использование которого позволяет реализовать угрозу; </w:t>
      </w:r>
      <w:r>
        <w:rPr>
          <w:rFonts w:ascii="Times New Roman" w:hAnsi="Times New Roman" w:cs="Times New Roman" w:eastAsia="Times New Roman"/>
          <w:b w:val="0"/>
          <w:i/>
          <w:sz w:val="28"/>
        </w:rPr>
        <w:t xml:space="preserve">атака</w:t>
      </w:r>
      <w:r>
        <w:rPr>
          <w:rFonts w:ascii="Times New Roman" w:hAnsi="Times New Roman" w:cs="Times New Roman" w:eastAsia="Times New Roman"/>
          <w:b w:val="0"/>
          <w:i w:val="0"/>
          <w:sz w:val="28"/>
        </w:rPr>
        <w:t xml:space="preserve"> — целенаправленное действие по реализации угрозы с использованием уязвимости. Защищаемыми свойствами информации остаются конфиденциальность, целостность и доступность (триада C-I-A), дополняемые подотчётностью, аутентичностью и неотказуемостью.</w:t>
      </w:r>
    </w:p>
    <w:p>
      <w:pPr>
        <w:widowControl/>
        <w:spacing w:line="360" w:lineRule="auto" w:before="0" w:after="0"/>
        <w:ind w:firstLine="709"/>
        <w:jc w:val="both"/>
      </w:pPr>
      <w:r>
        <w:rPr>
          <w:rFonts w:ascii="Times New Roman" w:hAnsi="Times New Roman" w:cs="Times New Roman" w:eastAsia="Times New Roman"/>
          <w:b w:val="0"/>
          <w:i w:val="0"/>
          <w:sz w:val="28"/>
        </w:rPr>
        <w:t xml:space="preserve">Для описания хода атак применяются модель </w:t>
      </w:r>
      <w:r>
        <w:rPr>
          <w:rFonts w:ascii="Times New Roman" w:hAnsi="Times New Roman" w:cs="Times New Roman" w:eastAsia="Times New Roman"/>
          <w:b w:val="0"/>
          <w:i/>
          <w:sz w:val="28"/>
        </w:rPr>
        <w:t xml:space="preserve">Cyber Kill Chain</w:t>
      </w:r>
      <w:r>
        <w:rPr>
          <w:rFonts w:ascii="Times New Roman" w:hAnsi="Times New Roman" w:cs="Times New Roman" w:eastAsia="Times New Roman"/>
          <w:b w:val="0"/>
          <w:i w:val="0"/>
          <w:sz w:val="28"/>
        </w:rPr>
        <w:t xml:space="preserve"> компании Lockheed Martin (разведка, вооружение, доставка, эксплуатация, установка, управление, действия по достижению цели) и матрица </w:t>
      </w:r>
      <w:r>
        <w:rPr>
          <w:rFonts w:ascii="Times New Roman" w:hAnsi="Times New Roman" w:cs="Times New Roman" w:eastAsia="Times New Roman"/>
          <w:b w:val="0"/>
          <w:i/>
          <w:sz w:val="28"/>
        </w:rPr>
        <w:t xml:space="preserve">MITRE ATT&amp;CK</w:t>
      </w:r>
      <w:r>
        <w:rPr>
          <w:rFonts w:ascii="Times New Roman" w:hAnsi="Times New Roman" w:cs="Times New Roman" w:eastAsia="Times New Roman"/>
          <w:b w:val="0"/>
          <w:i w:val="0"/>
          <w:sz w:val="28"/>
        </w:rPr>
        <w:t xml:space="preserve">, систематизирующая тактики и техники противника; для количественной оценки уязвимостей — метрики CVSS, для их идентификации — базы CVE, CWE и CAPEC, а в Российской Федерации — Банк данных угроз безопасности информации (БДУ) ФСТЭК России. Нормативную основу обеспечения безопасности составляют Доктрина информационной безопасности Российской Федерации (утв. Указом Президента РФ от 05.12.2016 № 646), Федеральный закон от 27.07.2006 № 149-ФЗ, Федеральный закон от 26.07.2017 № 187-ФЗ о безопасности критической информационной инфраструктуры, приказы ФСТЭК России № 17, № 21, № 239 и № 31, а также организационная структура ГосСОПКА во главе с НКЦКИ.</w:t>
      </w:r>
    </w:p>
    <w:p>
      <w:pPr>
        <w:widowControl/>
        <w:spacing w:line="360" w:lineRule="auto" w:before="0" w:after="0"/>
        <w:ind w:firstLine="709"/>
        <w:jc w:val="both"/>
      </w:pPr>
      <w:r>
        <w:rPr>
          <w:rFonts w:ascii="Times New Roman" w:hAnsi="Times New Roman" w:cs="Times New Roman" w:eastAsia="Times New Roman"/>
          <w:b w:val="0"/>
          <w:i w:val="0"/>
          <w:sz w:val="28"/>
        </w:rPr>
        <w:t xml:space="preserve">Масштаб проблемы характеризуется следующими оценками: по данным компании Cybersecurity Ventures совокупный мировой ущерб от киберпреступности составил порядка 8 трлн долл. США в 2023 г. и порядка 9,5 трлн долл. в 2024 г.; по отчёту IBM «Cost of a Data Breach Report 2024» средняя стоимость одной утечки данных достигла 4,88 млн долл. (рост около 10 % за год); по данным МВД России в 2024 г. в стране зарегистрировано порядка 765 тыс. преступлений, совершённых с использованием информационных технологий, что составляет около 40 % всех зарегистрированных преступлений.</w:t>
      </w:r>
    </w:p>
    <w:p>
      <w:pPr>
        <w:widowControl/>
        <w:spacing w:line="240" w:lineRule="auto" w:before="0" w:after="0"/>
        <w:ind w:firstLine="0"/>
        <w:jc w:val="both"/>
      </w:pPr>
      <w:r>
        <w:rPr>
          <w:rFonts w:ascii="Times New Roman" w:hAnsi="Times New Roman" w:cs="Times New Roman" w:eastAsia="Times New Roman"/>
          <w:b w:val="0"/>
          <w:i w:val="0"/>
          <w:sz w:val="28"/>
        </w:rPr>
        <w:br w:type="page"/>
      </w:r>
    </w:p>
    <w:p>
      <w:pPr>
        <w:keepNext/>
        <w:widowControl/>
        <w:spacing w:line="360" w:lineRule="auto" w:before="240" w:after="240"/>
        <w:ind w:firstLine="0"/>
        <w:jc w:val="center"/>
      </w:pPr>
      <w:r>
        <w:rPr>
          <w:rFonts w:ascii="Times New Roman" w:hAnsi="Times New Roman" w:cs="Times New Roman" w:eastAsia="Times New Roman"/>
          <w:b/>
          <w:i w:val="0"/>
          <w:sz w:val="28"/>
        </w:rPr>
        <w:t xml:space="preserve">ОТВЕТЫ НА КОНТРОЛЬНЫЕ ВОПРОСЫ</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1. Социальная инженерия и её методы, применяемые злоумышленником.</w:t>
      </w:r>
    </w:p>
    <w:p>
      <w:pPr>
        <w:widowControl/>
        <w:spacing w:line="360" w:lineRule="auto" w:before="0" w:after="0"/>
        <w:ind w:firstLine="709"/>
        <w:jc w:val="both"/>
      </w:pPr>
      <w:r>
        <w:rPr>
          <w:rFonts w:ascii="Times New Roman" w:hAnsi="Times New Roman" w:cs="Times New Roman" w:eastAsia="Times New Roman"/>
          <w:b w:val="0"/>
          <w:i/>
          <w:sz w:val="28"/>
        </w:rPr>
        <w:t xml:space="preserve">Социальная инженерия</w:t>
      </w:r>
      <w:r>
        <w:rPr>
          <w:rFonts w:ascii="Times New Roman" w:hAnsi="Times New Roman" w:cs="Times New Roman" w:eastAsia="Times New Roman"/>
          <w:b w:val="0"/>
          <w:i w:val="0"/>
          <w:sz w:val="28"/>
        </w:rPr>
        <w:t xml:space="preserve"> — совокупность методов психологического манипулирования человеком, применяемых для того, чтобы побудить его совершить действия или раскрыть сведения в интересах злоумышленника. В отличие от технических атак, направленных на уязвимости программного и аппаратного обеспечения, социальная инженерия эксплуатирует свойства человеческой психики, которые невозможно «пропатчить», из-за чего человек устойчиво остаётся наиболее уязвимым звеном системы защиты. Систематическое описание методов дано в работах К. Митника и К. Хэднеги; в матрице MITRE ATT&amp;CK соответствующие техники отнесены к тактике первичного доступа (T1566 «Phishing», T1598 «Phishing for Information», T1204 «User Execution»).</w:t>
      </w:r>
    </w:p>
    <w:p>
      <w:pPr>
        <w:widowControl/>
        <w:spacing w:line="360" w:lineRule="auto" w:before="0" w:after="0"/>
        <w:ind w:firstLine="709"/>
        <w:jc w:val="both"/>
      </w:pPr>
      <w:r>
        <w:rPr>
          <w:rFonts w:ascii="Times New Roman" w:hAnsi="Times New Roman" w:cs="Times New Roman" w:eastAsia="Times New Roman"/>
          <w:b w:val="0"/>
          <w:i w:val="0"/>
          <w:sz w:val="28"/>
        </w:rPr>
        <w:t xml:space="preserve">Актуальность проблемы подтверждается статистикой: по отчёту Verizon «Data Breach Investigations Report 2024» человеческий фактор присутствует примерно в 68 % проанализированных инцидентов, а фишинг и использование украденных учётных данных входят в три ведущих вектора первичного доступа. По данным Центра приёма жалоб на интернет-преступность ФБР (IC3) заявленный ущерб только от схем компрометации деловой переписки (BEC) составил в 2023 г. около 2,9 млрд долл. США.</w:t>
      </w:r>
    </w:p>
    <w:p>
      <w:pPr>
        <w:keepNext/>
        <w:widowControl/>
        <w:spacing w:line="360" w:lineRule="auto" w:before="160" w:after="40"/>
        <w:ind w:firstLine="709"/>
        <w:jc w:val="both"/>
      </w:pPr>
      <w:r>
        <w:rPr>
          <w:rFonts w:ascii="Times New Roman" w:hAnsi="Times New Roman" w:cs="Times New Roman" w:eastAsia="Times New Roman"/>
          <w:b/>
          <w:i/>
          <w:sz w:val="28"/>
        </w:rPr>
        <w:t xml:space="preserve">Психологические основания социальной инженерии</w:t>
      </w:r>
    </w:p>
    <w:p>
      <w:pPr>
        <w:widowControl/>
        <w:spacing w:line="360" w:lineRule="auto" w:before="0" w:after="0"/>
        <w:ind w:firstLine="709"/>
        <w:jc w:val="both"/>
      </w:pPr>
      <w:r>
        <w:rPr>
          <w:rFonts w:ascii="Times New Roman" w:hAnsi="Times New Roman" w:cs="Times New Roman" w:eastAsia="Times New Roman"/>
          <w:b w:val="0"/>
          <w:i w:val="0"/>
          <w:sz w:val="28"/>
        </w:rPr>
        <w:t xml:space="preserve">Атакующий опирается на устойчивые механизмы принятия решений, описанные Р. Чалдини, и на типовые когнитивные искажения: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авторитет</w:t>
      </w:r>
      <w:r>
        <w:rPr>
          <w:rFonts w:ascii="Times New Roman" w:hAnsi="Times New Roman" w:cs="Times New Roman" w:eastAsia="Times New Roman"/>
          <w:b w:val="0"/>
          <w:i w:val="0"/>
          <w:sz w:val="28"/>
        </w:rPr>
        <w:t xml:space="preserve"> — сообщение исходит от руководителя, регулятора, правоохранительного органа, службы поддержки, что подавляет критическую оценку;</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дефицит и срочность</w:t>
      </w:r>
      <w:r>
        <w:rPr>
          <w:rFonts w:ascii="Times New Roman" w:hAnsi="Times New Roman" w:cs="Times New Roman" w:eastAsia="Times New Roman"/>
          <w:b w:val="0"/>
          <w:i w:val="0"/>
          <w:sz w:val="28"/>
        </w:rPr>
        <w:t xml:space="preserve"> — искусственное ограничение времени («счёт будет заблокирован в течение часа») исключает возможность проверки и консультации с коллегами;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взаимный обмен и обязательство</w:t>
      </w:r>
      <w:r>
        <w:rPr>
          <w:rFonts w:ascii="Times New Roman" w:hAnsi="Times New Roman" w:cs="Times New Roman" w:eastAsia="Times New Roman"/>
          <w:b w:val="0"/>
          <w:i w:val="0"/>
          <w:sz w:val="28"/>
        </w:rPr>
        <w:t xml:space="preserve"> — предварительная мелкая услуга или полученное согласие делают отказ психологически затруднительным;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социальное доказательство</w:t>
      </w:r>
      <w:r>
        <w:rPr>
          <w:rFonts w:ascii="Times New Roman" w:hAnsi="Times New Roman" w:cs="Times New Roman" w:eastAsia="Times New Roman"/>
          <w:b w:val="0"/>
          <w:i w:val="0"/>
          <w:sz w:val="28"/>
        </w:rPr>
        <w:t xml:space="preserve"> — ссылка на то, что «все коллеги уже подтвердили»;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симпатия и сходство</w:t>
      </w:r>
      <w:r>
        <w:rPr>
          <w:rFonts w:ascii="Times New Roman" w:hAnsi="Times New Roman" w:cs="Times New Roman" w:eastAsia="Times New Roman"/>
          <w:b w:val="0"/>
          <w:i w:val="0"/>
          <w:sz w:val="28"/>
        </w:rPr>
        <w:t xml:space="preserve"> — общие интересы, землячество, профессиональное сообщество, выявленные по открытым источникам;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сильные эмоции</w:t>
      </w:r>
      <w:r>
        <w:rPr>
          <w:rFonts w:ascii="Times New Roman" w:hAnsi="Times New Roman" w:cs="Times New Roman" w:eastAsia="Times New Roman"/>
          <w:b w:val="0"/>
          <w:i w:val="0"/>
          <w:sz w:val="28"/>
        </w:rPr>
        <w:t xml:space="preserve"> — страх (утрата денег, уголовное преследование), любопытство («ведомость по премиям»), жадность (выигрыш, лёгкий доход), желание помочь.</w:t>
      </w:r>
    </w:p>
    <w:p>
      <w:pPr>
        <w:keepNext/>
        <w:widowControl/>
        <w:spacing w:line="360" w:lineRule="auto" w:before="160" w:after="40"/>
        <w:ind w:firstLine="709"/>
        <w:jc w:val="both"/>
      </w:pPr>
      <w:r>
        <w:rPr>
          <w:rFonts w:ascii="Times New Roman" w:hAnsi="Times New Roman" w:cs="Times New Roman" w:eastAsia="Times New Roman"/>
          <w:b/>
          <w:i/>
          <w:sz w:val="28"/>
        </w:rPr>
        <w:t xml:space="preserve">Этапы атаки методами социальной инженерии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 xml:space="preserve">Сбор информации (OSINT).</w:t>
      </w:r>
      <w:r>
        <w:rPr>
          <w:rFonts w:ascii="Times New Roman" w:hAnsi="Times New Roman" w:cs="Times New Roman" w:eastAsia="Times New Roman"/>
          <w:b w:val="0"/>
          <w:i w:val="0"/>
          <w:sz w:val="28"/>
        </w:rPr>
        <w:t xml:space="preserve"> Изучаются сайт и структура организации, публикации в социальных и профессиональных сетях, объявления о вакансиях, метаданные опубликованных документов, сведения из ЕГРЮЛ и государственных закупок, данные из ранее произошедших утечек. Формируется перечень сотрудников, их роли, служебные адреса, применяемое программное обеспечение и подрядчики.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 xml:space="preserve">Построение доверительных отношений (претекстинг).</w:t>
      </w:r>
      <w:r>
        <w:rPr>
          <w:rFonts w:ascii="Times New Roman" w:hAnsi="Times New Roman" w:cs="Times New Roman" w:eastAsia="Times New Roman"/>
          <w:b w:val="0"/>
          <w:i w:val="0"/>
          <w:sz w:val="28"/>
        </w:rPr>
        <w:t xml:space="preserve"> Разрабатывается легенда и роль: сотрудник ИТ-поддержки, аудитор, курьер, кандидат на вакансию, представитель контрагента. Легенда подкрепляется технически: похожий домен, поддельная подпись в письме, подменённый номер вызывающего абонента (caller ID spoofing).</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 xml:space="preserve">Эксплуатация.</w:t>
      </w:r>
      <w:r>
        <w:rPr>
          <w:rFonts w:ascii="Times New Roman" w:hAnsi="Times New Roman" w:cs="Times New Roman" w:eastAsia="Times New Roman"/>
          <w:b w:val="0"/>
          <w:i w:val="0"/>
          <w:sz w:val="28"/>
        </w:rPr>
        <w:t xml:space="preserve"> Жертву побуждают к целевому действию: переход по ссылке и ввод учётных данных, открытие вложения, сообщение одноразового кода, изменение платёжных реквизитов, подключение носителя, предоставление доступа в помещение.</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i w:val="0"/>
          <w:sz w:val="28"/>
        </w:rPr>
        <w:t xml:space="preserve">Достижение цели и выход.</w:t>
      </w:r>
      <w:r>
        <w:rPr>
          <w:rFonts w:ascii="Times New Roman" w:hAnsi="Times New Roman" w:cs="Times New Roman" w:eastAsia="Times New Roman"/>
          <w:b w:val="0"/>
          <w:i w:val="0"/>
          <w:sz w:val="28"/>
        </w:rPr>
        <w:t xml:space="preserve"> Полученный доступ закрепляется техническими средствами (создание учётной записи, регистрация собственного средства многофакторной аутентификации, установка средства удалённого управления), следы контакта устраняются, у жертвы формируется убеждение, что взаимодействие было легитимным.</w:t>
      </w:r>
    </w:p>
    <w:p>
      <w:pPr>
        <w:keepNext/>
        <w:widowControl/>
        <w:spacing w:line="360" w:lineRule="auto" w:before="160" w:after="40"/>
        <w:ind w:firstLine="709"/>
        <w:jc w:val="both"/>
      </w:pPr>
      <w:r>
        <w:rPr>
          <w:rFonts w:ascii="Times New Roman" w:hAnsi="Times New Roman" w:cs="Times New Roman" w:eastAsia="Times New Roman"/>
          <w:b/>
          <w:i/>
          <w:sz w:val="28"/>
        </w:rPr>
        <w:t xml:space="preserve">Основные методы, применяемые злоумышленником</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1 – Основные методы социальной инженерии</w:t>
      </w:r>
    </w:p>
    <w:tbl>
      <w:tblPr>
        <w:tblStyle w:val="TableGrid"/>
        <w:tblW w:type="auto" w:w="0"/>
        <w:jc w:val="center"/>
        <w:tblLayout w:type="fixed"/>
        <w:tblLook w:firstColumn="1" w:firstRow="1" w:lastColumn="0" w:lastRow="0" w:noHBand="0" w:noVBand="1" w:val="04A0"/>
      </w:tblPr>
      <w:tblGrid>
        <w:gridCol w:w="1900"/>
        <w:gridCol w:w="4155"/>
        <w:gridCol w:w="3300"/>
      </w:tblGrid>
      <w:tr>
        <w:trPr>
          <w:tblHeader/>
        </w:trPr>
        <w:tc>
          <w:tcPr>
            <w:tcW w:type="dxa" w:w="19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Метод</w:t>
            </w:r>
          </w:p>
        </w:tc>
        <w:tc>
          <w:tcPr>
            <w:tcW w:type="dxa" w:w="41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Содержание</w:t>
            </w:r>
          </w:p>
        </w:tc>
        <w:tc>
          <w:tcPr>
            <w:tcW w:type="dxa" w:w="33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Канал реализации, пример</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Фишинг (phishing)</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Массовая рассылка поддельных сообщений от имени доверенного отправителя с целью получения учётных данных или запуска вредоносного кода</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Электронная почта, поддельные страницы аутентификации</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Спирфишинг, whaling</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Адресная рассылка, подготовленная по результатам OSINT под конкретного сотрудника; whaling — против руководителей высшего звена</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Письмо «от генерального директора» главному бухгалтеру</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Компрометация деловой переписки (BEC)</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Внедрение в переписку с контрагентом, подмена платёжных реквизитов, поддельные счета и распоряжения о переводе</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данным ФБР (IC3), ущерб от BEC в 2023 г. — около 2,9 млрд долл.</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Вишинг (vishing)</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Телефонный звонок от «службы безопасности банка», «сотрудника полиции», «оператора связи» с подменой номера</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Схема «безопасного счёта», «отмена заявки на кредит»</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Смишинг и квишинг</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SMS, сообщения в мессенджерах и QR-коды, ведущие на фишинговые ресурсы; в 2023–2024 гг. отмечен резкий рост квишинга</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Поддельные QR-коды на платёжных документах и парковочных стойках</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Претекстинг (pretexting)</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Заранее подготовленная легенда и роль, обеспечивающие право задавать вопросы и требовать действий</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Звонок «системного администратора» с просьбой сообщить код подтверждения</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Приманка (baiting)</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Оставленный носитель или «бесплатный» файл, содержащий вредоносный код или аппаратную закладку</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USB-накопитель в холле офиса, устройства класса BadUSB</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Quid pro quo</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Обещание услуги, вознаграждения или помощи в обмен на сведения либо действие</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«Ускорение работы компьютера» в обмен на удалённый доступ</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Тейлгейтинг, piggybacking</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Проход в контролируемую зону вслед за сотрудником, использование вежливости и нежелания вступать в конфликт</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Обход системы контроля доступа без предъявления пропуска</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Shoulder surfing, dumpster diving</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Наблюдение за вводом данных; анализ выброшенных документов, черновиков и носителей информации</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Просмотр экрана в транспорте, извлечение документов из мусорных контейнеров</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Watering hole</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Заражение легитимного ресурса, регулярно посещаемого целевой группой, без прямого контакта с жертвой</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Отраслевой портал, профессиональный форум, сайт регулятора</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AiTM-фишинг и MFA fatigue</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Прокси-перехват сеанса в реальном времени с обходом второго фактора; лавинообразная отправка push-запросов до подтверждения</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Наборы Evilginx2, Tycoon 2FA, EvilProxy; инцидент Uber (2022)</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Дипфейк-атаки</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Синтез голоса и видеообраза руководителя для подтверждения платежа или распоряжения</w:t>
            </w:r>
          </w:p>
        </w:tc>
        <w:tc>
          <w:tcPr>
            <w:tcW w:type="dxa" w:w="33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Инженерная компания Arup, февраль 2024 г. — перевод около 25,6 млн долл.</w:t>
            </w:r>
          </w:p>
        </w:tc>
      </w:tr>
    </w:tbl>
    <w:p>
      <w:pPr>
        <w:keepNext/>
        <w:widowControl/>
        <w:spacing w:line="360" w:lineRule="auto" w:before="160" w:after="40"/>
        <w:ind w:firstLine="709"/>
        <w:jc w:val="both"/>
      </w:pPr>
      <w:r>
        <w:rPr>
          <w:rFonts w:ascii="Times New Roman" w:hAnsi="Times New Roman" w:cs="Times New Roman" w:eastAsia="Times New Roman"/>
          <w:b/>
          <w:i/>
          <w:sz w:val="28"/>
        </w:rPr>
        <w:t xml:space="preserve">Социальная инженерия с применением искусственного интеллекта</w:t>
      </w:r>
    </w:p>
    <w:p>
      <w:pPr>
        <w:widowControl/>
        <w:spacing w:line="360" w:lineRule="auto" w:before="0" w:after="0"/>
        <w:ind w:firstLine="709"/>
        <w:jc w:val="both"/>
      </w:pPr>
      <w:r>
        <w:rPr>
          <w:rFonts w:ascii="Times New Roman" w:hAnsi="Times New Roman" w:cs="Times New Roman" w:eastAsia="Times New Roman"/>
          <w:b w:val="0"/>
          <w:i w:val="0"/>
          <w:sz w:val="28"/>
        </w:rPr>
        <w:t xml:space="preserve">В 2023–2024 гг. качественным изменением стало массовое применение генеративных моделей. Большие языковые модели позволяют без ошибок и на любом языке готовить письма, стилистически соответствующие деловой переписке конкретной организации, что лишает силы традиционный признак фишинга — безграмотность текста; в теневом сегменте распространяются сервисы вида WormGPT и FraudGPT, лишённые ограничений. Синтез речи по нескольким секундам записи и генерация видео позволили проводить атаки в режиме видеоконференции: наиболее известным примером стал инцидент в гонконгском подразделении компании Arup (февраль 2024 г.), когда сотрудник финансовой службы после видеозвонка с поддельными «коллегами» выполнил переводы на сумму около 25,6 млн долл. США. Дополнительно получили распространение техника ClickFix (поддельное сообщение об ошибке или проверке CAPTCHA, предлагающее самостоятельно вставить и выполнить команду в интерпретаторе) и поддельные обновления браузера (SocGholish).</w:t>
      </w:r>
    </w:p>
    <w:p>
      <w:pPr>
        <w:keepNext/>
        <w:widowControl/>
        <w:spacing w:line="360" w:lineRule="auto" w:before="160" w:after="40"/>
        <w:ind w:firstLine="709"/>
        <w:jc w:val="both"/>
      </w:pPr>
      <w:r>
        <w:rPr>
          <w:rFonts w:ascii="Times New Roman" w:hAnsi="Times New Roman" w:cs="Times New Roman" w:eastAsia="Times New Roman"/>
          <w:b/>
          <w:i/>
          <w:sz w:val="28"/>
        </w:rPr>
        <w:t xml:space="preserve">Российская специфика</w:t>
      </w:r>
    </w:p>
    <w:p>
      <w:pPr>
        <w:widowControl/>
        <w:spacing w:line="360" w:lineRule="auto" w:before="0" w:after="0"/>
        <w:ind w:firstLine="709"/>
        <w:jc w:val="both"/>
      </w:pPr>
      <w:r>
        <w:rPr>
          <w:rFonts w:ascii="Times New Roman" w:hAnsi="Times New Roman" w:cs="Times New Roman" w:eastAsia="Times New Roman"/>
          <w:b w:val="0"/>
          <w:i w:val="0"/>
          <w:sz w:val="28"/>
        </w:rPr>
        <w:t xml:space="preserve">В Российской Федерации основной массовой формой социальной инженерии остаётся телефонное и мессенджер-мошенничество. Типовые сценарии: звонок «сотрудника банка» или «Банка России» о подозрительной операции с последующим переводом средств на «безопасный счёт»; «отмена заявки на кредит, оформленной мошенниками»; звонок «сотрудника полиции или ФСБ» с угрозой уголовного преследования за «финансирование недружественных структур»; выманивание кодов подтверждения под видом голосования, доставки, опроса или подтверждения записи в государственный сервис; угон аккаунтов в мессенджерах с последующей рассылкой просьб о помощи от имени владельца; поддельные уведомления портала государственных услуг; вербовка «дропперов» и курьеров через объявления о лёгком заработке. Всё чаще применяется многоэтапная схема с участием нескольких «ролей» (оператор, «руководитель», «следователь»), что повышает убедительность легенды.</w:t>
      </w:r>
    </w:p>
    <w:p>
      <w:pPr>
        <w:keepNext/>
        <w:widowControl/>
        <w:spacing w:line="360" w:lineRule="auto" w:before="160" w:after="40"/>
        <w:ind w:firstLine="709"/>
        <w:jc w:val="both"/>
      </w:pPr>
      <w:r>
        <w:rPr>
          <w:rFonts w:ascii="Times New Roman" w:hAnsi="Times New Roman" w:cs="Times New Roman" w:eastAsia="Times New Roman"/>
          <w:b/>
          <w:i/>
          <w:sz w:val="28"/>
        </w:rPr>
        <w:t xml:space="preserve">Методы противодействия</w:t>
      </w:r>
    </w:p>
    <w:p>
      <w:pPr>
        <w:widowControl/>
        <w:spacing w:line="360" w:lineRule="auto" w:before="0" w:after="0"/>
        <w:ind w:firstLine="709"/>
        <w:jc w:val="both"/>
      </w:pPr>
      <w:r>
        <w:rPr>
          <w:rFonts w:ascii="Times New Roman" w:hAnsi="Times New Roman" w:cs="Times New Roman" w:eastAsia="Times New Roman"/>
          <w:b w:val="0"/>
          <w:i w:val="0"/>
          <w:sz w:val="28"/>
        </w:rPr>
        <w:t xml:space="preserve">Противодействие социальной инженерии носит комплексный характер и не может быть обеспечено исключительно техническими средствами.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Организационные меры:</w:t>
      </w:r>
      <w:r>
        <w:rPr>
          <w:rFonts w:ascii="Times New Roman" w:hAnsi="Times New Roman" w:cs="Times New Roman" w:eastAsia="Times New Roman"/>
          <w:b w:val="0"/>
          <w:i w:val="0"/>
          <w:sz w:val="28"/>
        </w:rPr>
        <w:t xml:space="preserve"> регламент подтверждения финансовых операций и изменения реквизитов по независимому каналу (обратный звонок по заранее известному номеру, принцип «четырёх глаз»); запрет сообщать аутентификационные данные и одноразовые коды кому бы то ни было; порядок идентификации звонящего; классификация информации и правила её передачи; пропускной режим, сопровождение посетителей, политика «чистого стола и чистого экрана»; безопасное уничтожение документов и носителей; контроль подрядчиков.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Обучение и киберграмотность:</w:t>
      </w:r>
      <w:r>
        <w:rPr>
          <w:rFonts w:ascii="Times New Roman" w:hAnsi="Times New Roman" w:cs="Times New Roman" w:eastAsia="Times New Roman"/>
          <w:b w:val="0"/>
          <w:i w:val="0"/>
          <w:sz w:val="28"/>
        </w:rPr>
        <w:t xml:space="preserve"> регулярные тренинги с разбором актуальных схем, имитационные фишинговые рассылки с измерением доли переходов и доли сообщений о подозрительных письмах, микрообучение по результатам ошибок, культура ненаказуемого сообщения об инциденте (сотрудник, сообщивший о совершённой ошибке, не подвергается взысканию, иначе о инцидентах перестают сообщать). Применяются платформы Security Awareness (Kaspersky ASAP, Start X, Phishman, KnowBe4).</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Технические меры:</w:t>
      </w:r>
      <w:r>
        <w:rPr>
          <w:rFonts w:ascii="Times New Roman" w:hAnsi="Times New Roman" w:cs="Times New Roman" w:eastAsia="Times New Roman"/>
          <w:b w:val="0"/>
          <w:i w:val="0"/>
          <w:sz w:val="28"/>
        </w:rPr>
        <w:t xml:space="preserve"> аутентификация почтовых отправителей средствами SPF, DKIM и DMARC с политикой отклонения, маркировка внешних писем предупреждающим баннером; шлюзы защиты электронной почты с песочницей для вложений и детонацией ссылок; фильтрация DNS и блокировка вновь зарегистрированных доменов; запрет макросов из недоверенных источников и контроль запуска приложений; средства EDR/XDR; переход на фишинг-устойчивые факторы аутентификации (FIDO2/WebAuthn, passkeys), привязанные к домену, вместо одноразовых кодов в SMS; политики условного доступа; минимизация привилегий и сегментация сети для ограничения последствий; средства предотвращения утечек; контроль подключения съёмных носителей; регистрация похожих доменных имён и мониторинг бренда.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Правовые меры:</w:t>
      </w:r>
      <w:r>
        <w:rPr>
          <w:rFonts w:ascii="Times New Roman" w:hAnsi="Times New Roman" w:cs="Times New Roman" w:eastAsia="Times New Roman"/>
          <w:b w:val="0"/>
          <w:i w:val="0"/>
          <w:sz w:val="28"/>
        </w:rPr>
        <w:t xml:space="preserve"> статьи 159, 272–274.1 Уголовного кодекса Российской Федерации; Федеральный закон от 24.07.2023 № 369-ФЗ, установивший с 25 июля 2024 г. обязанность банка приостанавливать подозрительный перевод на два дня («период охлаждения») и возвращать средства, переведённые на счёт из базы данных Банка России; Федеральные законы от 30.11.2024 № 420-ФЗ и № 421-ФЗ, введшие оборотные административные штрафы за утечки персональных данных и статью 272.1 Уголовного кодекса о незаконном использовании персональных данных.</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2. Перечень существующих сегодня кибератак. Модель Open System Interconnection (OSI), и классификация современных кибератак по уровням иерархической модели OSI. Назовите возможные атаки каждого уровня.</w:t>
      </w:r>
    </w:p>
    <w:p>
      <w:pPr>
        <w:widowControl/>
        <w:spacing w:line="360" w:lineRule="auto" w:before="0" w:after="0"/>
        <w:ind w:firstLine="709"/>
        <w:jc w:val="both"/>
      </w:pPr>
      <w:r>
        <w:rPr>
          <w:rFonts w:ascii="Times New Roman" w:hAnsi="Times New Roman" w:cs="Times New Roman" w:eastAsia="Times New Roman"/>
          <w:b w:val="0"/>
          <w:i/>
          <w:sz w:val="28"/>
        </w:rPr>
        <w:t xml:space="preserve">Кибератака</w:t>
      </w:r>
      <w:r>
        <w:rPr>
          <w:rFonts w:ascii="Times New Roman" w:hAnsi="Times New Roman" w:cs="Times New Roman" w:eastAsia="Times New Roman"/>
          <w:b w:val="0"/>
          <w:i w:val="0"/>
          <w:sz w:val="28"/>
        </w:rPr>
        <w:t xml:space="preserve"> — целенаправленное несанкционированное воздействие на информационную систему, её компоненты, каналы связи или обрабатываемую информацию, направленное на нарушение конфиденциальности, целостности или доступности. Кибератаки классифицируют по ряду независимых признаков: по нарушаемому свойству информации; по характеру воздействия (пассивные — только перехват, активные — модификация и подавление); по расположению источника (внешние и внутренние, инсайдерские); по степени избирательности (массовые оппортунистические и целевые, включая APT-кампании); по степени автоматизации; по этапу модели Cyber Kill Chain или тактике матрицы MITRE ATT&amp;CK; и, наконец, по уровню модели взаимодействия открытых систем, на котором реализуется воздействие.</w:t>
      </w:r>
    </w:p>
    <w:p>
      <w:pPr>
        <w:keepNext/>
        <w:widowControl/>
        <w:spacing w:line="360" w:lineRule="auto" w:before="160" w:after="40"/>
        <w:ind w:firstLine="709"/>
        <w:jc w:val="both"/>
      </w:pPr>
      <w:r>
        <w:rPr>
          <w:rFonts w:ascii="Times New Roman" w:hAnsi="Times New Roman" w:cs="Times New Roman" w:eastAsia="Times New Roman"/>
          <w:b/>
          <w:i/>
          <w:sz w:val="28"/>
        </w:rPr>
        <w:t xml:space="preserve">Обобщённый перечень актуальных классов кибератак</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Вредоносное программное обеспечение:</w:t>
      </w:r>
      <w:r>
        <w:rPr>
          <w:rFonts w:ascii="Times New Roman" w:hAnsi="Times New Roman" w:cs="Times New Roman" w:eastAsia="Times New Roman"/>
          <w:b w:val="0"/>
          <w:i w:val="0"/>
          <w:sz w:val="28"/>
        </w:rPr>
        <w:t xml:space="preserve"> вирусы, черви, троянские программы, программы-шифровальщики (ransomware) и вайперы, руткиты и буткиты, инфостилеры, скрытые майнеры, бэкдоры, средства удалённого администрирования, ботнеты; отдельно выделяются бесфайловые атаки и злоупотребление легитимными системными утилитами (LOLBins).</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Атаки на доступность:</w:t>
      </w:r>
      <w:r>
        <w:rPr>
          <w:rFonts w:ascii="Times New Roman" w:hAnsi="Times New Roman" w:cs="Times New Roman" w:eastAsia="Times New Roman"/>
          <w:b w:val="0"/>
          <w:i w:val="0"/>
          <w:sz w:val="28"/>
        </w:rPr>
        <w:t xml:space="preserve"> отказ в обслуживании (DoS) и распределённый отказ в обслуживании (DDoS) — объёмные (флуд), протокольные (исчерпание таблиц состояний) и прикладные (медленные запросы), а также атаки с усилением через открытые сервисы DNS, NTP, memcached, CLDAP.</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Инъекции:</w:t>
      </w:r>
      <w:r>
        <w:rPr>
          <w:rFonts w:ascii="Times New Roman" w:hAnsi="Times New Roman" w:cs="Times New Roman" w:eastAsia="Times New Roman"/>
          <w:b w:val="0"/>
          <w:i w:val="0"/>
          <w:sz w:val="28"/>
        </w:rPr>
        <w:t xml:space="preserve"> SQL- и NoSQL-инъекции, внедрение команд операционной системы, LDAP-, XPath- и XXE-инъекции, внедрение в шаблонизаторы (SSTI), инъекции в журналы и заголовки.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Атаки на веб-приложения и API:</w:t>
      </w:r>
      <w:r>
        <w:rPr>
          <w:rFonts w:ascii="Times New Roman" w:hAnsi="Times New Roman" w:cs="Times New Roman" w:eastAsia="Times New Roman"/>
          <w:b w:val="0"/>
          <w:i w:val="0"/>
          <w:sz w:val="28"/>
        </w:rPr>
        <w:t xml:space="preserve"> межсайтовое выполнение сценариев (XSS), подделка межсайтовых запросов (CSRF), подделка запросов на стороне сервера (SSRF), небезопасные прямые ссылки на объекты (IDOR), обход пути, небезопасная десериализация, состояния гонки, нарушение логики бизнес-процессов, злоупотребление GraphQL и WebSocket.</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Атаки «человек посередине» и на канал:</w:t>
      </w:r>
      <w:r>
        <w:rPr>
          <w:rFonts w:ascii="Times New Roman" w:hAnsi="Times New Roman" w:cs="Times New Roman" w:eastAsia="Times New Roman"/>
          <w:b w:val="0"/>
          <w:i w:val="0"/>
          <w:sz w:val="28"/>
        </w:rPr>
        <w:t xml:space="preserve"> перехват и подмена трафика, AiTM-прокси, понижение версии протокола, подмена сертификатов, отравление кеша.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Атаки на аутентификацию и учётные записи:</w:t>
      </w:r>
      <w:r>
        <w:rPr>
          <w:rFonts w:ascii="Times New Roman" w:hAnsi="Times New Roman" w:cs="Times New Roman" w:eastAsia="Times New Roman"/>
          <w:b w:val="0"/>
          <w:i w:val="0"/>
          <w:sz w:val="28"/>
        </w:rPr>
        <w:t xml:space="preserve"> подбор пароля, подстановка украденных учётных данных (credential stuffing), распыление паролей (password spraying), pass-the-hash и pass-the-ticket, Kerberoasting, «золотой» и «серебряный» билет, обход многофакторной аутентификации.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Повышение привилегий и обход средств защиты:</w:t>
      </w:r>
      <w:r>
        <w:rPr>
          <w:rFonts w:ascii="Times New Roman" w:hAnsi="Times New Roman" w:cs="Times New Roman" w:eastAsia="Times New Roman"/>
          <w:b w:val="0"/>
          <w:i w:val="0"/>
          <w:sz w:val="28"/>
        </w:rPr>
        <w:t xml:space="preserve"> эксплуатация уязвимостей ядра и драйверов, подмена библиотек (DLL hijacking), использование уязвимых подписанных драйверов для отключения средств защиты (BYOVD), обход журналирования и очистка следов.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Атаки на цепочку поставок:</w:t>
      </w:r>
      <w:r>
        <w:rPr>
          <w:rFonts w:ascii="Times New Roman" w:hAnsi="Times New Roman" w:cs="Times New Roman" w:eastAsia="Times New Roman"/>
          <w:b w:val="0"/>
          <w:i w:val="0"/>
          <w:sz w:val="28"/>
        </w:rPr>
        <w:t xml:space="preserve"> внедрение закладок в дистрибутивы и обновления (SolarWinds, 3CX, XZ Utils), компрометация репозиториев пакетов, подмена зависимостей (dependency confusion), тайпсквоттинг пакетов, компрометация интеграторов и подрядчиков.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Криптографические атаки:</w:t>
      </w:r>
      <w:r>
        <w:rPr>
          <w:rFonts w:ascii="Times New Roman" w:hAnsi="Times New Roman" w:cs="Times New Roman" w:eastAsia="Times New Roman"/>
          <w:b w:val="0"/>
          <w:i w:val="0"/>
          <w:sz w:val="28"/>
        </w:rPr>
        <w:t xml:space="preserve"> атаки на дополнение (padding oracle), понижение стойкости, эксплуатация слабых генераторов случайных чисел, повторное использование одноразовых значений, атаки на реализации по времени выполнения.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Аппаратные и физические атаки:</w:t>
      </w:r>
      <w:r>
        <w:rPr>
          <w:rFonts w:ascii="Times New Roman" w:hAnsi="Times New Roman" w:cs="Times New Roman" w:eastAsia="Times New Roman"/>
          <w:b w:val="0"/>
          <w:i w:val="0"/>
          <w:sz w:val="28"/>
        </w:rPr>
        <w:t xml:space="preserve"> атаки по сторонним каналам (Spectre, Meltdown, кеш-тайминг), RowHammer, устройства класса BadUSB, аппаратные закладки и кейлоггеры, перехват побочных электромагнитных излучений и наводок.</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Атаки на человека:</w:t>
      </w:r>
      <w:r>
        <w:rPr>
          <w:rFonts w:ascii="Times New Roman" w:hAnsi="Times New Roman" w:cs="Times New Roman" w:eastAsia="Times New Roman"/>
          <w:b w:val="0"/>
          <w:i w:val="0"/>
          <w:sz w:val="28"/>
        </w:rPr>
        <w:t xml:space="preserve"> социальная инженерия во всех формах (условный «восьмой уровень» модели OSI), инсайдерские действия, вымогательство и принуждение.</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Атаки на системы искусственного интеллекта:</w:t>
      </w:r>
      <w:r>
        <w:rPr>
          <w:rFonts w:ascii="Times New Roman" w:hAnsi="Times New Roman" w:cs="Times New Roman" w:eastAsia="Times New Roman"/>
          <w:b w:val="0"/>
          <w:i w:val="0"/>
          <w:sz w:val="28"/>
        </w:rPr>
        <w:t xml:space="preserve"> внедрение инструкций в запрос (prompt injection), отравление обучающих данных, состязательные примеры, извлечение модели и обучающих данных — систематизированы в OWASP Top 10 for LLM Applications.</w:t>
      </w:r>
    </w:p>
    <w:p>
      <w:pPr>
        <w:keepNext/>
        <w:widowControl/>
        <w:spacing w:line="360" w:lineRule="auto" w:before="160" w:after="40"/>
        <w:ind w:firstLine="709"/>
        <w:jc w:val="both"/>
      </w:pPr>
      <w:r>
        <w:rPr>
          <w:rFonts w:ascii="Times New Roman" w:hAnsi="Times New Roman" w:cs="Times New Roman" w:eastAsia="Times New Roman"/>
          <w:b/>
          <w:i/>
          <w:sz w:val="28"/>
        </w:rPr>
        <w:t xml:space="preserve">Модель взаимодействия открытых систем (OSI)</w:t>
      </w:r>
    </w:p>
    <w:p>
      <w:pPr>
        <w:widowControl/>
        <w:spacing w:line="360" w:lineRule="auto" w:before="0" w:after="0"/>
        <w:ind w:firstLine="709"/>
        <w:jc w:val="both"/>
      </w:pPr>
      <w:r>
        <w:rPr>
          <w:rFonts w:ascii="Times New Roman" w:hAnsi="Times New Roman" w:cs="Times New Roman" w:eastAsia="Times New Roman"/>
          <w:b w:val="0"/>
          <w:i w:val="0"/>
          <w:sz w:val="28"/>
        </w:rPr>
        <w:t xml:space="preserve">Эталонная модель взаимодействия открытых систем (Open Systems Interconnection, OSI) разработана Международной организацией по стандартизации и закреплена стандартом ISO/IEC 7498-1 (в России — ГОСТ Р ИСО/МЭК 7498-1-99). Модель разделяет процесс сетевого взаимодействия на семь иерархических уровней, каждый из которых предоставляет услуги вышележащему уровню и пользуется услугами нижележащего. При передаче данные последовательно инкапсулируются: каждый уровень добавляет собственный заголовок, образуя блок данных протокола (PDU) — биты и сигналы на физическом уровне, кадры на канальном, пакеты на сетевом, сегменты и датаграммы на транспортном, данные на трёх верхних уровнях.</w:t>
      </w:r>
    </w:p>
    <w:p>
      <w:pPr>
        <w:widowControl/>
        <w:spacing w:line="360" w:lineRule="auto" w:before="0" w:after="0"/>
        <w:ind w:firstLine="709"/>
        <w:jc w:val="both"/>
      </w:pPr>
      <w:r>
        <w:rPr>
          <w:rFonts w:ascii="Times New Roman" w:hAnsi="Times New Roman" w:cs="Times New Roman" w:eastAsia="Times New Roman"/>
          <w:b w:val="0"/>
          <w:i w:val="0"/>
          <w:sz w:val="28"/>
        </w:rPr>
        <w:t xml:space="preserve">Практическое значение модели для информационной безопасности состоит в том, что каждый уровень имеет собственный набор протоколов, а следовательно — собственный набор уязвимостей и собственные средства защиты. Атака, реализуемая на нижнем уровне, как правило, не обнаруживается средствами верхних уровней: например, подмена ARP-записей на канальном уровне полностью прозрачна для веб-приложения. Отсюда следует принцип эшелонированной защиты — средства защиты должны применяться на всех уровнях, а не только на прикладном.</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2 – Классификация современных кибератак по уровням модели OSI</w:t>
      </w:r>
    </w:p>
    <w:tbl>
      <w:tblPr>
        <w:tblStyle w:val="TableGrid"/>
        <w:tblW w:type="auto" w:w="0"/>
        <w:jc w:val="center"/>
        <w:tblLayout w:type="fixed"/>
        <w:tblLook w:firstColumn="1" w:firstRow="1" w:lastColumn="0" w:lastRow="0" w:noHBand="0" w:noVBand="1" w:val="04A0"/>
      </w:tblPr>
      <w:tblGrid>
        <w:gridCol w:w="1500"/>
        <w:gridCol w:w="1855"/>
        <w:gridCol w:w="3400"/>
        <w:gridCol w:w="2600"/>
      </w:tblGrid>
      <w:tr>
        <w:trPr>
          <w:tblHeader/>
        </w:trPr>
        <w:tc>
          <w:tcPr>
            <w:tcW w:type="dxa" w:w="15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Уровень</w:t>
            </w:r>
          </w:p>
        </w:tc>
        <w:tc>
          <w:tcPr>
            <w:tcW w:type="dxa" w:w="18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Протоколы и объекты</w:t>
            </w:r>
          </w:p>
        </w:tc>
        <w:tc>
          <w:tcPr>
            <w:tcW w:type="dxa" w:w="34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Характерные атаки</w:t>
            </w:r>
          </w:p>
        </w:tc>
        <w:tc>
          <w:tcPr>
            <w:tcW w:type="dxa" w:w="26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Основные меры защиты</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1. Физический</w:t>
            </w:r>
          </w:p>
        </w:tc>
        <w:tc>
          <w:tcPr>
            <w:tcW w:type="dxa" w:w="1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Кабельные и оптические линии, радиоканал, разъёмы, коммутационное оборудование, носители</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Механическое повреждение и перерезание линий связи; несанкционированное подключение и врезка в оптоволокно; перехват побочных электромагнитных излучений и наводок (ПЭМИН); радиоподавление (jamming); аппаратные кейлоггеры, устройства BadUSB, аппаратные закладки; кража носителей и оборудования</w:t>
            </w:r>
          </w:p>
        </w:tc>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Контролируемая зона и охрана, система контроля доступа, видеонаблюдение, экранирование помещений и активное зашумление, применение оптических линий, контроль целостности линий, блокирование неиспользуемых портов</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2. Канальный</w:t>
            </w:r>
          </w:p>
        </w:tc>
        <w:tc>
          <w:tcPr>
            <w:tcW w:type="dxa" w:w="1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Ethernet, MAC-адресация, ARP, STP, VLAN (802.1Q), 802.11, PPP, коммутаторы</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ARP-спуфинг и отравление ARP-кеша; переполнение CAM-таблицы коммутатора (MAC-flooding); подмена MAC-адреса; переход между VLAN (switch spoofing, двойная маркировка); атаки на STP с захватом роли корневого моста; ложный DHCP-сервер и истощение пула адресов; злоупотребление CDP и DTP; деаутентификация в сетях Wi-Fi</w:t>
            </w:r>
          </w:p>
        </w:tc>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Port Security и ограничение числа MAC-адресов, DHCP Snooping, Dynamic ARP Inspection, IP Source Guard, BPDU Guard и Root Guard, отключение DTP и неиспользуемых портов, аутентификация 802.1X, вынесение управляющей сети в отдельный VLAN</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3. Сетевой</w:t>
            </w:r>
          </w:p>
        </w:tc>
        <w:tc>
          <w:tcPr>
            <w:tcW w:type="dxa" w:w="1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IP, ICMP, IGMP, IPsec, протоколы маршрутизации RIP, OSPF, BGP, маршрутизаторы</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Подмена адреса источника (IP-спуфинг); ICMP-флуд, Smurf, Ping of Death, Teardrop; фрагментационные атаки и перекрытие фрагментов; ложные перенаправления ICMP redirect; внедрение ложных маршрутов; перехват префиксов BGP (BGP hijacking); сканирование сети и построение её топологии</w:t>
            </w:r>
          </w:p>
        </w:tc>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Списки контроля доступа и межсетевое экранирование, обратная проверка маршрута (uRPF) и фильтрация по BCP 38, IPsec, аутентификация протоколов маршрутизации, RPKI/ROA для BGP, ограничение ICMP</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4. Транспортный</w:t>
            </w:r>
          </w:p>
        </w:tc>
        <w:tc>
          <w:tcPr>
            <w:tcW w:type="dxa" w:w="1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TCP, UDP, SCTP, номера портов, механизмы установления соединения</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SYN-флуд, ACK- и RST-флуд, UDP-флуд, LAND; сканирование портов (SYN, FIN, NULL, Xmas, UDP); предсказание номеров последовательности и внедрение пакетов TCP RST; перехват установленного соединения; DDoS с усилением через UDP-сервисы (DNS, NTP, memcached, CLDAP)</w:t>
            </w:r>
          </w:p>
        </w:tc>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Механизм SYN cookies, ограничение частоты соединений, межсетевые экраны с контролем состояния, случайный выбор начальных номеров последовательности, специализированные сервисы защиты от DDoS, закрытие неиспользуемых портов</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5. Сеансовый</w:t>
            </w:r>
          </w:p>
        </w:tc>
        <w:tc>
          <w:tcPr>
            <w:tcW w:type="dxa" w:w="1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Установление, поддержание и завершение сеансов; RPC, NetBIOS, SMB, SOCKS, PPTP, L2TP</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Перехват и подмена сеанса (session hijacking), фиксация сеанса (session fixation); кража и повторное использование маркеров доступа и cookie-файлов; ретрансляция NTLM и pass-the-hash; атаки на RPC и DCOM; злоупотребление устаревшим SMBv1</w:t>
            </w:r>
          </w:p>
        </w:tc>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Ограничение времени жизни сеанса и повторная аутентификация, привязка сеанса к контексту клиента, обязательное подписывание SMB, отказ от NTLM в пользу Kerberos, флаги HttpOnly/Secure/SameSite, многофакторная аутентификация</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6. Представления</w:t>
            </w:r>
          </w:p>
        </w:tc>
        <w:tc>
          <w:tcPr>
            <w:tcW w:type="dxa" w:w="1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Кодирование и преобразование данных, сжатие, шифрование, сериализация; TLS/SSL, ASN.1, форматы файлов</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Атаки на TLS/SSL: Heartbleed, POODLE, BEAST, CRIME, DROWN, FREAK, Logjam, принудительное понижение версии протокола; атаки на кодировки и нормализацию (Unicode, двойное URL-кодирование, омоглифы); небезопасная десериализация объектов; уязвимости синтаксических анализаторов изображений, шрифтов и кодеков</w:t>
            </w:r>
          </w:p>
        </w:tc>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Использование TLS 1.2/1.3 с актуальными наборами шифров, HSTS и закрепление сертификатов, отказ от устаревших версий и алгоритмов, проверка и подписывание сериализованных данных, своевременное обновление библиотек разбора данных</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7. Прикладной</w:t>
            </w:r>
          </w:p>
        </w:tc>
        <w:tc>
          <w:tcPr>
            <w:tcW w:type="dxa" w:w="1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HTTP(S), DNS, SMTP, IMAP, FTP, SSH, SIP, SNMP, API, СУБД, прикладное и системное ПО</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SQL- и командные инъекции, XSS, CSRF, SSRF, XXE, IDOR, обход пути, удалённое выполнение кода; HTTP-флуд, Slowloris, RUDY; отравление кеша DNS, DNS-туннелирование, NXDOMAIN-флуд; фишинг, BEC и прочая социальная инженерия; подбор и подстановка учётных данных; атаки на API и веб-сокеты; распространение вредоносного ПО и шифровальщиков</w:t>
            </w:r>
          </w:p>
        </w:tc>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Межсетевой экран уровня веб-приложений (WAF), безопасная разработка с анализом кода (SAST/DAST/SCA), валидация ввода и параметризованные запросы, DNSSEC и защищённый DNS, SPF/DKIM/DMARC, многофакторная аутентификация, EDR/XDR, ограничение частоты запросов, управление уязвимостями</w:t>
            </w:r>
          </w:p>
        </w:tc>
      </w:tr>
    </w:tbl>
    <w:p>
      <w:pPr>
        <w:widowControl/>
        <w:spacing w:line="360" w:lineRule="auto" w:before="0" w:after="0"/>
        <w:ind w:firstLine="709"/>
        <w:jc w:val="both"/>
      </w:pPr>
      <w:r>
        <w:rPr>
          <w:rFonts w:ascii="Times New Roman" w:hAnsi="Times New Roman" w:cs="Times New Roman" w:eastAsia="Times New Roman"/>
          <w:b w:val="0"/>
          <w:i w:val="0"/>
          <w:sz w:val="28"/>
        </w:rPr>
        <w:t xml:space="preserve">При использовании приведённой классификации необходимо учитывать три обстоятельства. Во-первых, значительная часть современных атак является многоуровневой: например, целевая кампания начинается с фишинга (прикладной уровень и «человеческий фактор»), продолжается эксплуатацией уязвимости в библиотеке разбора данных (уровень представления) и завершается горизонтальным перемещением с использованием NTLM-ретрансляции (сеансовый уровень). Во-вторых, на практике чаще применяется стек TCP/IP, в котором пять верхних уровней OSI сведены к прикладному, а физический и канальный — к уровню сетевых интерфейсов, поэтому соответствие уровней не является взаимно однозначным. В-третьих, социальная инженерия и атаки на цепочку поставок принципиально не укладываются в модель OSI: их условно относят к «восьмому уровню», подчёркивая, что защита сетевых протоколов не компенсирует уязвимость человека и организационных процессов.</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3. Расскажите об атаках на беспроводные устройства и о методах защиты.</w:t>
      </w:r>
    </w:p>
    <w:p>
      <w:pPr>
        <w:widowControl/>
        <w:spacing w:line="360" w:lineRule="auto" w:before="0" w:after="0"/>
        <w:ind w:firstLine="709"/>
        <w:jc w:val="both"/>
      </w:pPr>
      <w:r>
        <w:rPr>
          <w:rFonts w:ascii="Times New Roman" w:hAnsi="Times New Roman" w:cs="Times New Roman" w:eastAsia="Times New Roman"/>
          <w:b w:val="0"/>
          <w:i w:val="0"/>
          <w:sz w:val="28"/>
        </w:rPr>
        <w:t xml:space="preserve">Беспроводные технологии обладают принципиальной особенностью: средой передачи является общедоступное радиопространство, физический контроль над которым невозможен. Как следствие, граница защищаемой системы выходит за пределы контролируемой зоны, перехват трафика выполняется пассивно и не обнаруживается, а злоумышленнику не требуется физическое подключение к линии. Дополнительными факторами риска являются массовость устройств Интернета вещей с ограниченными вычислительными ресурсами и отсутствием механизма обновления, а также широкая доступность недорогих инструментов радиоперехвата (SDR-приёмники, Wi-Fi-адаптеры с режимом монитора, устройства класса Flipper Zero, Wi-Fi Pineapple).</w:t>
      </w:r>
    </w:p>
    <w:p>
      <w:pPr>
        <w:keepNext/>
        <w:widowControl/>
        <w:spacing w:line="360" w:lineRule="auto" w:before="160" w:after="40"/>
        <w:ind w:firstLine="709"/>
        <w:jc w:val="both"/>
      </w:pPr>
      <w:r>
        <w:rPr>
          <w:rFonts w:ascii="Times New Roman" w:hAnsi="Times New Roman" w:cs="Times New Roman" w:eastAsia="Times New Roman"/>
          <w:b/>
          <w:i/>
          <w:sz w:val="28"/>
        </w:rPr>
        <w:t xml:space="preserve">Атаки на сети Wi-Fi</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Атаки на устаревшие механизмы защиты.</w:t>
      </w:r>
      <w:r>
        <w:rPr>
          <w:rFonts w:ascii="Times New Roman" w:hAnsi="Times New Roman" w:cs="Times New Roman" w:eastAsia="Times New Roman"/>
          <w:b w:val="0"/>
          <w:i w:val="0"/>
          <w:sz w:val="28"/>
        </w:rPr>
        <w:t xml:space="preserve"> Протокол WEP (RC4 с 24-битным вектором инициализации) взламывается статистическими методами (FMS, PTW, chopchop) за считанные минуты и должен рассматриваться как отсутствие защиты. Механизм WPS уязвим к атаке Pixie Dust и подбору PIN-кода (утилиты Reaver, Bully).</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Перехват рукопожатия и офлайновый подбор.</w:t>
      </w:r>
      <w:r>
        <w:rPr>
          <w:rFonts w:ascii="Times New Roman" w:hAnsi="Times New Roman" w:cs="Times New Roman" w:eastAsia="Times New Roman"/>
          <w:b w:val="0"/>
          <w:i w:val="0"/>
          <w:sz w:val="28"/>
        </w:rPr>
        <w:t xml:space="preserve"> Для WPA/WPA2-PSK злоумышленник перехватывает четырёхстороннее рукопожатие (при необходимости — принудительно инициируя его деаутентификацией клиента) и восстанавливает парольную фразу подбором по словарю или радужным таблицам (aircrack-ng, hashcat). Атака PMKID позволяет получить материал для подбора без участия клиента, обращением непосредственно к точке доступа.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Уязвимости протоколов.</w:t>
      </w:r>
      <w:r>
        <w:rPr>
          <w:rFonts w:ascii="Times New Roman" w:hAnsi="Times New Roman" w:cs="Times New Roman" w:eastAsia="Times New Roman"/>
          <w:b w:val="0"/>
          <w:i w:val="0"/>
          <w:sz w:val="28"/>
        </w:rPr>
        <w:t xml:space="preserve"> KRACK (2017) — переустановка ключа за счёт повторной передачи третьего сообщения рукопожатия; Kr00k (2019) — передача данных, зашифрованных нулевым ключом, после разъединения; FragAttacks (2021) — семейство уязвимостей агрегации и фрагментации кадров; Dragonblood (2019) — атаки на WPA3-SAE, включая принудительное понижение до WPA2 и атаки по сторонним каналам.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Ложные точки доступа.</w:t>
      </w:r>
      <w:r>
        <w:rPr>
          <w:rFonts w:ascii="Times New Roman" w:hAnsi="Times New Roman" w:cs="Times New Roman" w:eastAsia="Times New Roman"/>
          <w:b w:val="0"/>
          <w:i w:val="0"/>
          <w:sz w:val="28"/>
        </w:rPr>
        <w:t xml:space="preserve"> Evil Twin — развёртывание точки доступа с идентификатором легитимной сети и более высоким уровнем сигнала; атака Karma использует автоматическое подключение клиентов к известным сетям. Далее применяется поддельная страница авторизации (captive portal) для сбора учётных данных (Wifiphisher) и перехват трафика.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Атаки на доступность.</w:t>
      </w:r>
      <w:r>
        <w:rPr>
          <w:rFonts w:ascii="Times New Roman" w:hAnsi="Times New Roman" w:cs="Times New Roman" w:eastAsia="Times New Roman"/>
          <w:b w:val="0"/>
          <w:i w:val="0"/>
          <w:sz w:val="28"/>
        </w:rPr>
        <w:t xml:space="preserve"> Флуд кадрами деаутентификации и разъединения, которые в отсутствие механизма защиты управляющих кадров (802.11w PMF) не аутентифицируются; радиоподавление канала; флуд запросами на ассоциацию.</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Разведка.</w:t>
      </w:r>
      <w:r>
        <w:rPr>
          <w:rFonts w:ascii="Times New Roman" w:hAnsi="Times New Roman" w:cs="Times New Roman" w:eastAsia="Times New Roman"/>
          <w:b w:val="0"/>
          <w:i w:val="0"/>
          <w:sz w:val="28"/>
        </w:rPr>
        <w:t xml:space="preserve"> Wardriving — картографирование беспроводных сетей с привязкой к координатам; выявление скрытых идентификаторов сети по кадрам ассоциации; инвентаризация клиентов по MAC-адресам и запросам зондирования.</w:t>
      </w:r>
    </w:p>
    <w:p>
      <w:pPr>
        <w:keepNext/>
        <w:widowControl/>
        <w:spacing w:line="360" w:lineRule="auto" w:before="160" w:after="40"/>
        <w:ind w:firstLine="709"/>
        <w:jc w:val="both"/>
      </w:pPr>
      <w:r>
        <w:rPr>
          <w:rFonts w:ascii="Times New Roman" w:hAnsi="Times New Roman" w:cs="Times New Roman" w:eastAsia="Times New Roman"/>
          <w:b/>
          <w:i/>
          <w:sz w:val="28"/>
        </w:rPr>
        <w:t xml:space="preserve">Атаки на Bluetooth и Bluetooth Low Energy</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Уязвимости стека: BlueBorne (2017) — удалённое выполнение кода без сопряжения; BleedingBit; BrakTooth (2021) и SweynTooth — отказ в обслуживании и выполнение кода в контроллерах BLE.</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Атаки на сопряжение и шифрование: KNOB — принудительное снижение энтропии ключа шифрования; BIAS — обход взаимной аутентификации; BLURtooth — подмена ключей между классическим Bluetooth и BLE; BLESA — подмена при повторном подключении.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Атаки на конфиденциальность и доступность: bluesnarfing (несанкционированное чтение данных), bluejacking (навязывание сообщений), BlueSmack (отказ в обслуживании), отслеживание перемещений устройства по неизменяемому адресу.</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Ретрансляционные атаки на системы доступа: удлинение радиоканала между брелоком и автомобилем либо смартфоном и «умным» замком позволяет открыть объект в отсутствие владельца; продемонстрированы в отношении систем бесключевого доступа автомобилей и BLE-замков.</w:t>
      </w:r>
    </w:p>
    <w:p>
      <w:pPr>
        <w:keepNext/>
        <w:widowControl/>
        <w:spacing w:line="360" w:lineRule="auto" w:before="160" w:after="40"/>
        <w:ind w:firstLine="709"/>
        <w:jc w:val="both"/>
      </w:pPr>
      <w:r>
        <w:rPr>
          <w:rFonts w:ascii="Times New Roman" w:hAnsi="Times New Roman" w:cs="Times New Roman" w:eastAsia="Times New Roman"/>
          <w:b/>
          <w:i/>
          <w:sz w:val="28"/>
        </w:rPr>
        <w:t xml:space="preserve">Атаки на RFID, NFC и радиоканалы устройств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Скимминг и клонирование идентификаторов: карты Mifare Classic со скомпрометированным алгоритмом Crypto1, а также низкочастотные пропуска без криптографической защиты копируются серийными устройствами; результат — неограниченный физический доступ.</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Ретрансляционные атаки в NFC-платежах и системах контроля доступа, а также атаки понижения на бесконтактные платёжные приложения.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Атаки на протоколы Интернета вещей: Zigbee и Z-Wave (перехват ключа при сопряжении, повторное воспроизведение команд, инструменты KillerBee), LoRaWAN (повторное воспроизведение, компрометация ключей AppKey), проприетарные радиоканалы датчиков и сигнализаций.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Атаки на автомобильные и бытовые пульты: кодграбберы, RollJam (перехват с подавлением приёма и последующим воспроизведением), эмуляция статических кодов.</w:t>
      </w:r>
    </w:p>
    <w:p>
      <w:pPr>
        <w:keepNext/>
        <w:widowControl/>
        <w:spacing w:line="360" w:lineRule="auto" w:before="160" w:after="40"/>
        <w:ind w:firstLine="709"/>
        <w:jc w:val="both"/>
      </w:pPr>
      <w:r>
        <w:rPr>
          <w:rFonts w:ascii="Times New Roman" w:hAnsi="Times New Roman" w:cs="Times New Roman" w:eastAsia="Times New Roman"/>
          <w:b/>
          <w:i/>
          <w:sz w:val="28"/>
        </w:rPr>
        <w:t xml:space="preserve">Атаки на сети мобильной связи и навигационные системы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Поддельные базовые станции (IMSI-catcher) обеспечивают определение идентификаторов абонентов, отслеживание местоположения и принудительное понижение до сетей второго поколения с ослабленным шифрованием и последующим перехватом.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Атаки через сигнальную сеть SS7 и протокол Diameter позволяют перехватывать SMS-сообщения и определять местоположение абонента, что напрямую обесценивает SMS как второй фактор аутентификации.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Подмена SIM-карты (SIM-swap) путём социальной инженерии в отношении оператора связи; атака SIMjacker с использованием служебных SMS и уязвимостей SIM Toolkit.</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Радиоподавление и подмена сигналов глобальных навигационных спутниковых систем (GPS/ГЛОНАСС), приводящие к искажению координат и времени, что критично для транспортных, энергетических и телекоммуникационных систем, использующих спутниковую синхронизацию.</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3 – Атаки на беспроводные технологии и меры защиты</w:t>
      </w:r>
    </w:p>
    <w:tbl>
      <w:tblPr>
        <w:tblStyle w:val="TableGrid"/>
        <w:tblW w:type="auto" w:w="0"/>
        <w:jc w:val="center"/>
        <w:tblLayout w:type="fixed"/>
        <w:tblLook w:firstColumn="1" w:firstRow="1" w:lastColumn="0" w:lastRow="0" w:noHBand="0" w:noVBand="1" w:val="04A0"/>
      </w:tblPr>
      <w:tblGrid>
        <w:gridCol w:w="1600"/>
        <w:gridCol w:w="4055"/>
        <w:gridCol w:w="3700"/>
      </w:tblGrid>
      <w:tr>
        <w:trPr>
          <w:tblHeader/>
        </w:trPr>
        <w:tc>
          <w:tcPr>
            <w:tcW w:type="dxa" w:w="16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Технология</w:t>
            </w:r>
          </w:p>
        </w:tc>
        <w:tc>
          <w:tcPr>
            <w:tcW w:type="dxa" w:w="40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Характерные атаки</w:t>
            </w:r>
          </w:p>
        </w:tc>
        <w:tc>
          <w:tcPr>
            <w:tcW w:type="dxa" w:w="37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Меры защиты</w:t>
            </w:r>
          </w:p>
        </w:tc>
      </w:tr>
      <w:tr>
        <w:tc>
          <w:tcPr>
            <w:tcW w:type="dxa" w:w="1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Wi-Fi (802.11)</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Взлом WEP и WPS; перехват рукопожатия и офлайновый подбор пароля; PMKID; KRACK, Kr00k, FragAttacks, Dragonblood; ложные точки доступа Evil Twin и Karma; деаутентификация и радиоподавление</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WPA3-SAE, а в корпоративной среде — WPA2/WPA3-Enterprise с 802.1X и EAP-TLS на сертификатах; обязательная защита управляющих кадров (802.11w PMF); отключение WPS; сегментация в отдельный VLAN и изоляция гостевой сети; WIDS/WIPS и радиомониторинг; контроль мощности передатчика; регулярное обновление прошивок</w:t>
            </w:r>
          </w:p>
        </w:tc>
      </w:tr>
      <w:tr>
        <w:tc>
          <w:tcPr>
            <w:tcW w:type="dxa" w:w="1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Bluetooth и BLE</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BlueBorne, BrakTooth, SweynTooth; KNOB, BIAS, BLURtooth, BLESA; bluesnarfing, BlueSmack; ретрансляционные атаки на замки и системы бесключевого доступа</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Отключение интерфейса при неиспользовании и скрытие устройства; сопряжение только в защищённом режиме (Secure Connections, LE Secure Connections) с проверкой числового кода; ограничение мощности; обновление прошивок; для систем доступа — контроль времени отклика и требование подтверждения действием (защита от ретрансляции)</w:t>
            </w:r>
          </w:p>
        </w:tc>
      </w:tr>
      <w:tr>
        <w:tc>
          <w:tcPr>
            <w:tcW w:type="dxa" w:w="1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RFID и NFC</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Скимминг и клонирование пропусков (Mifare Classic, низкочастотные метки); ретрансляционные атаки; атаки понижения на бесконтактные платежи</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Переход на карты с криптографией (Mifare DESFire EV2/EV3, отечественные аналоги); взаимная аутентификация и динамические ключи; двухфакторный доступ (карта и PIN либо биометрия); экранирующие футляры; журналирование и корреляция проходов</w:t>
            </w:r>
          </w:p>
        </w:tc>
      </w:tr>
      <w:tr>
        <w:tc>
          <w:tcPr>
            <w:tcW w:type="dxa" w:w="1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Zigbee, Z-Wave, LoRaWAN</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Перехват ключа при сопряжении, повторное воспроизведение команд, компрометация ключей приложения, отказ в обслуживании</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Уникальные ключи для каждого устройства, безопасное первичное сопряжение, счётчики кадров и защита от повторного воспроизведения, сегментация сети Интернета вещей, шлюзы с контролем поведения устройств</w:t>
            </w:r>
          </w:p>
        </w:tc>
      </w:tr>
      <w:tr>
        <w:tc>
          <w:tcPr>
            <w:tcW w:type="dxa" w:w="1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GSM, LTE, 5G</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Поддельные базовые станции (IMSI-catcher), принудительное понижение до 2G, атаки через SS7 и Diameter, подмена SIM-карты, SIMjacker</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Запрет режима 2G на устройствах, контроль подлинности базовых станций, отказ от SMS-аутентификации в пользу TOTP и FIDO2, установление у оператора запрета на перевыпуск SIM без личного присутствия, шифрование на прикладном уровне и VPN</w:t>
            </w:r>
          </w:p>
        </w:tc>
      </w:tr>
      <w:tr>
        <w:tc>
          <w:tcPr>
            <w:tcW w:type="dxa" w:w="1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ГНСС (GPS/ГЛОНАСС)</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Радиоподавление сигнала, подмена сигнала (спуфинг) с искажением координат и времени</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Многосистемные и многочастотные приёмники, контроль достоверности решения и кросс-проверка с инерциальными датчиками, помехозащищённые антенны, резервные источники синхронизации времени</w:t>
            </w:r>
          </w:p>
        </w:tc>
      </w:tr>
      <w:tr>
        <w:tc>
          <w:tcPr>
            <w:tcW w:type="dxa" w:w="1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Автомобильные и бытовые радиоканалы</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Кодграбберы и RollJam, эмуляция статических кодов, ретрансляция сигнала брелока</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Динамические (счётные) коды и криптографическая аутентификация, контроль дальности по времени распространения сигнала (UWB), функция отключения пассивного доступа</w:t>
            </w:r>
          </w:p>
        </w:tc>
      </w:tr>
    </w:tbl>
    <w:p>
      <w:pPr>
        <w:keepNext/>
        <w:widowControl/>
        <w:spacing w:line="360" w:lineRule="auto" w:before="160" w:after="40"/>
        <w:ind w:firstLine="709"/>
        <w:jc w:val="both"/>
      </w:pPr>
      <w:r>
        <w:rPr>
          <w:rFonts w:ascii="Times New Roman" w:hAnsi="Times New Roman" w:cs="Times New Roman" w:eastAsia="Times New Roman"/>
          <w:b/>
          <w:i/>
          <w:sz w:val="28"/>
        </w:rPr>
        <w:t xml:space="preserve">Общие методы защиты беспроводных сетей и устройств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Организационные:</w:t>
      </w:r>
      <w:r>
        <w:rPr>
          <w:rFonts w:ascii="Times New Roman" w:hAnsi="Times New Roman" w:cs="Times New Roman" w:eastAsia="Times New Roman"/>
          <w:b w:val="0"/>
          <w:i w:val="0"/>
          <w:sz w:val="28"/>
        </w:rPr>
        <w:t xml:space="preserve"> политика применения беспроводных технологий; инвентаризация всех радиоинтерфейсов, включая встроенные в периферию и промышленное оборудование; запрет самовольного развёртывания точек доступа; выделение гостевого доступа без связи с корпоративной сетью; периодический радиоаудит контролируемой зоны и тестирование на проникновение (Kismet, aircrack-ng, Wireshark).</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Архитектурные:</w:t>
      </w:r>
      <w:r>
        <w:rPr>
          <w:rFonts w:ascii="Times New Roman" w:hAnsi="Times New Roman" w:cs="Times New Roman" w:eastAsia="Times New Roman"/>
          <w:b w:val="0"/>
          <w:i w:val="0"/>
          <w:sz w:val="28"/>
        </w:rPr>
        <w:t xml:space="preserve"> беспроводной сегмент рассматривается как недоверенный и отделяется от корпоративной сети межсетевым экраном; применяется принцип нулевого доверия — доступ к ресурсам предоставляется только после аутентификации устройства и пользователя; обязательное шифрование на прикладном уровне и корпоративный VPN поверх беспроводного канала; микросегментация устройств Интернета вещей.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Технические:</w:t>
      </w:r>
      <w:r>
        <w:rPr>
          <w:rFonts w:ascii="Times New Roman" w:hAnsi="Times New Roman" w:cs="Times New Roman" w:eastAsia="Times New Roman"/>
          <w:b w:val="0"/>
          <w:i w:val="0"/>
          <w:sz w:val="28"/>
        </w:rPr>
        <w:t xml:space="preserve"> аутентификация 802.1X с сертификатами вместо общего ключа; защита управляющих кадров; системы обнаружения и предотвращения беспроводных вторжений (WIPS) с автоматическим выявлением ложных точек доступа; контроль состояния устройств (NAC, MDM) до предоставления доступа; централизованное управление обновлением прошивок; фильтрация DNS.</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Ограниченно эффективные меры</w:t>
      </w:r>
      <w:r>
        <w:rPr>
          <w:rFonts w:ascii="Times New Roman" w:hAnsi="Times New Roman" w:cs="Times New Roman" w:eastAsia="Times New Roman"/>
          <w:b w:val="0"/>
          <w:i w:val="0"/>
          <w:sz w:val="28"/>
        </w:rPr>
        <w:t xml:space="preserve">, которые не следует считать защитой: скрытие идентификатора сети, фильтрация по MAC-адресам, снижение мощности передатчика — все они обходятся тривиально и лишь незначительно повышают трудоёмкость атаки.</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4. Назовите уязвимости проектирования, реализации и эксплуатации ПО. Примеры.</w:t>
      </w:r>
    </w:p>
    <w:p>
      <w:pPr>
        <w:widowControl/>
        <w:spacing w:line="360" w:lineRule="auto" w:before="0" w:after="0"/>
        <w:ind w:firstLine="709"/>
        <w:jc w:val="both"/>
      </w:pPr>
      <w:r>
        <w:rPr>
          <w:rFonts w:ascii="Times New Roman" w:hAnsi="Times New Roman" w:cs="Times New Roman" w:eastAsia="Times New Roman"/>
          <w:b w:val="0"/>
          <w:i/>
          <w:sz w:val="28"/>
        </w:rPr>
        <w:t xml:space="preserve">Уязвимость</w:t>
      </w:r>
      <w:r>
        <w:rPr>
          <w:rFonts w:ascii="Times New Roman" w:hAnsi="Times New Roman" w:cs="Times New Roman" w:eastAsia="Times New Roman"/>
          <w:b w:val="0"/>
          <w:i w:val="0"/>
          <w:sz w:val="28"/>
        </w:rPr>
        <w:t xml:space="preserve"> программного обеспечения — недостаток, свойство архитектуры, реализации или условий эксплуатации, использование которого позволяет нарушить безопасность информации. В Российской Федерации классификация уязвимостей установлена ГОСТ Р 56546-2015, который выделяет уязвимости кода, конфигурации, архитектуры, организационные и многофакторные, а правила их описания — ГОСТ Р 56545-2015. Классическая же классификация опирается на этап жизненного цикла, на котором уязвимость внесена: проектирование, реализация или эксплуатация. Это различение имеет практическое значение: согласно установленной Б. Боэмом зависимости, стоимость устранения дефекта возрастает на порядки при переходе к последующим этапам жизненного цикла, а уязвимость проектирования, как правило, вообще не может быть устранена обновлением и требует замены протокола или архитектуры.</w:t>
      </w:r>
    </w:p>
    <w:p>
      <w:pPr>
        <w:keepNext/>
        <w:widowControl/>
        <w:spacing w:line="360" w:lineRule="auto" w:before="160" w:after="40"/>
        <w:ind w:firstLine="709"/>
        <w:jc w:val="both"/>
      </w:pPr>
      <w:r>
        <w:rPr>
          <w:rFonts w:ascii="Times New Roman" w:hAnsi="Times New Roman" w:cs="Times New Roman" w:eastAsia="Times New Roman"/>
          <w:b/>
          <w:i/>
          <w:sz w:val="28"/>
        </w:rPr>
        <w:t xml:space="preserve">Уязвимости проектирования</w:t>
      </w:r>
    </w:p>
    <w:p>
      <w:pPr>
        <w:widowControl/>
        <w:spacing w:line="360" w:lineRule="auto" w:before="0" w:after="0"/>
        <w:ind w:firstLine="709"/>
        <w:jc w:val="both"/>
      </w:pPr>
      <w:r>
        <w:rPr>
          <w:rFonts w:ascii="Times New Roman" w:hAnsi="Times New Roman" w:cs="Times New Roman" w:eastAsia="Times New Roman"/>
          <w:b w:val="0"/>
          <w:i w:val="0"/>
          <w:sz w:val="28"/>
        </w:rPr>
        <w:t xml:space="preserve">Вносятся при выработке архитектурных и протокольных решений: механизм защиты либо отсутствует как таковой, либо построен на неверных предположениях. Код при этом может быть реализован безупречно — уязвимой является сама постановка задачи.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Отсутствие шифрования и аутентификации в протоколе: Telnet, FTP, HTTP, SNMPv1/v2c передают учётные данные в открытом виде; промышленные протоколы Modbus, DNP3, Profinet изначально не предусматривают аутентификацию команд, поэтому любой узел, получивший доступ к технологической сети, может управлять оборудованием.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Криптографически несостоятельные схемы: WEP с 24-битным вектором инициализации и потоковым шифром RC4 обеспечивает восстановление ключа независимо от его длины; сигнальная система SS7 построена на полном взаимном доверии операторов.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Архитектурное доверие к недоверенной стороне: проверка прав и бизнес-логики на стороне клиента, передача цены или роли в параметрах запроса, использование предсказуемых идентификаторов объектов, приводящее к IDOR по построению.</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Опасные по замыслу возможности: механизм подстановки JNDI в библиотеке журналирования Log4j, обеспечивший уязвимость Log4Shell (CVE-2021-44228); автоматическая десериализация произвольных типов; включённые по умолчанию макросы и активное содержимое.</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Микроархитектурные решения процессоров: спекулятивное исполнение, приведшее к семейству атак Meltdown и Spectre (CVE-2017-5754, CVE-2017-5753, CVE-2017-5715), устранение которых потребовало изменения архитектуры и повлекло падение производительности.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Организационно-архитектурные недостатки: плоская сеть без сегментации, единая доверенная вычислительная база чрезмерного объёма, отсутствие многофакторной аутентификации в проекте системы, невозможность отзыва скомпрометированного ключа.</w:t>
      </w:r>
    </w:p>
    <w:p>
      <w:pPr>
        <w:keepNext/>
        <w:widowControl/>
        <w:spacing w:line="360" w:lineRule="auto" w:before="160" w:after="40"/>
        <w:ind w:firstLine="709"/>
        <w:jc w:val="both"/>
      </w:pPr>
      <w:r>
        <w:rPr>
          <w:rFonts w:ascii="Times New Roman" w:hAnsi="Times New Roman" w:cs="Times New Roman" w:eastAsia="Times New Roman"/>
          <w:b/>
          <w:i/>
          <w:sz w:val="28"/>
        </w:rPr>
        <w:t xml:space="preserve">Уязвимости реализации</w:t>
      </w:r>
    </w:p>
    <w:p>
      <w:pPr>
        <w:widowControl/>
        <w:spacing w:line="360" w:lineRule="auto" w:before="0" w:after="0"/>
        <w:ind w:firstLine="709"/>
        <w:jc w:val="both"/>
      </w:pPr>
      <w:r>
        <w:rPr>
          <w:rFonts w:ascii="Times New Roman" w:hAnsi="Times New Roman" w:cs="Times New Roman" w:eastAsia="Times New Roman"/>
          <w:b w:val="0"/>
          <w:i w:val="0"/>
          <w:sz w:val="28"/>
        </w:rPr>
        <w:t xml:space="preserve">Возникают при кодировании корректно спроектированного механизма — вследствие ошибок программиста, некорректной работы с памятью и отсутствия проверки входных данных. Именно этот класс составляет основную часть публикуемых записей CVE и систематизирован в перечне CWE Top 25.</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Ошибки работы с памятью: переполнение буфера в стеке и в куче, ошибка на единицу (off-by-one), обращение к освобождённой памяти (use-after-free), двойное освобождение, чтение за границей буфера, целочисленное переполнение, уязвимости форматной строки.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Отсутствие или недостаточность проверки входных данных, приводящие к инъекциям всех видов, обходу пути и удалённому выполнению кода.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Ошибки синхронизации: состояние гонки, в том числе класса TOCTOU (проверка условия и его использование разделены во времени).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Ошибки реализации криптографии и логики аутентификации: повторное использование одноразовых значений, использование непригодного генератора случайных чисел, сравнение секретов за неконстантное время, неполная проверка цепочки сертификатов.</w:t>
      </w:r>
    </w:p>
    <w:p>
      <w:pPr>
        <w:widowControl/>
        <w:spacing w:line="360" w:lineRule="auto" w:before="0" w:after="0"/>
        <w:ind w:firstLine="709"/>
        <w:jc w:val="both"/>
      </w:pPr>
      <w:r>
        <w:rPr>
          <w:rFonts w:ascii="Times New Roman" w:hAnsi="Times New Roman" w:cs="Times New Roman" w:eastAsia="Times New Roman"/>
          <w:b w:val="0"/>
          <w:i w:val="0"/>
          <w:sz w:val="28"/>
        </w:rPr>
        <w:t xml:space="preserve">Характерные примеры: </w:t>
      </w:r>
      <w:r>
        <w:rPr>
          <w:rFonts w:ascii="Times New Roman" w:hAnsi="Times New Roman" w:cs="Times New Roman" w:eastAsia="Times New Roman"/>
          <w:b/>
          <w:i w:val="0"/>
          <w:sz w:val="28"/>
        </w:rPr>
        <w:t xml:space="preserve">Heartbleed</w:t>
      </w:r>
      <w:r>
        <w:rPr>
          <w:rFonts w:ascii="Times New Roman" w:hAnsi="Times New Roman" w:cs="Times New Roman" w:eastAsia="Times New Roman"/>
          <w:b w:val="0"/>
          <w:i w:val="0"/>
          <w:sz w:val="28"/>
        </w:rPr>
        <w:t xml:space="preserve"> (CVE-2014-0160) — отсутствие проверки заявленной длины в реализации расширения heartbeat библиотеки OpenSSL, позволявшее читать до 64 КБ памяти сервера, включая закрытые ключи; </w:t>
      </w:r>
      <w:r>
        <w:rPr>
          <w:rFonts w:ascii="Times New Roman" w:hAnsi="Times New Roman" w:cs="Times New Roman" w:eastAsia="Times New Roman"/>
          <w:b/>
          <w:i w:val="0"/>
          <w:sz w:val="28"/>
        </w:rPr>
        <w:t xml:space="preserve">Shellshock</w:t>
      </w:r>
      <w:r>
        <w:rPr>
          <w:rFonts w:ascii="Times New Roman" w:hAnsi="Times New Roman" w:cs="Times New Roman" w:eastAsia="Times New Roman"/>
          <w:b w:val="0"/>
          <w:i w:val="0"/>
          <w:sz w:val="28"/>
        </w:rPr>
        <w:t xml:space="preserve"> (CVE-2014-6271) — обработка кода в переменных окружения интерпретатором bash; </w:t>
      </w:r>
      <w:r>
        <w:rPr>
          <w:rFonts w:ascii="Times New Roman" w:hAnsi="Times New Roman" w:cs="Times New Roman" w:eastAsia="Times New Roman"/>
          <w:b/>
          <w:i w:val="0"/>
          <w:sz w:val="28"/>
        </w:rPr>
        <w:t xml:space="preserve">EternalBlue</w:t>
      </w:r>
      <w:r>
        <w:rPr>
          <w:rFonts w:ascii="Times New Roman" w:hAnsi="Times New Roman" w:cs="Times New Roman" w:eastAsia="Times New Roman"/>
          <w:b w:val="0"/>
          <w:i w:val="0"/>
          <w:sz w:val="28"/>
        </w:rPr>
        <w:t xml:space="preserve"> (CVE-2017-0144) — ошибка в реализации SMBv1, использованная червями WannaCry и NotPetya; </w:t>
      </w:r>
      <w:r>
        <w:rPr>
          <w:rFonts w:ascii="Times New Roman" w:hAnsi="Times New Roman" w:cs="Times New Roman" w:eastAsia="Times New Roman"/>
          <w:b/>
          <w:i w:val="0"/>
          <w:sz w:val="28"/>
        </w:rPr>
        <w:t xml:space="preserve">Log4Shell</w:t>
      </w:r>
      <w:r>
        <w:rPr>
          <w:rFonts w:ascii="Times New Roman" w:hAnsi="Times New Roman" w:cs="Times New Roman" w:eastAsia="Times New Roman"/>
          <w:b w:val="0"/>
          <w:i w:val="0"/>
          <w:sz w:val="28"/>
        </w:rPr>
        <w:t xml:space="preserve"> (CVE-2021-44228); </w:t>
      </w:r>
      <w:r>
        <w:rPr>
          <w:rFonts w:ascii="Times New Roman" w:hAnsi="Times New Roman" w:cs="Times New Roman" w:eastAsia="Times New Roman"/>
          <w:b/>
          <w:i w:val="0"/>
          <w:sz w:val="28"/>
        </w:rPr>
        <w:t xml:space="preserve">MOVEit Transfer</w:t>
      </w:r>
      <w:r>
        <w:rPr>
          <w:rFonts w:ascii="Times New Roman" w:hAnsi="Times New Roman" w:cs="Times New Roman" w:eastAsia="Times New Roman"/>
          <w:b w:val="0"/>
          <w:i w:val="0"/>
          <w:sz w:val="28"/>
        </w:rPr>
        <w:t xml:space="preserve"> (CVE-2023-34362) — SQL-инъекция, ставшая основой массовой кампании вымогательства 2023 г.; связка </w:t>
      </w:r>
      <w:r>
        <w:rPr>
          <w:rFonts w:ascii="Times New Roman" w:hAnsi="Times New Roman" w:cs="Times New Roman" w:eastAsia="Times New Roman"/>
          <w:b/>
          <w:i w:val="0"/>
          <w:sz w:val="28"/>
        </w:rPr>
        <w:t xml:space="preserve">Ivanti Connect Secure</w:t>
      </w:r>
      <w:r>
        <w:rPr>
          <w:rFonts w:ascii="Times New Roman" w:hAnsi="Times New Roman" w:cs="Times New Roman" w:eastAsia="Times New Roman"/>
          <w:b w:val="0"/>
          <w:i w:val="0"/>
          <w:sz w:val="28"/>
        </w:rPr>
        <w:t xml:space="preserve"> (CVE-2023-46805 — обход аутентификации и CVE-2024-21887 — внедрение команд), эксплуатировавшаяся с января 2024 г.; </w:t>
      </w:r>
      <w:r>
        <w:rPr>
          <w:rFonts w:ascii="Times New Roman" w:hAnsi="Times New Roman" w:cs="Times New Roman" w:eastAsia="Times New Roman"/>
          <w:b/>
          <w:i w:val="0"/>
          <w:sz w:val="28"/>
        </w:rPr>
        <w:t xml:space="preserve">regreSSHion</w:t>
      </w:r>
      <w:r>
        <w:rPr>
          <w:rFonts w:ascii="Times New Roman" w:hAnsi="Times New Roman" w:cs="Times New Roman" w:eastAsia="Times New Roman"/>
          <w:b w:val="0"/>
          <w:i w:val="0"/>
          <w:sz w:val="28"/>
        </w:rPr>
        <w:t xml:space="preserve"> (CVE-2024-6387) — состояние гонки в обработчике сигнала OpenSSH; </w:t>
      </w:r>
      <w:r>
        <w:rPr>
          <w:rFonts w:ascii="Times New Roman" w:hAnsi="Times New Roman" w:cs="Times New Roman" w:eastAsia="Times New Roman"/>
          <w:b/>
          <w:i w:val="0"/>
          <w:sz w:val="28"/>
        </w:rPr>
        <w:t xml:space="preserve">XZ Utils</w:t>
      </w:r>
      <w:r>
        <w:rPr>
          <w:rFonts w:ascii="Times New Roman" w:hAnsi="Times New Roman" w:cs="Times New Roman" w:eastAsia="Times New Roman"/>
          <w:b w:val="0"/>
          <w:i w:val="0"/>
          <w:sz w:val="28"/>
        </w:rPr>
        <w:t xml:space="preserve"> (CVE-2024-3094) — преднамеренно внедрённая закладка в библиотеку сжатия, обнаруженная в марте 2024 г. и представляющая собой пример атаки на цепочку поставок программного обеспечения с открытым исходным кодом.</w:t>
      </w:r>
    </w:p>
    <w:p>
      <w:pPr>
        <w:keepNext/>
        <w:widowControl/>
        <w:spacing w:line="360" w:lineRule="auto" w:before="160" w:after="40"/>
        <w:ind w:firstLine="709"/>
        <w:jc w:val="both"/>
      </w:pPr>
      <w:r>
        <w:rPr>
          <w:rFonts w:ascii="Times New Roman" w:hAnsi="Times New Roman" w:cs="Times New Roman" w:eastAsia="Times New Roman"/>
          <w:b/>
          <w:i/>
          <w:sz w:val="28"/>
        </w:rPr>
        <w:t xml:space="preserve">Уязвимости эксплуатации</w:t>
      </w:r>
    </w:p>
    <w:p>
      <w:pPr>
        <w:widowControl/>
        <w:spacing w:line="360" w:lineRule="auto" w:before="0" w:after="0"/>
        <w:ind w:firstLine="709"/>
        <w:jc w:val="both"/>
      </w:pPr>
      <w:r>
        <w:rPr>
          <w:rFonts w:ascii="Times New Roman" w:hAnsi="Times New Roman" w:cs="Times New Roman" w:eastAsia="Times New Roman"/>
          <w:b w:val="0"/>
          <w:i w:val="0"/>
          <w:sz w:val="28"/>
        </w:rPr>
        <w:t xml:space="preserve">Обусловлены не свойствами программы, а условиями её применения: настройками, порядком сопровождения и действиями персонала. Программное обеспечение при этом может не иметь известных дефектов кода. По оценкам большинства отчётов о реагировании на инциденты, именно этот класс обеспечивает наибольшую долю успешных проникновений.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Использование учётных данных, установленных производителем, и слабых паролей; отсутствие многофакторной аутентификации на сервисах, доступных из сети Интернет.</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Отсутствие управления обновлениями: эксплуатация уязвимостей, для которых обновление выпущено месяцы и годы назад; применение программного обеспечения с истёкшим сроком поддержки.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Ошибки конфигурирования и избыточная открытость: публикация в сети Интернет служб удалённого управления (RDP, SSH, SMB), баз данных без аутентификации (Elasticsearch, MongoDB, Redis), интерфейсов управления гипервизорами и контейнерными платформами; общедоступные объектные хранилища; включённые отладочные режимы и тестовые контуры с реальными данными.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Избыточные права учётных записей и сервисов, отсутствие разделения полномочий, использование административной учётной записи для повседневных задач.</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Небезопасное обращение с секретами: пароли, ключи доступа и токены в исходном коде, в истории системы контроля версий, в образах и файлах конфигурации.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Отсутствие журналирования и мониторинга, вследствие чего атака остаётся незамеченной длительное время; теневые информационные технологии — сервисы и устройства, не учтённые подразделением информационной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Характерные примеры: утечка данных </w:t>
      </w:r>
      <w:r>
        <w:rPr>
          <w:rFonts w:ascii="Times New Roman" w:hAnsi="Times New Roman" w:cs="Times New Roman" w:eastAsia="Times New Roman"/>
          <w:b/>
          <w:i w:val="0"/>
          <w:sz w:val="28"/>
        </w:rPr>
        <w:t xml:space="preserve">Equifax</w:t>
      </w:r>
      <w:r>
        <w:rPr>
          <w:rFonts w:ascii="Times New Roman" w:hAnsi="Times New Roman" w:cs="Times New Roman" w:eastAsia="Times New Roman"/>
          <w:b w:val="0"/>
          <w:i w:val="0"/>
          <w:sz w:val="28"/>
        </w:rPr>
        <w:t xml:space="preserve"> (2017 г.) — непропатченная в срок уязвимость Apache Struts (CVE-2017-5638) и данные около 147 млн человек; ботнет </w:t>
      </w:r>
      <w:r>
        <w:rPr>
          <w:rFonts w:ascii="Times New Roman" w:hAnsi="Times New Roman" w:cs="Times New Roman" w:eastAsia="Times New Roman"/>
          <w:b/>
          <w:i w:val="0"/>
          <w:sz w:val="28"/>
        </w:rPr>
        <w:t xml:space="preserve">Mirai</w:t>
      </w:r>
      <w:r>
        <w:rPr>
          <w:rFonts w:ascii="Times New Roman" w:hAnsi="Times New Roman" w:cs="Times New Roman" w:eastAsia="Times New Roman"/>
          <w:b w:val="0"/>
          <w:i w:val="0"/>
          <w:sz w:val="28"/>
        </w:rPr>
        <w:t xml:space="preserve"> (2016 г.), построенный на устройствах Интернета вещей с заводскими паролями; </w:t>
      </w:r>
      <w:r>
        <w:rPr>
          <w:rFonts w:ascii="Times New Roman" w:hAnsi="Times New Roman" w:cs="Times New Roman" w:eastAsia="Times New Roman"/>
          <w:b/>
          <w:i w:val="0"/>
          <w:sz w:val="28"/>
        </w:rPr>
        <w:t xml:space="preserve">Capital One</w:t>
      </w:r>
      <w:r>
        <w:rPr>
          <w:rFonts w:ascii="Times New Roman" w:hAnsi="Times New Roman" w:cs="Times New Roman" w:eastAsia="Times New Roman"/>
          <w:b w:val="0"/>
          <w:i w:val="0"/>
          <w:sz w:val="28"/>
        </w:rPr>
        <w:t xml:space="preserve"> (2019 г.) — сочетание уязвимости SSRF и чрезмерных прав облачной роли; кампания против клиентов </w:t>
      </w:r>
      <w:r>
        <w:rPr>
          <w:rFonts w:ascii="Times New Roman" w:hAnsi="Times New Roman" w:cs="Times New Roman" w:eastAsia="Times New Roman"/>
          <w:b/>
          <w:i w:val="0"/>
          <w:sz w:val="28"/>
        </w:rPr>
        <w:t xml:space="preserve">Snowflake</w:t>
      </w:r>
      <w:r>
        <w:rPr>
          <w:rFonts w:ascii="Times New Roman" w:hAnsi="Times New Roman" w:cs="Times New Roman" w:eastAsia="Times New Roman"/>
          <w:b w:val="0"/>
          <w:i w:val="0"/>
          <w:sz w:val="28"/>
        </w:rPr>
        <w:t xml:space="preserve"> (2024 г.) — доступ по украденным инфостилерами паролям к учётным записям без многофакторной аутентификации; </w:t>
      </w:r>
      <w:r>
        <w:rPr>
          <w:rFonts w:ascii="Times New Roman" w:hAnsi="Times New Roman" w:cs="Times New Roman" w:eastAsia="Times New Roman"/>
          <w:b/>
          <w:i w:val="0"/>
          <w:sz w:val="28"/>
        </w:rPr>
        <w:t xml:space="preserve">Change Healthcare</w:t>
      </w:r>
      <w:r>
        <w:rPr>
          <w:rFonts w:ascii="Times New Roman" w:hAnsi="Times New Roman" w:cs="Times New Roman" w:eastAsia="Times New Roman"/>
          <w:b w:val="0"/>
          <w:i w:val="0"/>
          <w:sz w:val="28"/>
        </w:rPr>
        <w:t xml:space="preserve"> (2024 г.) — вход через шлюз удалённого доступа, на котором не была включена многофакторная аутентификация; кампания </w:t>
      </w:r>
      <w:r>
        <w:rPr>
          <w:rFonts w:ascii="Times New Roman" w:hAnsi="Times New Roman" w:cs="Times New Roman" w:eastAsia="Times New Roman"/>
          <w:b/>
          <w:i w:val="0"/>
          <w:sz w:val="28"/>
        </w:rPr>
        <w:t xml:space="preserve">ESXiArgs</w:t>
      </w:r>
      <w:r>
        <w:rPr>
          <w:rFonts w:ascii="Times New Roman" w:hAnsi="Times New Roman" w:cs="Times New Roman" w:eastAsia="Times New Roman"/>
          <w:b w:val="0"/>
          <w:i w:val="0"/>
          <w:sz w:val="28"/>
        </w:rPr>
        <w:t xml:space="preserve"> (февраль 2023 г.) — массовое шифрование гипервизоров VMware ESXi с открытой в Интернет службой OpenSLP и неустановленным обновлением для CVE-2021-21974.</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4 – Уязвимости этапов жизненного цикла программного обеспечения</w:t>
      </w:r>
    </w:p>
    <w:tbl>
      <w:tblPr>
        <w:tblStyle w:val="TableGrid"/>
        <w:tblW w:type="auto" w:w="0"/>
        <w:jc w:val="center"/>
        <w:tblLayout w:type="fixed"/>
        <w:tblLook w:firstColumn="1" w:firstRow="1" w:lastColumn="0" w:lastRow="0" w:noHBand="0" w:noVBand="1" w:val="04A0"/>
      </w:tblPr>
      <w:tblGrid>
        <w:gridCol w:w="1700"/>
        <w:gridCol w:w="3555"/>
        <w:gridCol w:w="4100"/>
      </w:tblGrid>
      <w:tr>
        <w:trPr>
          <w:tblHeader/>
        </w:trPr>
        <w:tc>
          <w:tcPr>
            <w:tcW w:type="dxa" w:w="17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Этап внесения</w:t>
            </w:r>
          </w:p>
        </w:tc>
        <w:tc>
          <w:tcPr>
            <w:tcW w:type="dxa" w:w="35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Характерные недостатки</w:t>
            </w:r>
          </w:p>
        </w:tc>
        <w:tc>
          <w:tcPr>
            <w:tcW w:type="dxa" w:w="41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Примеры</w:t>
            </w:r>
          </w:p>
        </w:tc>
      </w:tr>
      <w:tr>
        <w:tc>
          <w:tcPr>
            <w:tcW w:type="dxa" w:w="1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Проектирование (архитектура, протокол)</w:t>
            </w:r>
          </w:p>
        </w:tc>
        <w:tc>
          <w:tcPr>
            <w:tcW w:type="dxa" w:w="35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Отсутствие шифрования и аутентификации; несостоятельные криптографические схемы; доверие к клиенту; опасные по замыслу механизмы; отсутствие сегментации и многофакторной аутентификации в проекте</w:t>
            </w:r>
          </w:p>
        </w:tc>
        <w:tc>
          <w:tcPr>
            <w:tcW w:type="dxa" w:w="4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Telnet, FTP, HTTP, SNMPv1; Modbus и DNP3 без аутентификации; WEP; сигнальная сеть SS7; механизм JNDI в Log4j (CVE-2021-44228); спекулятивное исполнение — Meltdown и Spectre (CVE-2017-5754, CVE-2017-5753)</w:t>
            </w:r>
          </w:p>
        </w:tc>
      </w:tr>
      <w:tr>
        <w:tc>
          <w:tcPr>
            <w:tcW w:type="dxa" w:w="1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Реализация (кодирование)</w:t>
            </w:r>
          </w:p>
        </w:tc>
        <w:tc>
          <w:tcPr>
            <w:tcW w:type="dxa" w:w="35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Переполнение буфера, обращение к освобождённой памяти, целочисленное переполнение, форматная строка; отсутствие валидации ввода; состояния гонки и TOCTOU; ошибки реализации криптографии</w:t>
            </w:r>
          </w:p>
        </w:tc>
        <w:tc>
          <w:tcPr>
            <w:tcW w:type="dxa" w:w="4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Heartbleed (CVE-2014-0160); Shellshock (CVE-2014-6271); EternalBlue (CVE-2017-0144); MOVEit (CVE-2023-34362); Ivanti (CVE-2023-46805, CVE-2024-21887); regreSSHion (CVE-2024-6387); закладка в XZ Utils (CVE-2024-3094)</w:t>
            </w:r>
          </w:p>
        </w:tc>
      </w:tr>
      <w:tr>
        <w:tc>
          <w:tcPr>
            <w:tcW w:type="dxa" w:w="1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Эксплуатация (конфигурация и организация)</w:t>
            </w:r>
          </w:p>
        </w:tc>
        <w:tc>
          <w:tcPr>
            <w:tcW w:type="dxa" w:w="35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Пароли по умолчанию и отсутствие многофакторной аутентификации; отсутствие управления обновлениями; публикация служб управления и баз данных в Интернет; избыточные права; секреты в коде; отсутствие журналирования; теневые ИТ</w:t>
            </w:r>
          </w:p>
        </w:tc>
        <w:tc>
          <w:tcPr>
            <w:tcW w:type="dxa" w:w="4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Equifax, 2017 (непропатченный Apache Struts, CVE-2017-5638); ботнет Mirai, 2016 (заводские пароли); Capital One, 2019 (SSRF и чрезмерные права роли); Snowflake, 2024 (учётные записи без MFA); ESXiArgs, 2023 (открытая служба OpenSLP)</w:t>
            </w:r>
          </w:p>
        </w:tc>
      </w:tr>
    </w:tbl>
    <w:p>
      <w:pPr>
        <w:keepNext/>
        <w:widowControl/>
        <w:spacing w:line="360" w:lineRule="auto" w:before="160" w:after="40"/>
        <w:ind w:firstLine="709"/>
        <w:jc w:val="both"/>
      </w:pPr>
      <w:r>
        <w:rPr>
          <w:rFonts w:ascii="Times New Roman" w:hAnsi="Times New Roman" w:cs="Times New Roman" w:eastAsia="Times New Roman"/>
          <w:b/>
          <w:i/>
          <w:sz w:val="28"/>
        </w:rPr>
        <w:t xml:space="preserve">Средства учёта, оценки и предупреждения уязвимостей</w:t>
      </w:r>
    </w:p>
    <w:p>
      <w:pPr>
        <w:widowControl/>
        <w:spacing w:line="360" w:lineRule="auto" w:before="0" w:after="0"/>
        <w:ind w:firstLine="709"/>
        <w:jc w:val="both"/>
      </w:pPr>
      <w:r>
        <w:rPr>
          <w:rFonts w:ascii="Times New Roman" w:hAnsi="Times New Roman" w:cs="Times New Roman" w:eastAsia="Times New Roman"/>
          <w:b w:val="0"/>
          <w:i w:val="0"/>
          <w:sz w:val="28"/>
        </w:rPr>
        <w:t xml:space="preserve">Для систематизации уязвимостей применяются международные классификаторы: CVE — реестр конкретных уязвимостей в конкретных продуктах, CWE — типология недостатков, CAPEC — типология шаблонов атак, метрика CVSS (версии 3.1 и 4.0) — количественная оценка критичности, каталог KEV агентства CISA — перечень уязвимостей, эксплуатация которых подтверждена. В Российской Федерации ведётся Банк данных угроз безопасности информации (БДУ) ФСТЭК России, содержащий разделы угроз и уязвимостей. Предупреждение внесения уязвимостей обеспечивается практиками безопасной разработки, требования к которым установлены ГОСТ Р 56939-2016 «Защита информации. Разработка безопасного программного обеспечения. Общие требования» (действующая редакция — ГОСТ Р 56939-2024): моделирование угроз на этапе проектирования, статический и динамический анализ кода (SAST, DAST), анализ состава сторонних компонентов (SCA) с формированием ведомости состава программного обеспечения (SBOM), фаззинг-тестирование, анализ уязвимостей и тестирование на проникновение перед вводом в эксплуатацию — как это предписано, в частности, приказом ФСТЭК России № 239 для значимых объектов критической информационной инфраструктуры.</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5. Что представляют собой атаки в виртуальной среде? Расскажите об угрозах и о методах защиты виртуальной среды, контейнеризации, Docker и Kubernetes.</w:t>
      </w:r>
    </w:p>
    <w:p>
      <w:pPr>
        <w:widowControl/>
        <w:spacing w:line="360" w:lineRule="auto" w:before="0" w:after="0"/>
        <w:ind w:firstLine="709"/>
        <w:jc w:val="both"/>
      </w:pPr>
      <w:r>
        <w:rPr>
          <w:rFonts w:ascii="Times New Roman" w:hAnsi="Times New Roman" w:cs="Times New Roman" w:eastAsia="Times New Roman"/>
          <w:b w:val="0"/>
          <w:i/>
          <w:sz w:val="28"/>
        </w:rPr>
        <w:t xml:space="preserve">Виртуализация</w:t>
      </w:r>
      <w:r>
        <w:rPr>
          <w:rFonts w:ascii="Times New Roman" w:hAnsi="Times New Roman" w:cs="Times New Roman" w:eastAsia="Times New Roman"/>
          <w:b w:val="0"/>
          <w:i w:val="0"/>
          <w:sz w:val="28"/>
        </w:rPr>
        <w:t xml:space="preserve"> — технология предоставления вычислительных ресурсов в форме логических объектов, отделённых от физической реализации. Различают виртуализацию на уровне оборудования, обеспечиваемую гипервизором первого типа, работающим непосредственно на аппаратуре (VMware ESXi, Microsoft Hyper-V, KVM, Xen, отечественные «Р-Виртуализация», zVirt, Numa vServer), и гипервизором второго типа, работающим внутри хостовой операционной системы. </w:t>
      </w:r>
      <w:r>
        <w:rPr>
          <w:rFonts w:ascii="Times New Roman" w:hAnsi="Times New Roman" w:cs="Times New Roman" w:eastAsia="Times New Roman"/>
          <w:b w:val="0"/>
          <w:i/>
          <w:sz w:val="28"/>
        </w:rPr>
        <w:t xml:space="preserve">Контейнеризация</w:t>
      </w:r>
      <w:r>
        <w:rPr>
          <w:rFonts w:ascii="Times New Roman" w:hAnsi="Times New Roman" w:cs="Times New Roman" w:eastAsia="Times New Roman"/>
          <w:b w:val="0"/>
          <w:i w:val="0"/>
          <w:sz w:val="28"/>
        </w:rPr>
        <w:t xml:space="preserve"> реализует изоляцию средствами ядра единственной операционной системы — пространств имён (namespaces), контрольных групп (cgroups) и мандатных механизмов безопасности; общее ядро принципиально снижает уровень изоляции по сравнению с виртуальными машинами, что необходимо учитывать при построении защиты.</w:t>
      </w:r>
    </w:p>
    <w:p>
      <w:pPr>
        <w:widowControl/>
        <w:spacing w:line="360" w:lineRule="auto" w:before="0" w:after="0"/>
        <w:ind w:firstLine="709"/>
        <w:jc w:val="both"/>
      </w:pPr>
      <w:r>
        <w:rPr>
          <w:rFonts w:ascii="Times New Roman" w:hAnsi="Times New Roman" w:cs="Times New Roman" w:eastAsia="Times New Roman"/>
          <w:b w:val="0"/>
          <w:i w:val="0"/>
          <w:sz w:val="28"/>
        </w:rPr>
        <w:t xml:space="preserve">Атака в виртуальной среде — воздействие, направленное на элементы, отсутствующие в физической инфраструктуре: гипервизор, управляющий слой, виртуальные коммутаторы, образы и мгновенные снимки состояния, среду исполнения контейнеров и платформу оркестрации. Её принципиальная особенность — многократное усиление последствий: компрометация одного управляющего узла означает компрометацию всех размещённых на нём рабочих нагрузок.</w:t>
      </w:r>
    </w:p>
    <w:p>
      <w:pPr>
        <w:keepNext/>
        <w:widowControl/>
        <w:spacing w:line="360" w:lineRule="auto" w:before="160" w:after="40"/>
        <w:ind w:firstLine="709"/>
        <w:jc w:val="both"/>
      </w:pPr>
      <w:r>
        <w:rPr>
          <w:rFonts w:ascii="Times New Roman" w:hAnsi="Times New Roman" w:cs="Times New Roman" w:eastAsia="Times New Roman"/>
          <w:b/>
          <w:i/>
          <w:sz w:val="28"/>
        </w:rPr>
        <w:t xml:space="preserve">Угрозы виртуальной среды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Побег из виртуальной машины (VM escape)</w:t>
      </w:r>
      <w:r>
        <w:rPr>
          <w:rFonts w:ascii="Times New Roman" w:hAnsi="Times New Roman" w:cs="Times New Roman" w:eastAsia="Times New Roman"/>
          <w:b w:val="0"/>
          <w:i w:val="0"/>
          <w:sz w:val="28"/>
        </w:rPr>
        <w:t xml:space="preserve"> — выполнение кода на гипервизоре или хосте с выходом за границы изоляции. Примеры: VENOM (CVE-2015-3456) в эмуляторе контроллера дискового накопителя QEMU; уязвимости USB-контроллеров VMware ESXi (CVE-2024-22252, CVE-2024-22253), позволяющие выполнить код в процессе виртуальной машины на хосте.</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Компрометация управляющего слоя.</w:t>
      </w:r>
      <w:r>
        <w:rPr>
          <w:rFonts w:ascii="Times New Roman" w:hAnsi="Times New Roman" w:cs="Times New Roman" w:eastAsia="Times New Roman"/>
          <w:b w:val="0"/>
          <w:i w:val="0"/>
          <w:sz w:val="28"/>
        </w:rPr>
        <w:t xml:space="preserve"> Захват vCenter Server, диспетчера Hyper-V или портала облачной платформы даёт полный контроль над всей виртуальной инфраструктурой. Примеры: CVE-2021-21985 (выполнение кода в vCenter), CVE-2023-20867 (обход аутентификации в VMware Tools). Кража учётных данных администратора виртуализации стала типовым сценарием атак программ-вымогателей.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Шифровальщики для гипервизоров.</w:t>
      </w:r>
      <w:r>
        <w:rPr>
          <w:rFonts w:ascii="Times New Roman" w:hAnsi="Times New Roman" w:cs="Times New Roman" w:eastAsia="Times New Roman"/>
          <w:b w:val="0"/>
          <w:i w:val="0"/>
          <w:sz w:val="28"/>
        </w:rPr>
        <w:t xml:space="preserve"> Группировки Akira, Play, BlackCat/ALPHV, RansomHouse и другие шифруют файлы виртуальных дисков непосредственно на датасторах ESXi, что одновременно выводит из строя десятки серверов. Массовая кампания ESXiArgs (февраль 2023 г.) поразила, по различным оценкам, более 3,8 тыс. серверов с открытой в Интернет службой OpenSLP и неустановленным обновлением для CVE-2021-21974.</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Межмашинные атаки и атаки по сторонним каналам.</w:t>
      </w:r>
      <w:r>
        <w:rPr>
          <w:rFonts w:ascii="Times New Roman" w:hAnsi="Times New Roman" w:cs="Times New Roman" w:eastAsia="Times New Roman"/>
          <w:b w:val="0"/>
          <w:i w:val="0"/>
          <w:sz w:val="28"/>
        </w:rPr>
        <w:t xml:space="preserve"> Виртуальные машины разных владельцев, размещённые на одном физическом процессоре, подвержены утечкам через кеш и микроархитектурные структуры (Spectre, Meltdown, L1TF/Foreshadow, RowHammer). Дополнительно возможны атаки внутри виртуального коммутатора и обход микросегментации.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Атаки на образы и мгновенные снимки.</w:t>
      </w:r>
      <w:r>
        <w:rPr>
          <w:rFonts w:ascii="Times New Roman" w:hAnsi="Times New Roman" w:cs="Times New Roman" w:eastAsia="Times New Roman"/>
          <w:b w:val="0"/>
          <w:i w:val="0"/>
          <w:sz w:val="28"/>
        </w:rPr>
        <w:t xml:space="preserve"> Копирование файла виртуального диска или снимка даёт доступ ко всем данным и хешам паролей без взаимодействия с работающей системой; снимок сохраняет содержимое оперативной памяти, включая ключи шифрования. Отдельную угрозу представляют «золотые образы» с внедрённой закладкой и шаблоны с сохранёнными учётными данными.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Разрастание виртуальной среды (VM sprawl).</w:t>
      </w:r>
      <w:r>
        <w:rPr>
          <w:rFonts w:ascii="Times New Roman" w:hAnsi="Times New Roman" w:cs="Times New Roman" w:eastAsia="Times New Roman"/>
          <w:b w:val="0"/>
          <w:i w:val="0"/>
          <w:sz w:val="28"/>
        </w:rPr>
        <w:t xml:space="preserve"> Неучтённые, приостановленные и клонированные машины не обновляются и не контролируются, но при включении становятся точкой входа; приостановленная машина также не защищена агентскими средствами.</w:t>
      </w:r>
    </w:p>
    <w:p>
      <w:pPr>
        <w:keepNext/>
        <w:widowControl/>
        <w:spacing w:line="360" w:lineRule="auto" w:before="160" w:after="40"/>
        <w:ind w:firstLine="709"/>
        <w:jc w:val="both"/>
      </w:pPr>
      <w:r>
        <w:rPr>
          <w:rFonts w:ascii="Times New Roman" w:hAnsi="Times New Roman" w:cs="Times New Roman" w:eastAsia="Times New Roman"/>
          <w:b/>
          <w:i/>
          <w:sz w:val="28"/>
        </w:rPr>
        <w:t xml:space="preserve">Угрозы контейнеризации и Docker</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Небезопасная конфигурация среды исполнения</w:t>
      </w:r>
      <w:r>
        <w:rPr>
          <w:rFonts w:ascii="Times New Roman" w:hAnsi="Times New Roman" w:cs="Times New Roman" w:eastAsia="Times New Roman"/>
          <w:b w:val="0"/>
          <w:i w:val="0"/>
          <w:sz w:val="28"/>
        </w:rPr>
        <w:t xml:space="preserve"> — основная причина инцидентов: запуск контейнера в привилегированном режиме (--privileged); добавление опасных возможностей (--cap-add SYS_ADMIN); использование пространств имён хоста (--pid=host, --net=host); монтирование каталогов хоста и особенно управляющего сокета /var/run/docker.sock, что равносильно предоставлению прав суперпользователя на хосте; публикация управляющего API Docker на порту 2375 без аутентификации, автоматически используемая ботнетами для развёртывания майнеров.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Побег из контейнера через уязвимости среды исполнения:</w:t>
      </w:r>
      <w:r>
        <w:rPr>
          <w:rFonts w:ascii="Times New Roman" w:hAnsi="Times New Roman" w:cs="Times New Roman" w:eastAsia="Times New Roman"/>
          <w:b w:val="0"/>
          <w:i w:val="0"/>
          <w:sz w:val="28"/>
        </w:rPr>
        <w:t xml:space="preserve"> CVE-2019-5736 в runc (перезапись исполняемого файла через /proc/self/exe); CVE-2024-21626, известная как «Leaky Vessels» (утечка файлового дескриптора рабочего каталога, позволяющая получить доступ к файловой системе хоста); CVE-2022-0492 (злоупотребление механизмом release_agent в cgroups v1); CVE-2019-14271 (внедрение библиотеки при выполнении docker cp). Кроме того, любая уязвимость ядра, например Dirty Pipe (CVE-2022-0847), автоматически становится средством побега, поскольку ядро является общим.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Небезопасные образы и цепочка поставок:</w:t>
      </w:r>
      <w:r>
        <w:rPr>
          <w:rFonts w:ascii="Times New Roman" w:hAnsi="Times New Roman" w:cs="Times New Roman" w:eastAsia="Times New Roman"/>
          <w:b w:val="0"/>
          <w:i w:val="0"/>
          <w:sz w:val="28"/>
        </w:rPr>
        <w:t xml:space="preserve"> уязвимые базовые слои и устаревшие зависимости; вредоносные и тайпсквоттинговые образы в публичных реестрах; секреты, сохранённые в промежуточных слоях и истории сборки (удаление файла в последующем слое не удаляет его из образа); отсутствие подписи образов и проверки происхождения; запуск процессов от имени суперпользователя внутри контейнера.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Целевые кампании:</w:t>
      </w:r>
      <w:r>
        <w:rPr>
          <w:rFonts w:ascii="Times New Roman" w:hAnsi="Times New Roman" w:cs="Times New Roman" w:eastAsia="Times New Roman"/>
          <w:b w:val="0"/>
          <w:i w:val="0"/>
          <w:sz w:val="28"/>
        </w:rPr>
        <w:t xml:space="preserve"> группировки TeamTNT, Kinsing, а также семейства Hildegard и Siloscape специализируются на поиске открытых контейнерных и оркестрационных интерфейсов, краже облачных учётных данных и развёртывании майнеров.</w:t>
      </w:r>
    </w:p>
    <w:p>
      <w:pPr>
        <w:keepNext/>
        <w:widowControl/>
        <w:spacing w:line="360" w:lineRule="auto" w:before="160" w:after="40"/>
        <w:ind w:firstLine="709"/>
        <w:jc w:val="both"/>
      </w:pPr>
      <w:r>
        <w:rPr>
          <w:rFonts w:ascii="Times New Roman" w:hAnsi="Times New Roman" w:cs="Times New Roman" w:eastAsia="Times New Roman"/>
          <w:b/>
          <w:i/>
          <w:sz w:val="28"/>
        </w:rPr>
        <w:t xml:space="preserve">Угрозы Kubernetes</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Незащищённые компоненты управляющего слоя:</w:t>
      </w:r>
      <w:r>
        <w:rPr>
          <w:rFonts w:ascii="Times New Roman" w:hAnsi="Times New Roman" w:cs="Times New Roman" w:eastAsia="Times New Roman"/>
          <w:b w:val="0"/>
          <w:i w:val="0"/>
          <w:sz w:val="28"/>
        </w:rPr>
        <w:t xml:space="preserve"> доступный извне kube-apiserver с разрешённым анонимным доступом; API агента kubelet на порту 10250, позволяющий выполнять команды в модулях; хранилище etcd без взаимной аутентификации TLS, содержащее все секреты кластера в открытом виде; веб-интерфейс Dashboard без авторизации (классический пример — инцидент с кластером компании Tesla, использованным для майнинга).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Ошибки управления доступом:</w:t>
      </w:r>
      <w:r>
        <w:rPr>
          <w:rFonts w:ascii="Times New Roman" w:hAnsi="Times New Roman" w:cs="Times New Roman" w:eastAsia="Times New Roman"/>
          <w:b w:val="0"/>
          <w:i w:val="0"/>
          <w:sz w:val="28"/>
        </w:rPr>
        <w:t xml:space="preserve"> назначение роли cluster-admin сервисным учётным записям; избыточные права RBAC, в частности разрешения create pod, exec, escalate, bind и impersonate, каждое из которых позволяет повысить привилегии до администратора кластера; использование долгоживущих токенов сервисных учётных записей, автоматически монтируемых в модули.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Отсутствие сетевой изоляции:</w:t>
      </w:r>
      <w:r>
        <w:rPr>
          <w:rFonts w:ascii="Times New Roman" w:hAnsi="Times New Roman" w:cs="Times New Roman" w:eastAsia="Times New Roman"/>
          <w:b w:val="0"/>
          <w:i w:val="0"/>
          <w:sz w:val="28"/>
        </w:rPr>
        <w:t xml:space="preserve"> по умолчанию сеть модулей плоская, любой модуль может обратиться к любому другому и к службе метаданных облачного провайдера по адресу 169.254.169.254, что позволяет похитить учётные данные облачной роли узла и выйти за пределы кластера.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Ослабленные политики безопасности модулей:</w:t>
      </w:r>
      <w:r>
        <w:rPr>
          <w:rFonts w:ascii="Times New Roman" w:hAnsi="Times New Roman" w:cs="Times New Roman" w:eastAsia="Times New Roman"/>
          <w:b w:val="0"/>
          <w:i w:val="0"/>
          <w:sz w:val="28"/>
        </w:rPr>
        <w:t xml:space="preserve"> разрешение привилегированных контейнеров, монтирования hostPath и повышения привилегий; после удаления механизма PodSecurityPolicy в версии 1.25 требуется явная настройка Pod Security Admission, отсутствие которой оставляет кластер без базовых ограничений.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Уязвимости платформы и дополнений:</w:t>
      </w:r>
      <w:r>
        <w:rPr>
          <w:rFonts w:ascii="Times New Roman" w:hAnsi="Times New Roman" w:cs="Times New Roman" w:eastAsia="Times New Roman"/>
          <w:b w:val="0"/>
          <w:i w:val="0"/>
          <w:sz w:val="28"/>
        </w:rPr>
        <w:t xml:space="preserve"> CVE-2018-1002105 (повышение привилегий через проксирование агрегированного API), CVE-2020-8554 (перехват трафика через ExternalIP), CVE-2022-3172, уязвимости контроллера ingress-nginx, позволяющие через аннотации прочитать секреты кластера (в том числе CVE-2023-5044).</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Атаки на конвейеры сборки и развёртывания:</w:t>
      </w:r>
      <w:r>
        <w:rPr>
          <w:rFonts w:ascii="Times New Roman" w:hAnsi="Times New Roman" w:cs="Times New Roman" w:eastAsia="Times New Roman"/>
          <w:b w:val="0"/>
          <w:i w:val="0"/>
          <w:sz w:val="28"/>
        </w:rPr>
        <w:t xml:space="preserve"> компрометация систем непрерывной интеграции, подмена Helm-чартов и манифестов, внедрение зависимостей, кража токенов реестра — с последующим легитимным развёртыванием вредоносной нагрузки в кластер.</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5 – Угрозы виртуальной и контейнерной среды и меры защиты</w:t>
      </w:r>
    </w:p>
    <w:tbl>
      <w:tblPr>
        <w:tblStyle w:val="TableGrid"/>
        <w:tblW w:type="auto" w:w="0"/>
        <w:jc w:val="center"/>
        <w:tblLayout w:type="fixed"/>
        <w:tblLook w:firstColumn="1" w:firstRow="1" w:lastColumn="0" w:lastRow="0" w:noHBand="0" w:noVBand="1" w:val="04A0"/>
      </w:tblPr>
      <w:tblGrid>
        <w:gridCol w:w="1500"/>
        <w:gridCol w:w="4155"/>
        <w:gridCol w:w="3700"/>
      </w:tblGrid>
      <w:tr>
        <w:trPr>
          <w:tblHeader/>
        </w:trPr>
        <w:tc>
          <w:tcPr>
            <w:tcW w:type="dxa" w:w="15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Объект защиты</w:t>
            </w:r>
          </w:p>
        </w:tc>
        <w:tc>
          <w:tcPr>
            <w:tcW w:type="dxa" w:w="41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Угрозы и примеры</w:t>
            </w:r>
          </w:p>
        </w:tc>
        <w:tc>
          <w:tcPr>
            <w:tcW w:type="dxa" w:w="37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Меры защиты</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Гипервизор и хост виртуализации</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Побег из виртуальной машины (VENOM CVE-2015-3456, CVE-2024-22252/22253); шифрование датасторов (ESXiArgs, Akira, Play); атаки по сторонним каналам между машинами</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Своевременное обновление гипервизора; отключение неиспользуемых виртуальных устройств и служб (OpenSLP, SSH, консоль); режим lockdown; минимизация состава хоста; аппаратные механизмы изоляции; отказ от размещения разнокатегорийных нагрузок на одном хосте</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Управляющий слой виртуализации</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Компрометация vCenter и порталов управления (CVE-2021-21985, CVE-2023-20867); кража учётных данных администратора виртуализации</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Вынесение сети управления в изолированный сегмент без доступа из Интернет; многофакторная аутентификация и выделенные административные рабочие места; ролевое разграничение; журналирование всех операций; регулярный аудит прав</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Образы, снимки, резервные копии</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Копирование виртуальных дисков и снимков; «золотые образы» с закладками; шаблоны с сохранёнными учётными данными; шифрование резервных копий вымогателями</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Шифрование виртуальных машин и виртуальный TPM; контроль целостности и подписывание образов; управление доступом к хранилищу; неизменяемые (immutable) резервные копии по правилу 3-2-1 и регулярная проверка восстановления</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Среда исполнения контейнеров (Docker)</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Монтирование docker.sock; привилегированные контейнеры и пространства имён хоста; открытый API на порту 2375; побеги CVE-2019-5736, CVE-2024-21626, CVE-2022-0492; уязвимости ядра (CVE-2022-0847)</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Запуск без привилегий и от непривилегированного пользователя (rootless, USER); read-only корневая файловая система; отзыв всех возможностей с точечным добавлением необходимых; профили seccomp, AppArmor или SELinux; пространства имён пользователей; ограничение ресурсов; отказ от монтирования сокета; при повышенных требованиях — gVisor или Kata Containers</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Образы контейнеров и цепочка поставок</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Уязвимые и вредоносные образы, тайпсквоттинг в публичных реестрах; секреты в слоях; отсутствие подписи</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Минимальные базовые образы (distroless, Alpine); сканирование образов (Trivy, Grype, Clair) в конвейере и в реестре; собственный доверенный реестр с политиками допуска; подписывание образов (Cosign/Sigstore) и проверка подписи при развёртывании; формирование SBOM; вынесение секретов во внешнее хранилище</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Kubernetes</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Открытые kube-apiserver, kubelet и etcd; Dashboard без авторизации; чрезмерный RBAC; отсутствие NetworkPolicy и доступ к службе метаданных; ослабленные политики модулей; CVE-2018-1002105, CVE-2020-8554, уязвимости ingress-nginx</w:t>
            </w:r>
          </w:p>
        </w:tc>
        <w:tc>
          <w:tcPr>
            <w:tcW w:type="dxa" w:w="37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RBAC по принципу минимальных привилегий и отказ от cluster-admin; Pod Security Admission в режиме restricted; NetworkPolicy с политикой «запрещено по умолчанию»; шифрование etcd и хранение секретов во внешнем хранилище (Vault); контроллеры допуска (Kyverno, OPA Gatekeeper); аудит API; проверка по CIS Kubernetes Benchmark (kube-bench); обнаружение аномалий во время исполнения (Falco, eBPF); mTLS средствами service mesh</w:t>
            </w:r>
          </w:p>
        </w:tc>
      </w:tr>
    </w:tbl>
    <w:p>
      <w:pPr>
        <w:keepNext/>
        <w:widowControl/>
        <w:spacing w:line="360" w:lineRule="auto" w:before="160" w:after="40"/>
        <w:ind w:firstLine="709"/>
        <w:jc w:val="both"/>
      </w:pPr>
      <w:r>
        <w:rPr>
          <w:rFonts w:ascii="Times New Roman" w:hAnsi="Times New Roman" w:cs="Times New Roman" w:eastAsia="Times New Roman"/>
          <w:b/>
          <w:i/>
          <w:sz w:val="28"/>
        </w:rPr>
        <w:t xml:space="preserve">Нормативная и методическая основа защиты виртуальных инфраструктур</w:t>
      </w:r>
    </w:p>
    <w:p>
      <w:pPr>
        <w:widowControl/>
        <w:spacing w:line="360" w:lineRule="auto" w:before="0" w:after="0"/>
        <w:ind w:firstLine="709"/>
        <w:jc w:val="both"/>
      </w:pPr>
      <w:r>
        <w:rPr>
          <w:rFonts w:ascii="Times New Roman" w:hAnsi="Times New Roman" w:cs="Times New Roman" w:eastAsia="Times New Roman"/>
          <w:b w:val="0"/>
          <w:i w:val="0"/>
          <w:sz w:val="28"/>
        </w:rPr>
        <w:t xml:space="preserve">Требования к средствам виртуализации установлены документом ФСТЭК России «Требования по безопасности информации к средствам виртуализации» (2016 г.), определяющим шесть классов защиты и состав функций безопасности — идентификацию и аутентификацию субъектов доступа, разграничение доступа к виртуальным ресурсам, регистрацию событий, контроль целостности гипервизора и образов, доверенную загрузку виртуальных машин. Общие требования к защите информации в информационных системах, включая виртуализованные, содержатся в приказах ФСТЭК России № 17, № 21, № 239 и № 31. Методической основой служат также руководство NIST SP 800-190 «Application Container Security Guide», матрица MITRE ATT&amp;CK for Containers, эталонные конфигурации CIS Benchmarks для Docker и Kubernetes, а угрозы виртуализации описаны в соответствующем разделе Банка данных угроз ФСТЭК России.</w:t>
      </w:r>
    </w:p>
    <w:p>
      <w:pPr>
        <w:widowControl/>
        <w:spacing w:line="360" w:lineRule="auto" w:before="0" w:after="0"/>
        <w:ind w:firstLine="709"/>
        <w:jc w:val="both"/>
      </w:pPr>
      <w:r>
        <w:rPr>
          <w:rFonts w:ascii="Times New Roman" w:hAnsi="Times New Roman" w:cs="Times New Roman" w:eastAsia="Times New Roman"/>
          <w:b w:val="0"/>
          <w:i w:val="0"/>
          <w:sz w:val="28"/>
        </w:rPr>
        <w:t xml:space="preserve">Итоговый принцип защиты виртуальной и контейнерной среды: изоляция не заменяет остальные механизмы защиты. Контейнер следует рассматривать как процесс с ограниченными правами, а не как границу безопасности; при обработке данных различных категорий или при исполнении недоверенного кода необходимо применять полноценную виртуализацию либо изолированные среды исполнения с собственным ядром.</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6. Каковы уязвимости современных облачных технологий? Назовите методы обеспечения информационной безопасности облачных систем. Расскажите о ситуационных центрах и о системах информационной безопасности облака.</w:t>
      </w:r>
    </w:p>
    <w:p>
      <w:pPr>
        <w:widowControl/>
        <w:spacing w:line="360" w:lineRule="auto" w:before="0" w:after="0"/>
        <w:ind w:firstLine="709"/>
        <w:jc w:val="both"/>
      </w:pPr>
      <w:r>
        <w:rPr>
          <w:rFonts w:ascii="Times New Roman" w:hAnsi="Times New Roman" w:cs="Times New Roman" w:eastAsia="Times New Roman"/>
          <w:b w:val="0"/>
          <w:i w:val="0"/>
          <w:sz w:val="28"/>
        </w:rPr>
        <w:t xml:space="preserve">В соответствии с определением NIST SP 800-145 облачные вычисления характеризуются самообслуживанием по требованию, широким сетевым доступом, объединением ресурсов в пул, эластичностью и измеряемостью услуги. Различают модели обслуживания IaaS, PaaS и SaaS и модели развёртывания — публичное, частное, гибридное и общественное облако. Ключевое значение для безопасности имеет </w:t>
      </w:r>
      <w:r>
        <w:rPr>
          <w:rFonts w:ascii="Times New Roman" w:hAnsi="Times New Roman" w:cs="Times New Roman" w:eastAsia="Times New Roman"/>
          <w:b w:val="0"/>
          <w:i/>
          <w:sz w:val="28"/>
        </w:rPr>
        <w:t xml:space="preserve">модель разделяемой ответственности</w:t>
      </w:r>
      <w:r>
        <w:rPr>
          <w:rFonts w:ascii="Times New Roman" w:hAnsi="Times New Roman" w:cs="Times New Roman" w:eastAsia="Times New Roman"/>
          <w:b w:val="0"/>
          <w:i w:val="0"/>
          <w:sz w:val="28"/>
        </w:rPr>
        <w:t xml:space="preserve">: провайдер отвечает за безопасность самого облака (аппаратура, гипервизор, физическая безопасность), а потребитель — за безопасность в облаке (конфигурация, управление доступом, данные, приложения). Граница ответственности смещается при переходе от IaaS к SaaS, и её неверное понимание является главной организационной причиной инцидентов: по оценке Gartner, подавляющее большинство нарушений безопасности облаков происходит по вине потребителя, а не провайдера.</w:t>
      </w:r>
    </w:p>
    <w:p>
      <w:pPr>
        <w:keepNext/>
        <w:widowControl/>
        <w:spacing w:line="360" w:lineRule="auto" w:before="160" w:after="40"/>
        <w:ind w:firstLine="709"/>
        <w:jc w:val="both"/>
      </w:pPr>
      <w:r>
        <w:rPr>
          <w:rFonts w:ascii="Times New Roman" w:hAnsi="Times New Roman" w:cs="Times New Roman" w:eastAsia="Times New Roman"/>
          <w:b/>
          <w:i/>
          <w:sz w:val="28"/>
        </w:rPr>
        <w:t xml:space="preserve">Уязвимости современных облачных технологий</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6 – Уязвимости облачных технологий и методы их устранения</w:t>
      </w:r>
    </w:p>
    <w:tbl>
      <w:tblPr>
        <w:tblStyle w:val="TableGrid"/>
        <w:tblW w:type="auto" w:w="0"/>
        <w:jc w:val="center"/>
        <w:tblLayout w:type="fixed"/>
        <w:tblLook w:firstColumn="1" w:firstRow="1" w:lastColumn="0" w:lastRow="0" w:noHBand="0" w:noVBand="1" w:val="04A0"/>
      </w:tblPr>
      <w:tblGrid>
        <w:gridCol w:w="2100"/>
        <w:gridCol w:w="3855"/>
        <w:gridCol w:w="3400"/>
      </w:tblGrid>
      <w:tr>
        <w:trPr>
          <w:tblHeader/>
        </w:trPr>
        <w:tc>
          <w:tcPr>
            <w:tcW w:type="dxa" w:w="21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Группа уязвимостей</w:t>
            </w:r>
          </w:p>
        </w:tc>
        <w:tc>
          <w:tcPr>
            <w:tcW w:type="dxa" w:w="38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Содержание и примеры</w:t>
            </w:r>
          </w:p>
        </w:tc>
        <w:tc>
          <w:tcPr>
            <w:tcW w:type="dxa" w:w="34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Методы защиты</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Ошибки конфигурирования</w:t>
            </w:r>
          </w:p>
        </w:tc>
        <w:tc>
          <w:tcPr>
            <w:tcW w:type="dxa" w:w="3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Общедоступные объектные хранилища и снимки дисков; открытые управляющие порты и базы данных; отключённое журналирование; сохранение параметров по умолчанию. Остаётся ведущей причиной утечек в облаках</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Автоматизированный контроль конфигураций (CSPM); эталонные конфигурации CIS Benchmarks; описание инфраструктуры кодом с обязательной проверкой (Checkov, tfsec); запрет публичного доступа на уровне политики организации</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Управление доступом и учётными данными</w:t>
            </w:r>
          </w:p>
        </w:tc>
        <w:tc>
          <w:tcPr>
            <w:tcW w:type="dxa" w:w="3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Долгоживущие ключи доступа; отсутствие многофакторной аутентификации; избыточные права ролей; секреты в репозиториях. Кампания против клиентов Snowflake (2024) — 165 организаций, доступ по украденным паролям без MFA</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Обязательная многофакторная аутентификация, предпочтительно FIDO2; отказ от постоянных ключей в пользу короткоживущих маркеров и федерации OIDC; минимальные привилегии и регулярный пересмотр прав (CIEM); внешние хранилища секретов и их ротация</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Незащищённые интерфейсы и API</w:t>
            </w:r>
          </w:p>
        </w:tc>
        <w:tc>
          <w:tcPr>
            <w:tcW w:type="dxa" w:w="3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Программные интерфейсы управления доступны из сети Интернет и являются единственной границей защиты; ошибки авторизации в API; SSRF-доступ к службе метаданных (инцидент Capital One, 2019)</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Инвентаризация и контроль внешней поверхности атаки (ASM); шлюзы API с аутентификацией и ограничением частоты запросов; версия 2 службы метаданных с обязательным маркером; сетевые политики и приватные конечные точки</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Мультиарендность и уязвимости платформы</w:t>
            </w:r>
          </w:p>
        </w:tc>
        <w:tc>
          <w:tcPr>
            <w:tcW w:type="dxa" w:w="3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Утечки между арендаторами и уязвимости самой платформы: ChaosDB, OMIGOD (CVE-2021-38647), Azurescape; подделка маркеров доступа кампанией Storm-0558 (2023); злоупотребление OAuth-приложениями кампанией Midnight Blizzard (2024)</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Выбор провайдера с подтверждённым уровнем зрелости и правом на аудит; шифрование данных ключами потребителя; конфиденциальные вычисления; мониторинг журналов провайдера; контроль согласий OAuth-приложений</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Зависимость от третьих сторон</w:t>
            </w:r>
          </w:p>
        </w:tc>
        <w:tc>
          <w:tcPr>
            <w:tcW w:type="dxa" w:w="3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Компрометация поставщика услуг затрагивает всех его клиентов: инцидент Okta (2023) и последующие атаки на её заказчиков; сбой обновления CrowdStrike 19.07.2024 затронул около 8,5 млн устройств Windows (оценка потерь компаний из списка Fortune 500 — порядка 5,4 млрд долл.), продемонстрировав системный риск единой точки отказа</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Оценка рисков поставщиков и требования к ним в договоре; резервирование критичных сервисов и планы обеспечения непрерывности; поэтапное развёртывание обновлений; отработка сценариев недоступности провайдера</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Недостаток видимости и теневое облако</w:t>
            </w:r>
          </w:p>
        </w:tc>
        <w:tc>
          <w:tcPr>
            <w:tcW w:type="dxa" w:w="3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Неучтённые подписки и SaaS-сервисы, приобретаемые подразделениями самостоятельно; эфемерность ресурсов затрудняет инвентаризацию и применение агентских средств</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Централизованный учёт облачных ресурсов и подписок; брокеры безопасного доступа к облаку (CASB) и контроль состояния SaaS (SSPM); безагентное сканирование; сбор всех облачных журналов в SIEM</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Данные, шифрование и управление ключами</w:t>
            </w:r>
          </w:p>
        </w:tc>
        <w:tc>
          <w:tcPr>
            <w:tcW w:type="dxa" w:w="3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Хранение данных без шифрования либо с ключами, полностью подконтрольными провайдеру; неконтролируемое географическое размещение; отсутствие проверяемого удаления</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Шифрование при хранении и передаче; управление ключами потребителем (BYOK/HYOK) с использованием HSM; токенизация и обезличивание; классификация данных и политики размещения; проверяемые процедуры удаления</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Правовые и суверенные риски</w:t>
            </w:r>
          </w:p>
        </w:tc>
        <w:tc>
          <w:tcPr>
            <w:tcW w:type="dxa" w:w="3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Прекращение обслуживания российских организаций иностранными провайдерами в 2022 г.; требования о локализации обработки персональных данных; трансграничная передача данных</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Размещение данных в аттестованных сегментах российских облаков; соблюдение требований Федерального закона № 152-ФЗ и приказов ФСТЭК России № 17 и № 21; планы миграции и отказ от привязки к единственному поставщику</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Доступность и стоимость</w:t>
            </w:r>
          </w:p>
        </w:tc>
        <w:tc>
          <w:tcPr>
            <w:tcW w:type="dxa" w:w="38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DDoS-атаки на публикуемые сервисы; «отказ в обслуживании кошелька» (denial of wallet) — умышленная генерация нагрузки, приводящая к неконтролируемому росту платежей</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Специализированные сервисы защиты от DDoS и CDN; ограничение частоты запросов; лимиты и бюджетные оповещения; автоматическое масштабирование с верхней границей</w:t>
            </w:r>
          </w:p>
        </w:tc>
      </w:tr>
    </w:tbl>
    <w:p>
      <w:pPr>
        <w:keepNext/>
        <w:widowControl/>
        <w:spacing w:line="360" w:lineRule="auto" w:before="160" w:after="40"/>
        <w:ind w:firstLine="709"/>
        <w:jc w:val="both"/>
      </w:pPr>
      <w:r>
        <w:rPr>
          <w:rFonts w:ascii="Times New Roman" w:hAnsi="Times New Roman" w:cs="Times New Roman" w:eastAsia="Times New Roman"/>
          <w:b/>
          <w:i/>
          <w:sz w:val="28"/>
        </w:rPr>
        <w:t xml:space="preserve">Методы обеспечения информационной безопасности облачных систем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Управление идентификацией и доступом</w:t>
      </w:r>
      <w:r>
        <w:rPr>
          <w:rFonts w:ascii="Times New Roman" w:hAnsi="Times New Roman" w:cs="Times New Roman" w:eastAsia="Times New Roman"/>
          <w:b w:val="0"/>
          <w:i w:val="0"/>
          <w:sz w:val="28"/>
        </w:rPr>
        <w:t xml:space="preserve"> как основная граница защиты: единый каталог, обязательная многофакторная аутентификация с фишинг-устойчивыми факторами, отказ от постоянных ключей доступа в пользу короткоживущих маркеров и федерации, принцип минимальных привилегий, предоставление административных прав «точно в срок» (JIT), управление привилегированным доступом (PAM), непрерывный анализ фактически используемых разрешений (CIEM).</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Архитектура нулевого доверия</w:t>
      </w:r>
      <w:r>
        <w:rPr>
          <w:rFonts w:ascii="Times New Roman" w:hAnsi="Times New Roman" w:cs="Times New Roman" w:eastAsia="Times New Roman"/>
          <w:b w:val="0"/>
          <w:i w:val="0"/>
          <w:sz w:val="28"/>
        </w:rPr>
        <w:t xml:space="preserve"> (NIST SP 800-207): отказ от понятия доверенного внутреннего периметра, проверка каждого запроса с учётом состояния устройства и контекста, микросегментация, непрерывная переоценка доверия, шифрование всех внутренних соединений.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Защита данных:</w:t>
      </w:r>
      <w:r>
        <w:rPr>
          <w:rFonts w:ascii="Times New Roman" w:hAnsi="Times New Roman" w:cs="Times New Roman" w:eastAsia="Times New Roman"/>
          <w:b w:val="0"/>
          <w:i w:val="0"/>
          <w:sz w:val="28"/>
        </w:rPr>
        <w:t xml:space="preserve"> классификация, шифрование при хранении и передаче, управление ключами потребителем с использованием аппаратных модулей безопасности, конфиденциальные вычисления (Intel SGX и TDX, AMD SEV-SNP) для защиты данных в процессе обработки, токенизация и обезличивание, средства предотвращения утечек для облачных каналов.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Специализированные классы средств защиты облака:</w:t>
      </w:r>
      <w:r>
        <w:rPr>
          <w:rFonts w:ascii="Times New Roman" w:hAnsi="Times New Roman" w:cs="Times New Roman" w:eastAsia="Times New Roman"/>
          <w:b w:val="0"/>
          <w:i w:val="0"/>
          <w:sz w:val="28"/>
        </w:rPr>
        <w:t xml:space="preserve"> CSPM — контроль конфигураций; CIEM — управление правами; CWPP — защита рабочих нагрузок (виртуальных машин, контейнеров, бессерверных функций); CASB — контроль доступа к облачным сервисам; SSPM — контроль состояния SaaS; KSPM — контроль состояния Kubernetes. Современные решения объединяют перечисленные функции в платформы защиты облачных приложений (CNAPP).</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Безопасность конвейера поставки:</w:t>
      </w:r>
      <w:r>
        <w:rPr>
          <w:rFonts w:ascii="Times New Roman" w:hAnsi="Times New Roman" w:cs="Times New Roman" w:eastAsia="Times New Roman"/>
          <w:b w:val="0"/>
          <w:i w:val="0"/>
          <w:sz w:val="28"/>
        </w:rPr>
        <w:t xml:space="preserve"> описание инфраструктуры кодом с проверкой шаблонов до развёртывания, политики в виде кода (OPA), обязательные анализ кода и состава зависимостей, подписывание артефактов и формирование SBOM, контроль допуска образов в среду исполнения.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Мониторинг и реагирование:</w:t>
      </w:r>
      <w:r>
        <w:rPr>
          <w:rFonts w:ascii="Times New Roman" w:hAnsi="Times New Roman" w:cs="Times New Roman" w:eastAsia="Times New Roman"/>
          <w:b w:val="0"/>
          <w:i w:val="0"/>
          <w:sz w:val="28"/>
        </w:rPr>
        <w:t xml:space="preserve"> централизованный сбор журналов управляющего слоя и рабочих нагрузок, корреляция в SIEM, поведенческая аналитика (UEBA), автоматизированное реагирование через программные интерфейсы провайдера (изоляция ресурса, отзыв маркеров, блокирование ключа), регулярная проверка защищённости и учения.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Обеспечение непрерывности:</w:t>
      </w:r>
      <w:r>
        <w:rPr>
          <w:rFonts w:ascii="Times New Roman" w:hAnsi="Times New Roman" w:cs="Times New Roman" w:eastAsia="Times New Roman"/>
          <w:b w:val="0"/>
          <w:i w:val="0"/>
          <w:sz w:val="28"/>
        </w:rPr>
        <w:t xml:space="preserve"> неизменяемые резервные копии в независимой учётной записи, георезервирование, документированные и проверяемые планы восстановления, определение допустимого времени и точки восстановления.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Нормативная база:</w:t>
      </w:r>
      <w:r>
        <w:rPr>
          <w:rFonts w:ascii="Times New Roman" w:hAnsi="Times New Roman" w:cs="Times New Roman" w:eastAsia="Times New Roman"/>
          <w:b w:val="0"/>
          <w:i w:val="0"/>
          <w:sz w:val="28"/>
        </w:rPr>
        <w:t xml:space="preserve"> ISO/IEC 27001:2022 и специализированные ISO/IEC 27017 (защита информации в облачных услугах) и ISO/IEC 27018 (защита персональных данных в облаке); матрица облачных мер защиты CSA Cloud Controls Matrix и реестр STAR; рекомендации NIST SP 800-144 и SP 800-210; эталонные конфигурации CIS. В Российской Федерации — Федеральный закон № 152-ФЗ, приказы ФСТЭК России № 17 и № 21, аттестация облачных сегментов на соответствие требованиям к государственным информационным системам и уровням защищённости персональных данных.</w:t>
      </w:r>
    </w:p>
    <w:p>
      <w:pPr>
        <w:keepNext/>
        <w:widowControl/>
        <w:spacing w:line="360" w:lineRule="auto" w:before="160" w:after="40"/>
        <w:ind w:firstLine="709"/>
        <w:jc w:val="both"/>
      </w:pPr>
      <w:r>
        <w:rPr>
          <w:rFonts w:ascii="Times New Roman" w:hAnsi="Times New Roman" w:cs="Times New Roman" w:eastAsia="Times New Roman"/>
          <w:b/>
          <w:i/>
          <w:sz w:val="28"/>
        </w:rPr>
        <w:t xml:space="preserve">Ситуационные центры и системы информационной безопасности облака</w:t>
      </w:r>
    </w:p>
    <w:p>
      <w:pPr>
        <w:widowControl/>
        <w:spacing w:line="360" w:lineRule="auto" w:before="0" w:after="0"/>
        <w:ind w:firstLine="709"/>
        <w:jc w:val="both"/>
      </w:pPr>
      <w:r>
        <w:rPr>
          <w:rFonts w:ascii="Times New Roman" w:hAnsi="Times New Roman" w:cs="Times New Roman" w:eastAsia="Times New Roman"/>
          <w:b w:val="0"/>
          <w:i/>
          <w:sz w:val="28"/>
        </w:rPr>
        <w:t xml:space="preserve">Центр мониторинга информационной безопасности</w:t>
      </w:r>
      <w:r>
        <w:rPr>
          <w:rFonts w:ascii="Times New Roman" w:hAnsi="Times New Roman" w:cs="Times New Roman" w:eastAsia="Times New Roman"/>
          <w:b w:val="0"/>
          <w:i w:val="0"/>
          <w:sz w:val="28"/>
        </w:rPr>
        <w:t xml:space="preserve"> (Security Operations Center, SOC) — организационно-техническая структура, обеспечивающая непрерывное выявление, анализ и реагирование на компьютерные атаки и инциденты. SOC строится как совокупность трёх составляющих: персонал, процессы и технологии; недостаточность любой из них обесценивает остальные.</w:t>
      </w:r>
    </w:p>
    <w:p>
      <w:pPr>
        <w:widowControl/>
        <w:spacing w:line="360" w:lineRule="auto" w:before="0" w:after="0"/>
        <w:ind w:firstLine="709"/>
        <w:jc w:val="both"/>
      </w:pPr>
      <w:r>
        <w:rPr>
          <w:rFonts w:ascii="Times New Roman" w:hAnsi="Times New Roman" w:cs="Times New Roman" w:eastAsia="Times New Roman"/>
          <w:b w:val="0"/>
          <w:i w:val="0"/>
          <w:sz w:val="28"/>
        </w:rPr>
        <w:t xml:space="preserve">Организационно SOC разделяется на линии: первая линия осуществляет непрерывный мониторинг и первичную сортировку событий; вторая — углублённый анализ подтверждённых инцидентов и определение масштаба компрометации; третья — реагирование, восстановление, компьютерная криминалистика и разработка новых правил обнаружения. Обособленно действуют функции аналитики киберугроз (Threat Intelligence), проактивного поиска угроз (Threat Hunting), управления уязвимостями и внешней поверхностью атаки. По модели предоставления различают внутренние, гибридные и внешние (MSSP, SOC as a Service) центры.</w:t>
      </w:r>
    </w:p>
    <w:p>
      <w:pPr>
        <w:widowControl/>
        <w:spacing w:line="360" w:lineRule="auto" w:before="0" w:after="0"/>
        <w:ind w:firstLine="709"/>
        <w:jc w:val="both"/>
      </w:pPr>
      <w:r>
        <w:rPr>
          <w:rFonts w:ascii="Times New Roman" w:hAnsi="Times New Roman" w:cs="Times New Roman" w:eastAsia="Times New Roman"/>
          <w:b w:val="0"/>
          <w:i w:val="0"/>
          <w:sz w:val="28"/>
        </w:rPr>
        <w:t xml:space="preserve">Технологическое ядро образуют: SIEM — сбор, нормализация и корреляция событий; SOAR — автоматизация типовых сценариев реагирования; платформа аналитики угроз (TIP); средства EDR/XDR на рабочих местах и серверах; средства анализа сетевого трафика (NTA/NDR); поведенческая аналитика (UEBA); система управления инцидентами (IRP); средства управления уязвимостями; ловушки-приманки как источник высокодостоверных событий. Результативность оценивается метриками среднего времени обнаружения (MTTD) и реагирования (MTTR), долей ложных срабатываний и полнотой покрытия техник матрицы MITRE ATT&amp;CK.</w:t>
      </w:r>
    </w:p>
    <w:p>
      <w:pPr>
        <w:widowControl/>
        <w:spacing w:line="360" w:lineRule="auto" w:before="0" w:after="0"/>
        <w:ind w:firstLine="709"/>
        <w:jc w:val="both"/>
      </w:pPr>
      <w:r>
        <w:rPr>
          <w:rFonts w:ascii="Times New Roman" w:hAnsi="Times New Roman" w:cs="Times New Roman" w:eastAsia="Times New Roman"/>
          <w:b w:val="0"/>
          <w:i w:val="0"/>
          <w:sz w:val="28"/>
        </w:rPr>
        <w:t xml:space="preserve">Особенности мониторинга облачных систем определяются эфемерностью ресурсов (объект исследования может прекратить существование до начала анализа), невозможностью установки агентов в моделях PaaS и SaaS, отсутствием доступа к сетевому трафику ниже уровня виртуализации и разделением ответственности с провайдером. Соответственно, облачный SOC опирается на журналы управляющего слоя как основной источник данных, безагентное сканирование образов и снимков, облачные SIEM, автоматическое реагирование через программные интерфейсы провайдера, а также на непрерывный контроль конфигураций и прав средствами CNAPP. Обязательным требованием является немедленная выгрузка журналов в независимую от контролируемой учётной записи среду хранения, поскольку получивший административные права злоумышленник иначе уничтожит следы.</w:t>
      </w:r>
    </w:p>
    <w:p>
      <w:pPr>
        <w:widowControl/>
        <w:spacing w:line="360" w:lineRule="auto" w:before="0" w:after="0"/>
        <w:ind w:firstLine="709"/>
        <w:jc w:val="both"/>
      </w:pPr>
      <w:r>
        <w:rPr>
          <w:rFonts w:ascii="Times New Roman" w:hAnsi="Times New Roman" w:cs="Times New Roman" w:eastAsia="Times New Roman"/>
          <w:b w:val="0"/>
          <w:i w:val="0"/>
          <w:sz w:val="28"/>
        </w:rPr>
        <w:t xml:space="preserve">В Российской Федерации функционирует государственная система обнаружения, предупреждения и ликвидации последствий компьютерных атак (ГосСОПКА), созданная в соответствии с Федеральным законом от 26.07.2017 № 187-ФЗ. Её головной организацией является Национальный координационный центр по компьютерным инцидентам (НКЦКИ), действующий при ФСБ России; субъекты критической информационной инфраструктуры создают ведомственные и корпоративные центры ГосСОПКА и обязаны информировать НКЦКИ о компьютерных инцидентах в установленные сроки (порядок определён приказами ФСБ России от 24.07.2018 № 366, № 367 и № 368). В финансовой сфере действует ФинЦЕРТ Банка России, осуществляющий обмен сведениями об инцидентах и мошеннических операциях; сформированы отраслевые центры компетенций. Для поддержки управленческих решений на государственном уровне создана система распределённых ситуационных центров, работающих по единым регламентам взаимодействия, — в её рамках реализуется сбор и визуализация обстановки, включая обстановку в информационной сфере. На коммерческом рынке услуги мониторинга предоставляют Solar JSOC, экспертный центр безопасности Positive Technologies, BI.ZONE, «Информзащита», RED Security, Kaspersky MDR, Angara SOC; в качестве ядра применяются отечественные SIEM-системы MaxPatrol SIEM, Kaspersky Unified Monitoring and Analysis Platform (KUMA), RuSIEM, Ankey SIEM и Solar SIEM.</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7. Перечислите средства защиты от вирусов, возможности межсетевых экранов, средств обнаружения и предотвращения вторжений, средств предотвращения утечек, средств шифрования, систем биометрической аутентификации, как двухфакторной, так и однократной. Как работает Honeypot – ловушка для хакеров?</w:t>
      </w:r>
    </w:p>
    <w:p>
      <w:pPr>
        <w:widowControl/>
        <w:spacing w:line="360" w:lineRule="auto" w:before="0" w:after="0"/>
        <w:ind w:firstLine="709"/>
        <w:jc w:val="both"/>
      </w:pPr>
      <w:r>
        <w:rPr>
          <w:rFonts w:ascii="Times New Roman" w:hAnsi="Times New Roman" w:cs="Times New Roman" w:eastAsia="Times New Roman"/>
          <w:b w:val="0"/>
          <w:i w:val="0"/>
          <w:sz w:val="28"/>
        </w:rPr>
        <w:t xml:space="preserve">Средства обеспечения информационной безопасности принято разделять на правовые, организационные (административные), физические и инженерно-технические, среди которых выделяют программные, аппаратные, программно-аппаратные и криптографические. В Российской Федерации средства защиты информации подлежат оценке соответствия: требования к отдельным классам средств устанавливаются приказами ФСТЭК России, а уровни доверия к средствам технической защиты информации (шесть уровней) — приказом ФСТЭК России от 30.07.2018 № 131. Криптографические средства сертифицируются ФСБ России.</w:t>
      </w:r>
    </w:p>
    <w:p>
      <w:pPr>
        <w:keepNext/>
        <w:widowControl/>
        <w:spacing w:line="360" w:lineRule="auto" w:before="160" w:after="40"/>
        <w:ind w:firstLine="709"/>
        <w:jc w:val="both"/>
      </w:pPr>
      <w:r>
        <w:rPr>
          <w:rFonts w:ascii="Times New Roman" w:hAnsi="Times New Roman" w:cs="Times New Roman" w:eastAsia="Times New Roman"/>
          <w:b/>
          <w:i/>
          <w:sz w:val="28"/>
        </w:rPr>
        <w:t xml:space="preserve">Средства защиты от вирусов</w:t>
      </w:r>
    </w:p>
    <w:p>
      <w:pPr>
        <w:widowControl/>
        <w:spacing w:line="360" w:lineRule="auto" w:before="0" w:after="0"/>
        <w:ind w:firstLine="709"/>
        <w:jc w:val="both"/>
      </w:pPr>
      <w:r>
        <w:rPr>
          <w:rFonts w:ascii="Times New Roman" w:hAnsi="Times New Roman" w:cs="Times New Roman" w:eastAsia="Times New Roman"/>
          <w:b w:val="0"/>
          <w:i w:val="0"/>
          <w:sz w:val="28"/>
        </w:rPr>
        <w:t xml:space="preserve">Современное средство антивирусной защиты представляет собой многокомпонентную систему, использующую следующие методы обнаружения: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сигнатурный анализ</w:t>
      </w:r>
      <w:r>
        <w:rPr>
          <w:rFonts w:ascii="Times New Roman" w:hAnsi="Times New Roman" w:cs="Times New Roman" w:eastAsia="Times New Roman"/>
          <w:b w:val="0"/>
          <w:i w:val="0"/>
          <w:sz w:val="28"/>
        </w:rPr>
        <w:t xml:space="preserve"> — сравнение с базой признаков известного вредоносного кода; обеспечивает точность при нулевом уровне ложных срабатываний, но бессилен против новых и полиморфных образцов;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эвристический анализ</w:t>
      </w:r>
      <w:r>
        <w:rPr>
          <w:rFonts w:ascii="Times New Roman" w:hAnsi="Times New Roman" w:cs="Times New Roman" w:eastAsia="Times New Roman"/>
          <w:b w:val="0"/>
          <w:i w:val="0"/>
          <w:sz w:val="28"/>
        </w:rPr>
        <w:t xml:space="preserve"> — выявление подозрительных конструкций и структурных признаков без точного совпадения сигнатуры;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поведенческий анализ и блокировка нежелательного поведения (HIPS)</w:t>
      </w:r>
      <w:r>
        <w:rPr>
          <w:rFonts w:ascii="Times New Roman" w:hAnsi="Times New Roman" w:cs="Times New Roman" w:eastAsia="Times New Roman"/>
          <w:b w:val="0"/>
          <w:i w:val="0"/>
          <w:sz w:val="28"/>
        </w:rPr>
        <w:t xml:space="preserve"> — контроль действий программы во время исполнения: обращение к системному реестру, внедрение в процессы, массовое изменение файлов, характерное для шифровальщика;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эмуляция и изолированная среда (песочница)</w:t>
      </w:r>
      <w:r>
        <w:rPr>
          <w:rFonts w:ascii="Times New Roman" w:hAnsi="Times New Roman" w:cs="Times New Roman" w:eastAsia="Times New Roman"/>
          <w:b w:val="0"/>
          <w:i w:val="0"/>
          <w:sz w:val="28"/>
        </w:rPr>
        <w:t xml:space="preserve"> — запуск подозрительного объекта в контролируемом окружении с наблюдением за его поведением;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облачная репутация и глобальная телеметрия</w:t>
      </w:r>
      <w:r>
        <w:rPr>
          <w:rFonts w:ascii="Times New Roman" w:hAnsi="Times New Roman" w:cs="Times New Roman" w:eastAsia="Times New Roman"/>
          <w:b w:val="0"/>
          <w:i w:val="0"/>
          <w:sz w:val="28"/>
        </w:rPr>
        <w:t xml:space="preserve"> — проверка хеша объекта и репутации источника по централизованной базе, обеспечивающая реакцию за минуты;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машинное обучение</w:t>
      </w:r>
      <w:r>
        <w:rPr>
          <w:rFonts w:ascii="Times New Roman" w:hAnsi="Times New Roman" w:cs="Times New Roman" w:eastAsia="Times New Roman"/>
          <w:b w:val="0"/>
          <w:i w:val="0"/>
          <w:sz w:val="28"/>
        </w:rPr>
        <w:t xml:space="preserve"> — статистические модели, обученные на больших выборках, для выявления ранее не встречавшихся образцов.</w:t>
      </w:r>
    </w:p>
    <w:p>
      <w:pPr>
        <w:widowControl/>
        <w:spacing w:line="360" w:lineRule="auto" w:before="0" w:after="0"/>
        <w:ind w:firstLine="709"/>
        <w:jc w:val="both"/>
      </w:pPr>
      <w:r>
        <w:rPr>
          <w:rFonts w:ascii="Times New Roman" w:hAnsi="Times New Roman" w:cs="Times New Roman" w:eastAsia="Times New Roman"/>
          <w:b w:val="0"/>
          <w:i w:val="0"/>
          <w:sz w:val="28"/>
        </w:rPr>
        <w:t xml:space="preserve">Дополнительными функциями являются карантин и лечение, откат изменений, внесённых шифровальщиком, защита от эксплуатации уязвимостей, контроль запуска приложений по принципу разрешительного списка, контроль устройств и веб-контроль, защита загрузочной записи. Эволюционно антивирус развился в платформу защиты рабочих мест (EPP), затем в средства обнаружения и реагирования на конечных точках (EDR) и в расширенные системы обнаружения и реагирования (XDR), объединяющие телеметрию рабочих мест, сети, почты и облака. Требования к средствам антивирусной защиты установлены приказом ФСТЭК России от 20.03.2012 № 28, выделяющим четыре типа средств (А — для централизованного управления, Б — для серверов, В — для рабочих мест, Г — для автономных рабочих мест) и шесть классов защиты. Примеры: Kaspersky Endpoint Security, Dr.Web Enterprise Security Suite, Microsoft Defender for Endpoint, ClamAV.</w:t>
      </w:r>
    </w:p>
    <w:p>
      <w:pPr>
        <w:keepNext/>
        <w:widowControl/>
        <w:spacing w:line="360" w:lineRule="auto" w:before="160" w:after="40"/>
        <w:ind w:firstLine="709"/>
        <w:jc w:val="both"/>
      </w:pPr>
      <w:r>
        <w:rPr>
          <w:rFonts w:ascii="Times New Roman" w:hAnsi="Times New Roman" w:cs="Times New Roman" w:eastAsia="Times New Roman"/>
          <w:b/>
          <w:i/>
          <w:sz w:val="28"/>
        </w:rPr>
        <w:t xml:space="preserve">Возможности межсетевых экранов</w:t>
      </w:r>
    </w:p>
    <w:p>
      <w:pPr>
        <w:widowControl/>
        <w:spacing w:line="360" w:lineRule="auto" w:before="0" w:after="0"/>
        <w:ind w:firstLine="709"/>
        <w:jc w:val="both"/>
      </w:pPr>
      <w:r>
        <w:rPr>
          <w:rFonts w:ascii="Times New Roman" w:hAnsi="Times New Roman" w:cs="Times New Roman" w:eastAsia="Times New Roman"/>
          <w:b w:val="0"/>
          <w:i/>
          <w:sz w:val="28"/>
        </w:rPr>
        <w:t xml:space="preserve">Межсетевой экран</w:t>
      </w:r>
      <w:r>
        <w:rPr>
          <w:rFonts w:ascii="Times New Roman" w:hAnsi="Times New Roman" w:cs="Times New Roman" w:eastAsia="Times New Roman"/>
          <w:b w:val="0"/>
          <w:i w:val="0"/>
          <w:sz w:val="28"/>
        </w:rPr>
        <w:t xml:space="preserve"> — средство защиты, осуществляющее контроль и фильтрацию проходящего через него трафика в соответствии с заданными правилами. По принципу действия и уровню модели OSI различают:</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пакетные фильтры</w:t>
      </w:r>
      <w:r>
        <w:rPr>
          <w:rFonts w:ascii="Times New Roman" w:hAnsi="Times New Roman" w:cs="Times New Roman" w:eastAsia="Times New Roman"/>
          <w:b w:val="0"/>
          <w:i w:val="0"/>
          <w:sz w:val="28"/>
        </w:rPr>
        <w:t xml:space="preserve"> (без сохранения состояния) — фильтрация по адресам, портам и флагам отдельных пакетов на сетевом и транспортном уровнях; высокая производительность при минимальной глубине контроля;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межсетевые экраны с контролем состояния соединений</w:t>
      </w:r>
      <w:r>
        <w:rPr>
          <w:rFonts w:ascii="Times New Roman" w:hAnsi="Times New Roman" w:cs="Times New Roman" w:eastAsia="Times New Roman"/>
          <w:b w:val="0"/>
          <w:i w:val="0"/>
          <w:sz w:val="28"/>
        </w:rPr>
        <w:t xml:space="preserve"> (stateful inspection) — учёт контекста соединения, что позволяет отбрасывать пакеты, не относящиеся к установленным сеансам;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шлюзы прикладного уровня (прокси)</w:t>
      </w:r>
      <w:r>
        <w:rPr>
          <w:rFonts w:ascii="Times New Roman" w:hAnsi="Times New Roman" w:cs="Times New Roman" w:eastAsia="Times New Roman"/>
          <w:b w:val="0"/>
          <w:i w:val="0"/>
          <w:sz w:val="28"/>
        </w:rPr>
        <w:t xml:space="preserve"> — полный разбор прикладного протокола, разрыв соединения на две части, возможность контроля содержимого и сокрытия внутренней структуры сети;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межсетевые экраны нового поколения (NGFW)</w:t>
      </w:r>
      <w:r>
        <w:rPr>
          <w:rFonts w:ascii="Times New Roman" w:hAnsi="Times New Roman" w:cs="Times New Roman" w:eastAsia="Times New Roman"/>
          <w:b w:val="0"/>
          <w:i w:val="0"/>
          <w:sz w:val="28"/>
        </w:rPr>
        <w:t xml:space="preserve"> — глубокий разбор пакетов, идентификация приложений независимо от порта, встроенная система предотвращения вторжений, антивирусная проверка, фильтрация URL и категорий сайтов, инспекция трафика TLS, привязка правил к учётным записям пользователей, интеграция с аналитикой угроз и песочницей;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межсетевые экраны уровня веб-приложений (WAF)</w:t>
      </w:r>
      <w:r>
        <w:rPr>
          <w:rFonts w:ascii="Times New Roman" w:hAnsi="Times New Roman" w:cs="Times New Roman" w:eastAsia="Times New Roman"/>
          <w:b w:val="0"/>
          <w:i w:val="0"/>
          <w:sz w:val="28"/>
        </w:rPr>
        <w:t xml:space="preserve"> — защита от атак прикладного уровня (инъекции, XSS, обход логики), выявление ботов, защита программных интерфейсов, виртуальное устранение уязвимостей до выпуска обновления;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комплексные средства (UTM)</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i w:val="0"/>
          <w:sz w:val="28"/>
        </w:rPr>
        <w:t xml:space="preserve">шлюзы безопасного доступа в Интернет (SWG)</w:t>
      </w:r>
      <w:r>
        <w:rPr>
          <w:rFonts w:ascii="Times New Roman" w:hAnsi="Times New Roman" w:cs="Times New Roman" w:eastAsia="Times New Roman"/>
          <w:b w:val="0"/>
          <w:i w:val="0"/>
          <w:sz w:val="28"/>
        </w:rPr>
        <w:t xml:space="preserve">, объединяющие фильтрацию, антивирус, контроль содержимого и функции VPN, а также </w:t>
      </w:r>
      <w:r>
        <w:rPr>
          <w:rFonts w:ascii="Times New Roman" w:hAnsi="Times New Roman" w:cs="Times New Roman" w:eastAsia="Times New Roman"/>
          <w:b/>
          <w:i w:val="0"/>
          <w:sz w:val="28"/>
        </w:rPr>
        <w:t xml:space="preserve">персональные межсетевые экраны</w:t>
      </w:r>
      <w:r>
        <w:rPr>
          <w:rFonts w:ascii="Times New Roman" w:hAnsi="Times New Roman" w:cs="Times New Roman" w:eastAsia="Times New Roman"/>
          <w:b w:val="0"/>
          <w:i w:val="0"/>
          <w:sz w:val="28"/>
        </w:rPr>
        <w:t xml:space="preserve"> на рабочих местах, обеспечивающие микросегментацию.</w:t>
      </w:r>
    </w:p>
    <w:p>
      <w:pPr>
        <w:widowControl/>
        <w:spacing w:line="360" w:lineRule="auto" w:before="0" w:after="0"/>
        <w:ind w:firstLine="709"/>
        <w:jc w:val="both"/>
      </w:pPr>
      <w:r>
        <w:rPr>
          <w:rFonts w:ascii="Times New Roman" w:hAnsi="Times New Roman" w:cs="Times New Roman" w:eastAsia="Times New Roman"/>
          <w:b w:val="0"/>
          <w:i w:val="0"/>
          <w:sz w:val="28"/>
        </w:rPr>
        <w:t xml:space="preserve">Требования к межсетевым экранам установлены приказом ФСТЭК России от 09.02.2016 № 9, который выделяет пять типов средств — А (уровня сети), Б (уровня логических границ сети), В (уровня узла), Г (уровня веб-сервера) и Д (уровня промышленной сети) — и шесть классов защиты. Примеры отечественных решений: UserGate, «Континент 4», PT NGFW, Kaspersky NGFW, Solar NGFW, Ideco UTM, ViPNet xFirewall; в классе WAF — PT Application Firewall, SolidWall WAF, BI.ZONE WAF, «Вебмониторэкс».</w:t>
      </w:r>
    </w:p>
    <w:p>
      <w:pPr>
        <w:widowControl/>
        <w:spacing w:line="360" w:lineRule="auto" w:before="0" w:after="0"/>
        <w:ind w:firstLine="709"/>
        <w:jc w:val="both"/>
      </w:pPr>
      <w:r>
        <w:rPr>
          <w:rFonts w:ascii="Times New Roman" w:hAnsi="Times New Roman" w:cs="Times New Roman" w:eastAsia="Times New Roman"/>
          <w:b w:val="0"/>
          <w:i w:val="0"/>
          <w:sz w:val="28"/>
        </w:rPr>
        <w:t xml:space="preserve">Необходимо учитывать принципиальные ограничения межсетевого экранирования: экран не защищает от атак, реализуемых внутри разрешённого трафика (фишинговое письмо и SQL-инъекция проходят по разрешённым портам 25 и 443), не контролирует обходные каналы (мобильный Интернет, съёмные носители), не защищает от действий легитимного пользователя и сам является объектом атаки, что подтверждается массовой эксплуатацией уязвимостей в шлюзах удалённого доступа в 2023–2024 гг.</w:t>
      </w:r>
    </w:p>
    <w:p>
      <w:pPr>
        <w:keepNext/>
        <w:widowControl/>
        <w:spacing w:line="360" w:lineRule="auto" w:before="160" w:after="40"/>
        <w:ind w:firstLine="709"/>
        <w:jc w:val="both"/>
      </w:pPr>
      <w:r>
        <w:rPr>
          <w:rFonts w:ascii="Times New Roman" w:hAnsi="Times New Roman" w:cs="Times New Roman" w:eastAsia="Times New Roman"/>
          <w:b/>
          <w:i/>
          <w:sz w:val="28"/>
        </w:rPr>
        <w:t xml:space="preserve">Средства обнаружения и предотвращения вторжений</w:t>
      </w:r>
    </w:p>
    <w:p>
      <w:pPr>
        <w:widowControl/>
        <w:spacing w:line="360" w:lineRule="auto" w:before="0" w:after="0"/>
        <w:ind w:firstLine="709"/>
        <w:jc w:val="both"/>
      </w:pPr>
      <w:r>
        <w:rPr>
          <w:rFonts w:ascii="Times New Roman" w:hAnsi="Times New Roman" w:cs="Times New Roman" w:eastAsia="Times New Roman"/>
          <w:b w:val="0"/>
          <w:i/>
          <w:sz w:val="28"/>
        </w:rPr>
        <w:t xml:space="preserve">Система обнаружения вторжений</w:t>
      </w:r>
      <w:r>
        <w:rPr>
          <w:rFonts w:ascii="Times New Roman" w:hAnsi="Times New Roman" w:cs="Times New Roman" w:eastAsia="Times New Roman"/>
          <w:b w:val="0"/>
          <w:i w:val="0"/>
          <w:sz w:val="28"/>
        </w:rPr>
        <w:t xml:space="preserve"> (СОВ, IDS) выявляет признаки несанкционированной активности и оповещает о них; </w:t>
      </w:r>
      <w:r>
        <w:rPr>
          <w:rFonts w:ascii="Times New Roman" w:hAnsi="Times New Roman" w:cs="Times New Roman" w:eastAsia="Times New Roman"/>
          <w:b w:val="0"/>
          <w:i/>
          <w:sz w:val="28"/>
        </w:rPr>
        <w:t xml:space="preserve">система предотвращения вторжений</w:t>
      </w:r>
      <w:r>
        <w:rPr>
          <w:rFonts w:ascii="Times New Roman" w:hAnsi="Times New Roman" w:cs="Times New Roman" w:eastAsia="Times New Roman"/>
          <w:b w:val="0"/>
          <w:i w:val="0"/>
          <w:sz w:val="28"/>
        </w:rPr>
        <w:t xml:space="preserve"> (IPS) дополнительно блокирует выявленное воздействие. Классификация проводится по двум основаниям: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по расположению</w:t>
      </w:r>
      <w:r>
        <w:rPr>
          <w:rFonts w:ascii="Times New Roman" w:hAnsi="Times New Roman" w:cs="Times New Roman" w:eastAsia="Times New Roman"/>
          <w:b w:val="0"/>
          <w:i w:val="0"/>
          <w:sz w:val="28"/>
        </w:rPr>
        <w:t xml:space="preserve"> — сетевые (NIDS/NIPS), анализирующие трафик сегмента, и узловые (HIDS/HIPS), контролирующие события операционной системы, целостность файлов и журналы конкретного узла; сетевые средства подключаются либо в разрыв канала (режим предотвращения), либо на зеркалирующий порт или ответвитель (режим обнаружения, не влияющий на доступность);</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по методу обнаружения</w:t>
      </w:r>
      <w:r>
        <w:rPr>
          <w:rFonts w:ascii="Times New Roman" w:hAnsi="Times New Roman" w:cs="Times New Roman" w:eastAsia="Times New Roman"/>
          <w:b w:val="0"/>
          <w:i w:val="0"/>
          <w:sz w:val="28"/>
        </w:rPr>
        <w:t xml:space="preserve"> — сигнатурные (обнаружение злоупотреблений), выявляющие известные атаки по признакам с высокой точностью, и основанные на выявлении аномалий, сопоставляющие текущее поведение с профилем нормальной активности и потенциально способные обнаружить неизвестные атаки, но дающие больше ложных срабатываний; практически применяются гибридные схемы с элементами машинного обучения.</w:t>
      </w:r>
    </w:p>
    <w:p>
      <w:pPr>
        <w:widowControl/>
        <w:spacing w:line="360" w:lineRule="auto" w:before="0" w:after="0"/>
        <w:ind w:firstLine="709"/>
        <w:jc w:val="both"/>
      </w:pPr>
      <w:r>
        <w:rPr>
          <w:rFonts w:ascii="Times New Roman" w:hAnsi="Times New Roman" w:cs="Times New Roman" w:eastAsia="Times New Roman"/>
          <w:b w:val="0"/>
          <w:i w:val="0"/>
          <w:sz w:val="28"/>
        </w:rPr>
        <w:t xml:space="preserve">Развитием сетевых средств стали системы анализа сетевого трафика (NTA) и обнаружения и реагирования в сети (NDR), выполняющие ретроспективный анализ, восстановление сеансов и выявление горизонтального перемещения. Основным ограничением остаётся повсеместное шифрование трафика: контроль требует либо расшифрования на средстве защиты, либо анализа метаданных и отпечатков соединений (JA3/JA4). Требования к системам обнаружения вторжений установлены приказом ФСТЭК России от 06.12.2011 № 638, различающим СОВ уровня сети и уровня узла и шесть классов защиты. Примеры: Suricata, Snort, Zeek, Wazuh, OSSEC; отечественные — PT Network Attack Discovery, Kaspersky Anti Targeted Attack, СОВ в составе «Континент», ViPNet IDS, «Гарда Монитор».</w:t>
      </w:r>
    </w:p>
    <w:p>
      <w:pPr>
        <w:keepNext/>
        <w:widowControl/>
        <w:spacing w:line="360" w:lineRule="auto" w:before="160" w:after="40"/>
        <w:ind w:firstLine="709"/>
        <w:jc w:val="both"/>
      </w:pPr>
      <w:r>
        <w:rPr>
          <w:rFonts w:ascii="Times New Roman" w:hAnsi="Times New Roman" w:cs="Times New Roman" w:eastAsia="Times New Roman"/>
          <w:b/>
          <w:i/>
          <w:sz w:val="28"/>
        </w:rPr>
        <w:t xml:space="preserve">Средства предотвращения утечек информации</w:t>
      </w:r>
    </w:p>
    <w:p>
      <w:pPr>
        <w:widowControl/>
        <w:spacing w:line="360" w:lineRule="auto" w:before="0" w:after="0"/>
        <w:ind w:firstLine="709"/>
        <w:jc w:val="both"/>
      </w:pPr>
      <w:r>
        <w:rPr>
          <w:rFonts w:ascii="Times New Roman" w:hAnsi="Times New Roman" w:cs="Times New Roman" w:eastAsia="Times New Roman"/>
          <w:b w:val="0"/>
          <w:i/>
          <w:sz w:val="28"/>
        </w:rPr>
        <w:t xml:space="preserve">Системы предотвращения утечек</w:t>
      </w:r>
      <w:r>
        <w:rPr>
          <w:rFonts w:ascii="Times New Roman" w:hAnsi="Times New Roman" w:cs="Times New Roman" w:eastAsia="Times New Roman"/>
          <w:b w:val="0"/>
          <w:i w:val="0"/>
          <w:sz w:val="28"/>
        </w:rPr>
        <w:t xml:space="preserve"> (DLP) обеспечивают выявление и блокирование передачи защищаемой информации за пределы организации. Контролируемые каналы: электронная почта, веб-трафик и облачные хранилища, мессенджеры, съёмные носители, печать, буфер обмена, снимки экрана, передача файлов по сети, голосовые каналы. По принципу реализации различают агентские (на рабочих местах, с возможностью контроля до шифрования канала) и шлюзовые решения; по режиму работы — мониторинг с последующим разбором и активное блокирование.</w:t>
      </w:r>
    </w:p>
    <w:p>
      <w:pPr>
        <w:widowControl/>
        <w:spacing w:line="360" w:lineRule="auto" w:before="0" w:after="0"/>
        <w:ind w:firstLine="709"/>
        <w:jc w:val="both"/>
      </w:pPr>
      <w:r>
        <w:rPr>
          <w:rFonts w:ascii="Times New Roman" w:hAnsi="Times New Roman" w:cs="Times New Roman" w:eastAsia="Times New Roman"/>
          <w:b w:val="0"/>
          <w:i w:val="0"/>
          <w:sz w:val="28"/>
        </w:rPr>
        <w:t xml:space="preserve">Технологии обнаружения защищаемой информации: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регулярные выражения и словари — выявление структурированных данных (номера карт, паспортов, ИНН) и ключевых терминов;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цифровые отпечатки (fingerprinting) — сопоставление с эталонными документами и записями баз данных, устойчивое к частичному копированию;</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лингвистический и семантический анализ — определение тематики документа;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оптическое распознавание символов — контроль текста в изображениях и снимках экрана;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метки и классификация документов, наследуемые при копировании;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распознавание речи для контроля голосовых каналов.</w:t>
      </w:r>
    </w:p>
    <w:p>
      <w:pPr>
        <w:widowControl/>
        <w:spacing w:line="360" w:lineRule="auto" w:before="0" w:after="0"/>
        <w:ind w:firstLine="709"/>
        <w:jc w:val="both"/>
      </w:pPr>
      <w:r>
        <w:rPr>
          <w:rFonts w:ascii="Times New Roman" w:hAnsi="Times New Roman" w:cs="Times New Roman" w:eastAsia="Times New Roman"/>
          <w:b w:val="0"/>
          <w:i w:val="0"/>
          <w:sz w:val="28"/>
        </w:rPr>
        <w:t xml:space="preserve">Сопутствующие функции современных систем: контроль действий пользователей (UAM) и поведенческая аналитика (UEBA) для выявления подготовки к хищению данных, контроль привилегированных пользователей, ведение архива перехваченных сообщений для последующих расследований, автоматическое выявление места хранения защищаемых данных. Принципиальные ограничения: невозможность контроля сквозного шифрования без агента, стеганография, фотографирование экрана личным устройством, запоминание информации человеком, — вследствие чего DLP рассматривается как средство снижения риска непреднамеренных и малоквалифицированных утечек и как источник доказательной базы, но не как абсолютная преграда. Примеры: InfoWatch Traffic Monitor, Solar Dozor, Zecurion DLP, SearchInform КИБ, «Гарда Предприятие», DeviceLock DLP.</w:t>
      </w:r>
    </w:p>
    <w:p>
      <w:pPr>
        <w:keepNext/>
        <w:widowControl/>
        <w:spacing w:line="360" w:lineRule="auto" w:before="160" w:after="40"/>
        <w:ind w:firstLine="709"/>
        <w:jc w:val="both"/>
      </w:pPr>
      <w:r>
        <w:rPr>
          <w:rFonts w:ascii="Times New Roman" w:hAnsi="Times New Roman" w:cs="Times New Roman" w:eastAsia="Times New Roman"/>
          <w:b/>
          <w:i/>
          <w:sz w:val="28"/>
        </w:rPr>
        <w:t xml:space="preserve">Средства шифрования</w:t>
      </w:r>
    </w:p>
    <w:p>
      <w:pPr>
        <w:widowControl/>
        <w:spacing w:line="360" w:lineRule="auto" w:before="0" w:after="0"/>
        <w:ind w:firstLine="709"/>
        <w:jc w:val="both"/>
      </w:pPr>
      <w:r>
        <w:rPr>
          <w:rFonts w:ascii="Times New Roman" w:hAnsi="Times New Roman" w:cs="Times New Roman" w:eastAsia="Times New Roman"/>
          <w:b w:val="0"/>
          <w:i w:val="0"/>
          <w:sz w:val="28"/>
        </w:rPr>
        <w:t xml:space="preserve">Криптографические средства защиты информации (СКЗИ) обеспечивают конфиденциальность, целостность, аутентичность и неотказуемость. В Российской Федерации применяются национальные стандарты: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ГОСТ Р 34.12-2015</w:t>
      </w:r>
      <w:r>
        <w:rPr>
          <w:rFonts w:ascii="Times New Roman" w:hAnsi="Times New Roman" w:cs="Times New Roman" w:eastAsia="Times New Roman"/>
          <w:b w:val="0"/>
          <w:i w:val="0"/>
          <w:sz w:val="28"/>
        </w:rPr>
        <w:t xml:space="preserve"> — блочные шифры «Кузнечик» (длина блока 128 бит, ключ 256 бит) и «Магма» (блок 64 бита) и </w:t>
      </w:r>
      <w:r>
        <w:rPr>
          <w:rFonts w:ascii="Times New Roman" w:hAnsi="Times New Roman" w:cs="Times New Roman" w:eastAsia="Times New Roman"/>
          <w:b/>
          <w:i w:val="0"/>
          <w:sz w:val="28"/>
        </w:rPr>
        <w:t xml:space="preserve">ГОСТ Р 34.13-2015</w:t>
      </w:r>
      <w:r>
        <w:rPr>
          <w:rFonts w:ascii="Times New Roman" w:hAnsi="Times New Roman" w:cs="Times New Roman" w:eastAsia="Times New Roman"/>
          <w:b w:val="0"/>
          <w:i w:val="0"/>
          <w:sz w:val="28"/>
        </w:rPr>
        <w:t xml:space="preserve"> — режимы их работы;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ГОСТ Р 34.10-2012</w:t>
      </w:r>
      <w:r>
        <w:rPr>
          <w:rFonts w:ascii="Times New Roman" w:hAnsi="Times New Roman" w:cs="Times New Roman" w:eastAsia="Times New Roman"/>
          <w:b w:val="0"/>
          <w:i w:val="0"/>
          <w:sz w:val="28"/>
        </w:rPr>
        <w:t xml:space="preserve"> — формирование и проверка электронной подписи на эллиптических кривых;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ГОСТ Р 34.11-2012</w:t>
      </w:r>
      <w:r>
        <w:rPr>
          <w:rFonts w:ascii="Times New Roman" w:hAnsi="Times New Roman" w:cs="Times New Roman" w:eastAsia="Times New Roman"/>
          <w:b w:val="0"/>
          <w:i w:val="0"/>
          <w:sz w:val="28"/>
        </w:rPr>
        <w:t xml:space="preserve"> («Стрибог») — функция хеширования с длиной результата 256 или 512 бит.</w:t>
      </w:r>
    </w:p>
    <w:p>
      <w:pPr>
        <w:widowControl/>
        <w:spacing w:line="360" w:lineRule="auto" w:before="0" w:after="0"/>
        <w:ind w:firstLine="709"/>
        <w:jc w:val="both"/>
      </w:pPr>
      <w:r>
        <w:rPr>
          <w:rFonts w:ascii="Times New Roman" w:hAnsi="Times New Roman" w:cs="Times New Roman" w:eastAsia="Times New Roman"/>
          <w:b w:val="0"/>
          <w:i w:val="0"/>
          <w:sz w:val="28"/>
        </w:rPr>
        <w:t xml:space="preserve">Наряду с ними в международной практике используются AES, ChaCha20-Poly1305, RSA, ECDSA и ECDH, семейства SHA-2 и SHA-3. Области применения средств шифрования: защита каналов связи (IPsec, TLS, ГОСТ-VPN — ViPNet, «Континент», «С-Терра»), шифрование накопителей и отдельных файлов, прозрачное шифрование баз данных, защита электронной почты, инфраструктура открытых ключей и удостоверяющие центры, квалифицированная электронная подпись в соответствии с Федеральным законом от 06.04.2011 № 63-ФЗ, аппаратные модули безопасности (HSM) для хранения ключей. Классы СКЗИ (КС1, КС2, КС3, КВ, КА), устанавливаемые ФСБ России, определяются моделью нарушителя, от которого обеспечивается защита. Отдельного внимания требует переход к постквантовой криптографии: в августе 2024 г. NIST утвердил стандарты FIPS 203 (ML-KEM), FIPS 204 (ML-DSA) и FIPS 205 (SLH-DSA), поскольку данные, перехваченные сегодня, могут быть расшифрованы после появления квантового компьютера («сохрани сейчас — расшифруй потом»).</w:t>
      </w:r>
    </w:p>
    <w:p>
      <w:pPr>
        <w:keepNext/>
        <w:widowControl/>
        <w:spacing w:line="360" w:lineRule="auto" w:before="160" w:after="40"/>
        <w:ind w:firstLine="709"/>
        <w:jc w:val="both"/>
      </w:pPr>
      <w:r>
        <w:rPr>
          <w:rFonts w:ascii="Times New Roman" w:hAnsi="Times New Roman" w:cs="Times New Roman" w:eastAsia="Times New Roman"/>
          <w:b/>
          <w:i/>
          <w:sz w:val="28"/>
        </w:rPr>
        <w:t xml:space="preserve">Системы биометрической аутентификации</w:t>
      </w:r>
    </w:p>
    <w:p>
      <w:pPr>
        <w:widowControl/>
        <w:spacing w:line="360" w:lineRule="auto" w:before="0" w:after="0"/>
        <w:ind w:firstLine="709"/>
        <w:jc w:val="both"/>
      </w:pPr>
      <w:r>
        <w:rPr>
          <w:rFonts w:ascii="Times New Roman" w:hAnsi="Times New Roman" w:cs="Times New Roman" w:eastAsia="Times New Roman"/>
          <w:b w:val="0"/>
          <w:i w:val="0"/>
          <w:sz w:val="28"/>
        </w:rPr>
        <w:t xml:space="preserve">Аутентификация основывается на трёх группах факторов: фактор знания (пароль, ПИН-код, контрольный вопрос), фактор владения (токен, смарт-карта, приложение-генератор кодов, аппаратный ключ) и фактор неотъемлемости — биометрические характеристики. Биометрические признаки делятся на две группы: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статические (физиологические)</w:t>
      </w:r>
      <w:r>
        <w:rPr>
          <w:rFonts w:ascii="Times New Roman" w:hAnsi="Times New Roman" w:cs="Times New Roman" w:eastAsia="Times New Roman"/>
          <w:b w:val="0"/>
          <w:i w:val="0"/>
          <w:sz w:val="28"/>
        </w:rPr>
        <w:t xml:space="preserve"> — папиллярный узор пальца (оптические, ёмкостные и ультразвуковые сканеры), геометрия лица (двумерная, трёхмерная, в инфракрасном диапазоне), рисунок вен ладони или пальца, радужная оболочка глаза, рисунок сетчатки, геометрия кисти руки, ДНК;</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динамические (поведенческие)</w:t>
      </w:r>
      <w:r>
        <w:rPr>
          <w:rFonts w:ascii="Times New Roman" w:hAnsi="Times New Roman" w:cs="Times New Roman" w:eastAsia="Times New Roman"/>
          <w:b w:val="0"/>
          <w:i w:val="0"/>
          <w:sz w:val="28"/>
        </w:rPr>
        <w:t xml:space="preserve"> — голос, динамика рукописной подписи, клавиатурный почерк, характер работы с указывающим устройством, походка.</w:t>
      </w:r>
    </w:p>
    <w:p>
      <w:pPr>
        <w:widowControl/>
        <w:spacing w:line="360" w:lineRule="auto" w:before="0" w:after="0"/>
        <w:ind w:firstLine="709"/>
        <w:jc w:val="both"/>
      </w:pPr>
      <w:r>
        <w:rPr>
          <w:rFonts w:ascii="Times New Roman" w:hAnsi="Times New Roman" w:cs="Times New Roman" w:eastAsia="Times New Roman"/>
          <w:b w:val="0"/>
          <w:i w:val="0"/>
          <w:sz w:val="28"/>
        </w:rPr>
        <w:t xml:space="preserve">Качество биометрической системы характеризуется коэффициентом ложного допуска (FAR/FMR), коэффициентом ложного отказа (FRR/FNMR), точкой их равенства (EER), а также долей отказов при регистрации и захвате образа. Настройка порога всегда представляет компромисс: снижение FAR ради безопасности повышает FRR и снижает удобство. Специфические проблемы биометрии: признак нельзя изменить или отозвать при компрометации, поэтому утечка базы шаблонов необратима — отсюда требование хранить не сами образы, а необратимые преобразования шаблонов; атаки предъявления поддельного образца (маски, отпечатки на плёнке, синтезированные голос и видео), для противодействия которым применяется обнаружение живого объекта (liveness detection) в соответствии с ISO/IEC 30107; вероятностный характер решения, исключающий применение биометрии в качестве единственного фактора для критичных операций. Правовую основу в Российской Федерации составляют Федеральный закон от 29.12.2022 № 572-ФЗ об идентификации и аутентификации с использованием биометрических персональных данных, Федеральный закон № 152-ФЗ и стандарты серии ГОСТ Р ИСО/МЭК 19794; функционирует Единая биометрическая система.</w:t>
      </w:r>
    </w:p>
    <w:p>
      <w:pPr>
        <w:keepNext/>
        <w:widowControl/>
        <w:spacing w:line="360" w:lineRule="auto" w:before="160" w:after="40"/>
        <w:ind w:firstLine="709"/>
        <w:jc w:val="both"/>
      </w:pPr>
      <w:r>
        <w:rPr>
          <w:rFonts w:ascii="Times New Roman" w:hAnsi="Times New Roman" w:cs="Times New Roman" w:eastAsia="Times New Roman"/>
          <w:b/>
          <w:i/>
          <w:sz w:val="28"/>
        </w:rPr>
        <w:t xml:space="preserve">Двухфакторная, многофакторная и однократная аутентификация</w:t>
      </w:r>
    </w:p>
    <w:p>
      <w:pPr>
        <w:widowControl/>
        <w:spacing w:line="360" w:lineRule="auto" w:before="0" w:after="0"/>
        <w:ind w:firstLine="709"/>
        <w:jc w:val="both"/>
      </w:pPr>
      <w:r>
        <w:rPr>
          <w:rFonts w:ascii="Times New Roman" w:hAnsi="Times New Roman" w:cs="Times New Roman" w:eastAsia="Times New Roman"/>
          <w:b w:val="0"/>
          <w:i/>
          <w:sz w:val="28"/>
        </w:rPr>
        <w:t xml:space="preserve">Двухфакторная аутентификация</w:t>
      </w:r>
      <w:r>
        <w:rPr>
          <w:rFonts w:ascii="Times New Roman" w:hAnsi="Times New Roman" w:cs="Times New Roman" w:eastAsia="Times New Roman"/>
          <w:b w:val="0"/>
          <w:i w:val="0"/>
          <w:sz w:val="28"/>
        </w:rPr>
        <w:t xml:space="preserve"> (2FA) требует предъявления факторов из двух различных групп; предъявление пароля и контрольного вопроса двухфакторной аутентификацией не является, поскольку оба относятся к фактору знания. </w:t>
      </w:r>
      <w:r>
        <w:rPr>
          <w:rFonts w:ascii="Times New Roman" w:hAnsi="Times New Roman" w:cs="Times New Roman" w:eastAsia="Times New Roman"/>
          <w:b w:val="0"/>
          <w:i/>
          <w:sz w:val="28"/>
        </w:rPr>
        <w:t xml:space="preserve">Многофакторная аутентификация</w:t>
      </w:r>
      <w:r>
        <w:rPr>
          <w:rFonts w:ascii="Times New Roman" w:hAnsi="Times New Roman" w:cs="Times New Roman" w:eastAsia="Times New Roman"/>
          <w:b w:val="0"/>
          <w:i w:val="0"/>
          <w:sz w:val="28"/>
        </w:rPr>
        <w:t xml:space="preserve"> (MFA) обобщает это требование. Реализации второго фактора по возрастанию стойкости: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одноразовый код в SMS — наиболее уязвимая реализация: перехват через сигнальную сеть SS7, подмена SIM-карты, пересылка кода жертвой под влиянием социальной инженерии;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одноразовые пароли, вычисляемые по счётчику (HOTP, RFC 4226) или по времени (TOTP, RFC 6238) в приложении или аппаратном генераторе — не передаются по сети, но могут быть перехвачены при атаке «противник посередине»;</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push-подтверждение в доверенном приложении — уязвимо к атаке утомления запросами (MFA fatigue), что компенсируется вводом отображаемого числа;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аппаратные ключи стандартов FIDO2/WebAuthn и технология passkeys, а также смарт-карты с сертификатом — устойчивы к фишингу, поскольку криптографический ответ привязан к доменному имени ресурса и не может быть использован на поддельном сайте; в настоящее время рассматриваются как целевое решение.</w:t>
      </w:r>
    </w:p>
    <w:p>
      <w:pPr>
        <w:widowControl/>
        <w:spacing w:line="360" w:lineRule="auto" w:before="0" w:after="0"/>
        <w:ind w:firstLine="709"/>
        <w:jc w:val="both"/>
      </w:pPr>
      <w:r>
        <w:rPr>
          <w:rFonts w:ascii="Times New Roman" w:hAnsi="Times New Roman" w:cs="Times New Roman" w:eastAsia="Times New Roman"/>
          <w:b w:val="0"/>
          <w:i/>
          <w:sz w:val="28"/>
        </w:rPr>
        <w:t xml:space="preserve">Однократная аутентификация</w:t>
      </w:r>
      <w:r>
        <w:rPr>
          <w:rFonts w:ascii="Times New Roman" w:hAnsi="Times New Roman" w:cs="Times New Roman" w:eastAsia="Times New Roman"/>
          <w:b w:val="0"/>
          <w:i w:val="0"/>
          <w:sz w:val="28"/>
        </w:rPr>
        <w:t xml:space="preserve"> (Single Sign-On, SSO) — схема, при которой пользователь проходит аутентификацию один раз, а доступ к последующим приложениям предоставляется без повторного ввода учётных данных на основании выданного маркера. Реализуется протоколами Kerberos в доменной среде, SAML 2.0, OAuth 2.0 и OpenID Connect в веб-среде. Преимущества: сокращение числа паролей и, как следствие, снижение риска их повторного использования; централизация журналирования и политик; возможность мгновенного отзыва доступа ко всем приложениям. Основной риск — превращение поставщика идентификации в единую точку компрометации: получив маркер, злоумышленник получает доступ ко всем связанным системам, что подтверждается инцидентами с поставщиками услуг идентификации в 2023 г. Риск снижается обязательной многофакторной аутентификацией при первичном входе, политиками условного доступа с учётом состояния устройства и местоположения, ограничением времени жизни маркеров и повторной аутентификацией при выполнении критичных операций (step-up authentication).</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7 – Классы средств защиты информации и устанавливающие требования документы</w:t>
      </w:r>
    </w:p>
    <w:tbl>
      <w:tblPr>
        <w:tblStyle w:val="TableGrid"/>
        <w:tblW w:type="auto" w:w="0"/>
        <w:jc w:val="center"/>
        <w:tblLayout w:type="fixed"/>
        <w:tblLook w:firstColumn="1" w:firstRow="1" w:lastColumn="0" w:lastRow="0" w:noHBand="0" w:noVBand="1" w:val="04A0"/>
      </w:tblPr>
      <w:tblGrid>
        <w:gridCol w:w="2200"/>
        <w:gridCol w:w="4155"/>
        <w:gridCol w:w="3000"/>
      </w:tblGrid>
      <w:tr>
        <w:trPr>
          <w:tblHeader/>
        </w:trPr>
        <w:tc>
          <w:tcPr>
            <w:tcW w:type="dxa" w:w="22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Класс средств</w:t>
            </w:r>
          </w:p>
        </w:tc>
        <w:tc>
          <w:tcPr>
            <w:tcW w:type="dxa" w:w="41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Основные возможности</w:t>
            </w:r>
          </w:p>
        </w:tc>
        <w:tc>
          <w:tcPr>
            <w:tcW w:type="dxa" w:w="30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Документ ФСТЭК России</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Средства антивирусной защиты</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Сигнатурный, эвристический и поведенческий анализ, песочница, облачная репутация, машинное обучение; карантин и лечение; откат действий шифровальщика; контроль запуска приложений; развитие в EPP, EDR и XDR</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Приказ от 20.03.2012 № 28: типы А, Б, В, Г; шесть классов защиты</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Межсетевые экраны</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Фильтрация без сохранения и с сохранением состояния, шлюз прикладного уровня, идентификация приложений, инспекция TLS, фильтрация URL, встроенное предотвращение вторжений; WAF для веб-приложений и программных интерфейсов</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Приказ от 09.02.2016 № 9: типы А, Б, В, Г, Д; шесть классов защиты</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Системы обнаружения вторжений</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Сетевое и узловое обнаружение; сигнатурные методы и выявление аномалий; блокирование в режиме предотвращения; ретроспективный анализ трафика и восстановление сеансов (NTA/NDR)</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Приказ от 06.12.2011 № 638: СОВ уровня сети и уровня узла; шесть классов защиты</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Средства предотвращения утечек</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Контроль почты, веб-трафика, мессенджеров, съёмных носителей, печати и буфера обмена; цифровые отпечатки, лингвистический анализ, распознавание символов и речи; мониторинг действий пользователей и поведенческая аналитика</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Специализированный приказ отсутствует; применяются как мера защиты по приказам № 17, № 21 и № 239 и подтверждаются уровнем доверия по приказу № 131</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Средства криптографической защиты</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Шифрование каналов и носителей, электронная подпись, инфраструктура открытых ключей, аппаратные модули хранения ключей; алгоритмы ГОСТ Р 34.10-2012, ГОСТ Р 34.11-2012, ГОСТ Р 34.12-2015</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Сертификация ФСБ России; классы КС1, КС2, КС3, КВ, КА в зависимости от модели нарушителя</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Средства идентификации и аутентификации</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Многофакторная аутентификация, аппаратные ключи FIDO2/WebAuthn, смарт-карты, одноразовые пароли HOTP и TOTP, биометрия с обнаружением живого объекта, однократная аутентификация (SSO) с политиками условного доступа</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Меры ИАФ по приказам № 17, № 21, № 239; Федеральный закон № 572-ФЗ и стандарты ГОСТ Р ИСО/МЭК 19794 для биометрии</w:t>
            </w:r>
          </w:p>
        </w:tc>
      </w:tr>
    </w:tbl>
    <w:p>
      <w:pPr>
        <w:keepNext/>
        <w:widowControl/>
        <w:spacing w:line="360" w:lineRule="auto" w:before="160" w:after="40"/>
        <w:ind w:firstLine="709"/>
        <w:jc w:val="both"/>
      </w:pPr>
      <w:r>
        <w:rPr>
          <w:rFonts w:ascii="Times New Roman" w:hAnsi="Times New Roman" w:cs="Times New Roman" w:eastAsia="Times New Roman"/>
          <w:b/>
          <w:i/>
          <w:sz w:val="28"/>
        </w:rPr>
        <w:t xml:space="preserve">Honeypot — ловушка для хакеров</w:t>
      </w:r>
    </w:p>
    <w:p>
      <w:pPr>
        <w:widowControl/>
        <w:spacing w:line="360" w:lineRule="auto" w:before="0" w:after="0"/>
        <w:ind w:firstLine="709"/>
        <w:jc w:val="both"/>
      </w:pPr>
      <w:r>
        <w:rPr>
          <w:rFonts w:ascii="Times New Roman" w:hAnsi="Times New Roman" w:cs="Times New Roman" w:eastAsia="Times New Roman"/>
          <w:b w:val="0"/>
          <w:i/>
          <w:sz w:val="28"/>
        </w:rPr>
        <w:t xml:space="preserve">Honeypot</w:t>
      </w:r>
      <w:r>
        <w:rPr>
          <w:rFonts w:ascii="Times New Roman" w:hAnsi="Times New Roman" w:cs="Times New Roman" w:eastAsia="Times New Roman"/>
          <w:b w:val="0"/>
          <w:i w:val="0"/>
          <w:sz w:val="28"/>
        </w:rPr>
        <w:t xml:space="preserve"> («приманка», ловушка) — намеренно размещённый в сети информационный ресурс, не имеющий никакого легитимного производственного назначения и не используемый сотрудниками. Из этого свойства следует основное достоинство ловушки: поскольку обращаться к ней у законного пользователя нет причин, </w:t>
      </w:r>
      <w:r>
        <w:rPr>
          <w:rFonts w:ascii="Times New Roman" w:hAnsi="Times New Roman" w:cs="Times New Roman" w:eastAsia="Times New Roman"/>
          <w:b w:val="0"/>
          <w:i/>
          <w:sz w:val="28"/>
        </w:rPr>
        <w:t xml:space="preserve">любое</w:t>
      </w:r>
      <w:r>
        <w:rPr>
          <w:rFonts w:ascii="Times New Roman" w:hAnsi="Times New Roman" w:cs="Times New Roman" w:eastAsia="Times New Roman"/>
          <w:b w:val="0"/>
          <w:i w:val="0"/>
          <w:sz w:val="28"/>
        </w:rPr>
        <w:t xml:space="preserve"> взаимодействие с ней по определению является подозрительным. Ловушка не нуждается ни в сигнатурах, ни в обученных моделях и обеспечивает практически нулевой уровень ложных срабатываний, что выгодно отличает её от систем обнаружения вторжений, работающих в потоке легитимного трафика.</w:t>
      </w:r>
    </w:p>
    <w:p>
      <w:pPr>
        <w:widowControl/>
        <w:spacing w:line="360" w:lineRule="auto" w:before="0" w:after="0"/>
        <w:ind w:firstLine="709"/>
        <w:jc w:val="both"/>
      </w:pPr>
      <w:r>
        <w:rPr>
          <w:rFonts w:ascii="Times New Roman" w:hAnsi="Times New Roman" w:cs="Times New Roman" w:eastAsia="Times New Roman"/>
          <w:b w:val="0"/>
          <w:i w:val="0"/>
          <w:sz w:val="28"/>
        </w:rPr>
        <w:t xml:space="preserve">Классификация ловушек:</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по уровню взаимодействия:</w:t>
      </w:r>
      <w:r>
        <w:rPr>
          <w:rFonts w:ascii="Times New Roman" w:hAnsi="Times New Roman" w:cs="Times New Roman" w:eastAsia="Times New Roman"/>
          <w:b w:val="0"/>
          <w:i w:val="0"/>
          <w:sz w:val="28"/>
        </w:rPr>
        <w:t xml:space="preserve"> низкоинтерактивные — эмулируют лишь отдельные сетевые службы и сценарии ответа (Honeyd, Dionaea); среднеинтерактивные — воспроизводят логику протокола достаточно глубоко, чтобы собрать вводимые команды и загружаемые образцы (Cowrie); высокоинтерактивные — представляют собой реальную операционную систему или приложение в изолированной среде, дающие наиболее полные сведения о поведении злоумышленника, но требующие наибольших затрат на поддержку и жёсткой изоляции;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по назначению:</w:t>
      </w:r>
      <w:r>
        <w:rPr>
          <w:rFonts w:ascii="Times New Roman" w:hAnsi="Times New Roman" w:cs="Times New Roman" w:eastAsia="Times New Roman"/>
          <w:b w:val="0"/>
          <w:i w:val="0"/>
          <w:sz w:val="28"/>
        </w:rPr>
        <w:t xml:space="preserve"> исследовательские — предназначены для изучения тактик, техник и инструментов противника и накопления аналитики угроз; производственные — размещаются в рабочей сети как средство раннего обнаружения;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родственные понятия:</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 xml:space="preserve">honeynet</w:t>
      </w:r>
      <w:r>
        <w:rPr>
          <w:rFonts w:ascii="Times New Roman" w:hAnsi="Times New Roman" w:cs="Times New Roman" w:eastAsia="Times New Roman"/>
          <w:b w:val="0"/>
          <w:i w:val="0"/>
          <w:sz w:val="28"/>
        </w:rPr>
        <w:t xml:space="preserve"> — сеть из нескольких ловушек с общими средствами контроля и сбора данных; </w:t>
      </w:r>
      <w:r>
        <w:rPr>
          <w:rFonts w:ascii="Times New Roman" w:hAnsi="Times New Roman" w:cs="Times New Roman" w:eastAsia="Times New Roman"/>
          <w:b w:val="0"/>
          <w:i/>
          <w:sz w:val="28"/>
        </w:rPr>
        <w:t xml:space="preserve">honeytoken</w:t>
      </w:r>
      <w:r>
        <w:rPr>
          <w:rFonts w:ascii="Times New Roman" w:hAnsi="Times New Roman" w:cs="Times New Roman" w:eastAsia="Times New Roman"/>
          <w:b w:val="0"/>
          <w:i w:val="0"/>
          <w:sz w:val="28"/>
        </w:rPr>
        <w:t xml:space="preserve"> (canary token) — не узел, а фиктивный объект: неиспользуемая учётная запись, запись в базе данных, документ-маркер, ключ доступа, обращение к которым немедленно сигнализирует о компрометации; </w:t>
      </w:r>
      <w:r>
        <w:rPr>
          <w:rFonts w:ascii="Times New Roman" w:hAnsi="Times New Roman" w:cs="Times New Roman" w:eastAsia="Times New Roman"/>
          <w:b w:val="0"/>
          <w:i/>
          <w:sz w:val="28"/>
        </w:rPr>
        <w:t xml:space="preserve">honeypatch</w:t>
      </w:r>
      <w:r>
        <w:rPr>
          <w:rFonts w:ascii="Times New Roman" w:hAnsi="Times New Roman" w:cs="Times New Roman" w:eastAsia="Times New Roman"/>
          <w:b w:val="0"/>
          <w:i w:val="0"/>
          <w:sz w:val="28"/>
        </w:rPr>
        <w:t xml:space="preserve"> — перенаправление эксплуатирующего запроса в ловушку вместо простого отклонения; </w:t>
      </w:r>
      <w:r>
        <w:rPr>
          <w:rFonts w:ascii="Times New Roman" w:hAnsi="Times New Roman" w:cs="Times New Roman" w:eastAsia="Times New Roman"/>
          <w:b w:val="0"/>
          <w:i/>
          <w:sz w:val="28"/>
        </w:rPr>
        <w:t xml:space="preserve">tarpit</w:t>
      </w:r>
      <w:r>
        <w:rPr>
          <w:rFonts w:ascii="Times New Roman" w:hAnsi="Times New Roman" w:cs="Times New Roman" w:eastAsia="Times New Roman"/>
          <w:b w:val="0"/>
          <w:i w:val="0"/>
          <w:sz w:val="28"/>
        </w:rPr>
        <w:t xml:space="preserve"> — намеренное замедление сканирующего узла; </w:t>
      </w:r>
      <w:r>
        <w:rPr>
          <w:rFonts w:ascii="Times New Roman" w:hAnsi="Times New Roman" w:cs="Times New Roman" w:eastAsia="Times New Roman"/>
          <w:b w:val="0"/>
          <w:i/>
          <w:sz w:val="28"/>
        </w:rPr>
        <w:t xml:space="preserve">платформы обмана</w:t>
      </w:r>
      <w:r>
        <w:rPr>
          <w:rFonts w:ascii="Times New Roman" w:hAnsi="Times New Roman" w:cs="Times New Roman" w:eastAsia="Times New Roman"/>
          <w:b w:val="0"/>
          <w:i w:val="0"/>
          <w:sz w:val="28"/>
        </w:rPr>
        <w:t xml:space="preserve"> (Distributed Deception Platform) — промышленные решения, автоматически разворачивающие согласованный слой ложных активов по всей инфраструктуре. Методология применения обмана систематизирована в матрице MITRE Engage.</w:t>
      </w:r>
    </w:p>
    <w:p>
      <w:pPr>
        <w:widowControl/>
        <w:spacing w:line="360" w:lineRule="auto" w:before="0" w:after="0"/>
        <w:ind w:firstLine="709"/>
        <w:jc w:val="both"/>
      </w:pPr>
      <w:r>
        <w:rPr>
          <w:rFonts w:ascii="Times New Roman" w:hAnsi="Times New Roman" w:cs="Times New Roman" w:eastAsia="Times New Roman"/>
          <w:b w:val="0"/>
          <w:i w:val="0"/>
          <w:sz w:val="28"/>
        </w:rPr>
        <w:t xml:space="preserve">Механизм работы производственной ловушки: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Ловушка развёртывается в контролируемом сегменте и маскируется под привлекательный актив: правдоподобное имя узла, характерные для организации баннеры служб, наполнение фиктивными, но реалистичными данными, имитация служебного трафика.</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Взаимодействие полностью перехватывается и журналируется: устанавливаемые соединения, попытки подбора пароля, вводимые команды, передаваемые и загружаемые файлы, обращения к центрам управления. Высокоинтерактивная ловушка позволяет получить образцы применяемого вредоносного кода.</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События немедленно передаются в SIEM с максимальным приоритетом и, как правило, инициируют автоматизированный сценарий реагирования: изоляцию источника, блокирование учётной записи, оповещение дежурной смены.</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4. Полученные сведения используются для обогащения аналитики угроз, разработки правил обнаружения и корректировки модели угроз, а также как доказательная база при расследовании.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5. Одновременно достигается вспомогательный эффект: злоумышленник расходует время на бесполезный актив, что увеличивает интервал до достижения им действительно ценных ресурсов и повышает вероятность своевременного обнаружения.</w:t>
      </w:r>
    </w:p>
    <w:p>
      <w:pPr>
        <w:widowControl/>
        <w:spacing w:line="360" w:lineRule="auto" w:before="0" w:after="0"/>
        <w:ind w:firstLine="709"/>
        <w:jc w:val="both"/>
      </w:pPr>
      <w:r>
        <w:rPr>
          <w:rFonts w:ascii="Times New Roman" w:hAnsi="Times New Roman" w:cs="Times New Roman" w:eastAsia="Times New Roman"/>
          <w:b w:val="0"/>
          <w:i w:val="0"/>
          <w:sz w:val="28"/>
        </w:rPr>
        <w:t xml:space="preserve">Ловушки особенно результативны для выявления внутренней разведки и горизонтального перемещения — этапов, наименее заметных для средств защиты периметра, — а также для обнаружения действий инсайдера. Вместе с тем следует учитывать ограничения и риски: ловушка ничего не блокирует и не заменяет средства защиты, являясь исключительно средством обнаружения и разведки; при недостаточной изоляции высокоинтерактивная ловушка может быть использована как плацдарм для развития атаки, поэтому обязателен строгий контроль исходящих соединений; квалифицированный злоумышленник способен распознать ловушку по нехарактерным задержкам, артефактам виртуализации и отсутствию признаков реальной эксплуатации, после чего её ценность утрачивается; наконец, поддержание правдоподобия требует постоянных трудозатрат, а вопросы обработки перехваченных данных и провокации требуют правовой проработки. Примеры программных средств: Cowrie (SSH и Telnet), Dionaea (сбор образцов вредоносного кода), Honeyd, Glastopf и SNARE/TANNER (веб-приложения), Conpot (промышленные протоколы и АСУ ТП), комплекс T-Pot, OpenCanary, сервис Canarytokens; из отечественных платформ обмана — R-Vision Threat Deception Platform, Xello Deception, Labyrinth.</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8. Перечень (Топ 10) самых известных в мире кибератак за 2023 – 2024 г.г. Какой ущерб они причинили владельцам информационных ресурсов и обычным гражданам?</w:t>
      </w:r>
    </w:p>
    <w:p>
      <w:pPr>
        <w:widowControl/>
        <w:spacing w:line="360" w:lineRule="auto" w:before="0" w:after="0"/>
        <w:ind w:firstLine="709"/>
        <w:jc w:val="both"/>
      </w:pPr>
      <w:r>
        <w:rPr>
          <w:rFonts w:ascii="Times New Roman" w:hAnsi="Times New Roman" w:cs="Times New Roman" w:eastAsia="Times New Roman"/>
          <w:b w:val="0"/>
          <w:i w:val="0"/>
          <w:sz w:val="28"/>
        </w:rPr>
        <w:t xml:space="preserve">Период 2023–2024 гг. характеризуется тремя устойчивыми тенденциями: переходом группировок вымогателей от шифрования к вымогательству на основе похищенных данных; массовой эксплуатацией уязвимостей нулевого дня в средствах защиты периметра и файлового обмена, позволяющей за одну кампанию поразить тысячи организаций; и ростом атак на цепочку поставок и поставщиков услуг, при которых компрометация одного звена затрагивает всех его клиентов. Совокупный мировой ущерб от киберпреступности оценивается компанией Cybersecurity Ventures в 8 трлн долл. США за 2023 г. и 9,5 трлн долл. за 2024 г.; средняя стоимость одной утечки данных по отчёту IBM за 2024 г. составила 4,88 млн долл. против 4,45 млн долл. годом ранее; заявленный в Центр приёма жалоб ФБР (IC3) ущерб составил 12,5 млрд долл. в 2023 г. и 16,6 млрд долл. в 2024 г.</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8 – Наиболее известные кибератаки в мире за 2023–2024 гг.</w:t>
      </w:r>
    </w:p>
    <w:tbl>
      <w:tblPr>
        <w:tblStyle w:val="TableGrid"/>
        <w:tblW w:type="auto" w:w="0"/>
        <w:jc w:val="center"/>
        <w:tblLayout w:type="fixed"/>
        <w:tblLook w:firstColumn="1" w:firstRow="1" w:lastColumn="0" w:lastRow="0" w:noHBand="0" w:noVBand="1" w:val="04A0"/>
      </w:tblPr>
      <w:tblGrid>
        <w:gridCol w:w="400"/>
        <w:gridCol w:w="2255"/>
        <w:gridCol w:w="3200"/>
        <w:gridCol w:w="3500"/>
      </w:tblGrid>
      <w:tr>
        <w:trPr>
          <w:tblHeader/>
        </w:trPr>
        <w:tc>
          <w:tcPr>
            <w:tcW w:type="dxa" w:w="4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w:t>
            </w:r>
          </w:p>
        </w:tc>
        <w:tc>
          <w:tcPr>
            <w:tcW w:type="dxa" w:w="22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Инцидент и период</w:t>
            </w:r>
          </w:p>
        </w:tc>
        <w:tc>
          <w:tcPr>
            <w:tcW w:type="dxa" w:w="32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Характер атаки</w:t>
            </w:r>
          </w:p>
        </w:tc>
        <w:tc>
          <w:tcPr>
            <w:tcW w:type="dxa" w:w="35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Последствия и оценка ущерба</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1</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MOVEit Transfer, май–июнь 2023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Массовая эксплуатация SQL-инъекции нулевого дня CVE-2023-34362 в средстве обмена файлами группировкой Cl0p с последующим вымогательством</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Затронуто свыше 2,7 тыс. организаций и, по различным оценкам, около 95 млн человек; совокупные оценки ущерба превышают 12 млрд долл. Среди пострадавших — государственные ведомства и крупные корпорации</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2</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Change Healthcare (UnitedHealth Group), февраль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Шифровальщик ALPHV/BlackCat; первичный доступ получен через шлюз удалённого доступа без многофакторной аутентификации</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Паралич системы обработки медицинских счетов и рецептов в США на несколько недель; скомпрометированы данные около 190 млн человек; выкуп 22 млн долл.; расходы UnitedHealth, связанные с инцидентом, оценены в сумму около 2,9 млрд долл.</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3</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Кража данных клиентов Snowflake (группа UNC5537),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Подстановка учётных данных, похищенных инфостилерами, к облачным учётным записям без многофакторной аутентификации</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Пострадали около 165 организаций; в числе жертв Ticketmaster (данные порядка 560 млн клиентов) и AT&amp;T (записи о звонках и сообщениях порядка 109 млн абонентов)</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4</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CDK Global, июнь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Шифровальщик BlackSuit против облачной платформы управления автомобильными дилерскими центрами</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Простой около 15 тыс. автосалонов Северной Америки; потери дилеров за три недели оценены Anderson Economic Group приблизительно в 1,02 млрд долл.</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5</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Кампания Salt Typhoon против операторов связи США,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Длительное скрытное проникновение государственно-ассоциированной группировки в сети не менее девяти операторов, включая системы законного перехвата</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Доступ к метаданным и содержанию переговоров, в том числе лиц, занимающих государственные должности; оценивается как одна из наиболее тяжёлых по последствиям атак на телекоммуникационную инфраструктуру</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6</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Microsoft: Storm-0558 (июль 2023 г.) и Midnight Blizzard (январь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Подделка маркеров доступа с использованием скомпрометированного ключа подписи; распыление паролей и злоупотребление OAuth-приложениями</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Доступ к электронной почте около 25 организаций, включая государственные ведомства США; компрометация корпоративной переписки руководства Microsoft и части исходного кода; критические выводы наблюдательного совета по кибербезопасности США</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7</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National Public Data,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Похищение и публикация агрегированной базы брокера персональных данных</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Заявлено о до 2,9 млрд записей, включающих порядка 272 млн номеров социального страхования; компания подала заявление о банкротстве</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8</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Ivanti Connect Secure, январь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Массовая эксплуатация связки CVE-2023-46805 (обход аутентификации) и CVE-2024-21887 (внедрение команд) в шлюзах удалённого доступа</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Скомпрометированы тысячи устройств по всему миру, в том числе системы американского агентства CISA; выпущена экстренная директива о выводе шлюзов из эксплуатации</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9</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23andMe, октябрь 2023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Подстановка учётных данных с последующим злоупотреблением функцией поиска родственников</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Затронуты данные 6,9 млн пользователей, включая сведения о происхождении и родственных связях; мировое соглашение по коллективному иску на 30 млн долл.; последующее банкротство компании</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10</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Synnovis и больницы Национальной службы здравоохранения Великобритании, июнь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Шифровальщик Qilin против лаборатории, обеспечивающей лабораторную диагностику для больниц Лондона</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Отменено или перенесено более 1,1 тыс. плановых операций и свыше 2 тыс. приёмов; прямые затраты оценены в десятки миллионов фунтов стерлингов; зафиксирован случай причинения вреда здоровью пациента</w:t>
            </w:r>
          </w:p>
        </w:tc>
      </w:tr>
    </w:tbl>
    <w:p>
      <w:pPr>
        <w:widowControl/>
        <w:spacing w:line="360" w:lineRule="auto" w:before="0" w:after="0"/>
        <w:ind w:firstLine="709"/>
        <w:jc w:val="both"/>
      </w:pPr>
      <w:r>
        <w:rPr>
          <w:rFonts w:ascii="Times New Roman" w:hAnsi="Times New Roman" w:cs="Times New Roman" w:eastAsia="Times New Roman"/>
          <w:b w:val="0"/>
          <w:i w:val="0"/>
          <w:sz w:val="28"/>
        </w:rPr>
        <w:t xml:space="preserve">Помимо перечисленных, к наиболее значимым событиям периода относятся: компрометация системы поддержки поставщика услуг идентификации Okta (октябрь 2023 г.), повлёкшая инциденты у ряда её заказчиков; обнаружение преднамеренной закладки в библиотеке сжатия XZ Utils (CVE-2024-3094, март 2024 г.), которая при попадании в стабильные выпуски дистрибутивов обеспечила бы скрытый доступ к миллионам серверов; атака шифровальщика на американскую сеть клиник Ascension (май 2024 г.) с многонедельным переходом на бумажный документооборот; шифрование национального центра обработки данных Индонезии (июнь 2024 г.) с нарушением работы более 200 государственных сервисов. Отдельно следует упомянуть сбой обновления средства защиты CrowdStrike Falcon 19 июля 2024 г.: не являясь атакой, он вывел из строя около 8,5 млн устройств Windows и, по оценке компании Parametrix, обошёлся компаниям из списка Fortune 500 приблизительно в 5,4 млрд долл., наглядно показав масштаб системного риска концентрации.</w:t>
      </w:r>
    </w:p>
    <w:p>
      <w:pPr>
        <w:keepNext/>
        <w:widowControl/>
        <w:spacing w:line="360" w:lineRule="auto" w:before="160" w:after="40"/>
        <w:ind w:firstLine="709"/>
        <w:jc w:val="both"/>
      </w:pPr>
      <w:r>
        <w:rPr>
          <w:rFonts w:ascii="Times New Roman" w:hAnsi="Times New Roman" w:cs="Times New Roman" w:eastAsia="Times New Roman"/>
          <w:b/>
          <w:i/>
          <w:sz w:val="28"/>
        </w:rPr>
        <w:t xml:space="preserve">Ущерб владельцам информационных ресурсов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Прямые издержки:</w:t>
      </w:r>
      <w:r>
        <w:rPr>
          <w:rFonts w:ascii="Times New Roman" w:hAnsi="Times New Roman" w:cs="Times New Roman" w:eastAsia="Times New Roman"/>
          <w:b w:val="0"/>
          <w:i w:val="0"/>
          <w:sz w:val="28"/>
        </w:rPr>
        <w:t xml:space="preserve"> выплата выкупа, привлечение специалистов по реагированию и криминалистике, восстановление инфраструктуры и данных, сверхурочная работа персонала.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Потери от простоя</w:t>
      </w:r>
      <w:r>
        <w:rPr>
          <w:rFonts w:ascii="Times New Roman" w:hAnsi="Times New Roman" w:cs="Times New Roman" w:eastAsia="Times New Roman"/>
          <w:b w:val="0"/>
          <w:i w:val="0"/>
          <w:sz w:val="28"/>
        </w:rPr>
        <w:t xml:space="preserve"> — как правило, наибольшая часть ущерба: остановка расчётов (Change Healthcare), продаж (CDK Global — около 1,02 млрд долл. потерь дилеров), производства и логистики.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Регуляторные и судебные издержки:</w:t>
      </w:r>
      <w:r>
        <w:rPr>
          <w:rFonts w:ascii="Times New Roman" w:hAnsi="Times New Roman" w:cs="Times New Roman" w:eastAsia="Times New Roman"/>
          <w:b w:val="0"/>
          <w:i w:val="0"/>
          <w:sz w:val="28"/>
        </w:rPr>
        <w:t xml:space="preserve"> штрафы по регламенту GDPR (до 4 % годового мирового оборота), расследования регуляторов, коллективные иски и мировые соглашения (23andMe — 30 млн долл.), обязательные уведомления пострадавших и оплата услуг мониторинга кредитной истории.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Репутационные и рыночные потери:</w:t>
      </w:r>
      <w:r>
        <w:rPr>
          <w:rFonts w:ascii="Times New Roman" w:hAnsi="Times New Roman" w:cs="Times New Roman" w:eastAsia="Times New Roman"/>
          <w:b w:val="0"/>
          <w:i w:val="0"/>
          <w:sz w:val="28"/>
        </w:rPr>
        <w:t xml:space="preserve"> снижение капитализации (у Okta после раскрытия инцидента 2023 г. — на величину порядка 2 млрд долл.), отток клиентов, ужесточение условий и рост стоимости страхования киберрисков, утрата конкурентных преимуществ при краже интеллектуальной собственности.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Прекращение деятельности:</w:t>
      </w:r>
      <w:r>
        <w:rPr>
          <w:rFonts w:ascii="Times New Roman" w:hAnsi="Times New Roman" w:cs="Times New Roman" w:eastAsia="Times New Roman"/>
          <w:b w:val="0"/>
          <w:i w:val="0"/>
          <w:sz w:val="28"/>
        </w:rPr>
        <w:t xml:space="preserve"> для части организаций последствия оказались фатальными — National Public Data подала заявление о банкротстве, 23andMe прекратила существование в прежнем виде.</w:t>
      </w:r>
    </w:p>
    <w:p>
      <w:pPr>
        <w:keepNext/>
        <w:widowControl/>
        <w:spacing w:line="360" w:lineRule="auto" w:before="160" w:after="40"/>
        <w:ind w:firstLine="709"/>
        <w:jc w:val="both"/>
      </w:pPr>
      <w:r>
        <w:rPr>
          <w:rFonts w:ascii="Times New Roman" w:hAnsi="Times New Roman" w:cs="Times New Roman" w:eastAsia="Times New Roman"/>
          <w:b/>
          <w:i/>
          <w:sz w:val="28"/>
        </w:rPr>
        <w:t xml:space="preserve">Ущерб обычным гражданам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Компрометация персональных и медицинских данных в беспрецедентных объёмах:</w:t>
      </w:r>
      <w:r>
        <w:rPr>
          <w:rFonts w:ascii="Times New Roman" w:hAnsi="Times New Roman" w:cs="Times New Roman" w:eastAsia="Times New Roman"/>
          <w:b w:val="0"/>
          <w:i w:val="0"/>
          <w:sz w:val="28"/>
        </w:rPr>
        <w:t xml:space="preserve"> около 190 млн человек в результате инцидента Change Healthcare, порядка 272 млн номеров социального страхования в утечке National Public Data, порядка 560 млн клиентов Ticketmaster, порядка 109 млн абонентов AT&amp;T. В отличие от платёжной карты, номер документа, дата рождения и медицинский диагноз не могут быть перевыпущены, поэтому ущерб носит пожизненный характер.</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Раскрытие особо чувствительных категорий данных:</w:t>
      </w:r>
      <w:r>
        <w:rPr>
          <w:rFonts w:ascii="Times New Roman" w:hAnsi="Times New Roman" w:cs="Times New Roman" w:eastAsia="Times New Roman"/>
          <w:b w:val="0"/>
          <w:i w:val="0"/>
          <w:sz w:val="28"/>
        </w:rPr>
        <w:t xml:space="preserve"> генетические сведения и информация о родственных связях 6,9 млн пользователей 23andMe; сведения о состоянии здоровья, способные повлечь дискриминацию при трудоустройстве и страховании.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Финансовые потери и кража личности:</w:t>
      </w:r>
      <w:r>
        <w:rPr>
          <w:rFonts w:ascii="Times New Roman" w:hAnsi="Times New Roman" w:cs="Times New Roman" w:eastAsia="Times New Roman"/>
          <w:b w:val="0"/>
          <w:i w:val="0"/>
          <w:sz w:val="28"/>
        </w:rPr>
        <w:t xml:space="preserve"> утёкшие данные становятся сырьём для оформления кредитов на чужое имя, «синтетического» мошенничества и, прежде всего, для адресной социальной инженерии — злоумышленник обращается к жертве, называя достоверные сведения о ней, что резко повышает убедительность обмана.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Угроза жизни и здоровью:</w:t>
      </w:r>
      <w:r>
        <w:rPr>
          <w:rFonts w:ascii="Times New Roman" w:hAnsi="Times New Roman" w:cs="Times New Roman" w:eastAsia="Times New Roman"/>
          <w:b w:val="0"/>
          <w:i w:val="0"/>
          <w:sz w:val="28"/>
        </w:rPr>
        <w:t xml:space="preserve"> атаки на организации здравоохранения приводят к отмене операций и приёмов, недоступности результатов анализов и истории болезни, невозможности получить рецептурные препараты (Synnovis, Ascension, Change Healthcare); подобные последствия перестают быть исключительно экономическими.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Недоступность жизненно важных и государственных сервисов</w:t>
      </w:r>
      <w:r>
        <w:rPr>
          <w:rFonts w:ascii="Times New Roman" w:hAnsi="Times New Roman" w:cs="Times New Roman" w:eastAsia="Times New Roman"/>
          <w:b w:val="0"/>
          <w:i w:val="0"/>
          <w:sz w:val="28"/>
        </w:rPr>
        <w:t xml:space="preserve">, транспортных и коммунальных услуг, а также </w:t>
      </w:r>
      <w:r>
        <w:rPr>
          <w:rFonts w:ascii="Times New Roman" w:hAnsi="Times New Roman" w:cs="Times New Roman" w:eastAsia="Times New Roman"/>
          <w:b/>
          <w:i w:val="0"/>
          <w:sz w:val="28"/>
        </w:rPr>
        <w:t xml:space="preserve">психологический ущерб</w:t>
      </w:r>
      <w:r>
        <w:rPr>
          <w:rFonts w:ascii="Times New Roman" w:hAnsi="Times New Roman" w:cs="Times New Roman" w:eastAsia="Times New Roman"/>
          <w:b w:val="0"/>
          <w:i w:val="0"/>
          <w:sz w:val="28"/>
        </w:rPr>
        <w:t xml:space="preserve"> и время, затраченное на замену документов, оспаривание операций и контроль кредитной истории.</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9. Перечень (Топ 10) самых известных кибератак на российские информационные ресурсы за 2023 – 2024 г.г. Какой ущерб причинили России кибератаки противника за последние 3 года? Какой ущерб российскому населению причинили телефонные мошенники, пользующиеся методами социальной инженерии?</w:t>
      </w:r>
    </w:p>
    <w:p>
      <w:pPr>
        <w:widowControl/>
        <w:spacing w:line="360" w:lineRule="auto" w:before="0" w:after="0"/>
        <w:ind w:firstLine="709"/>
        <w:jc w:val="both"/>
      </w:pPr>
      <w:r>
        <w:rPr>
          <w:rFonts w:ascii="Times New Roman" w:hAnsi="Times New Roman" w:cs="Times New Roman" w:eastAsia="Times New Roman"/>
          <w:b w:val="0"/>
          <w:i w:val="0"/>
          <w:sz w:val="28"/>
        </w:rPr>
        <w:t xml:space="preserve">С 2022 г. Российская Федерация находится в числе наиболее интенсивно атакуемых стран, при этом структура угроз качественно изменилась. Наряду с финансово мотивированной киберпреступностью существенную долю составили политически мотивированные атаки: скоординированные действия хактивистских объединений, деструктивные атаки с уничтожением данных и резервных копий, при которых получение выкупа не является целью, а также долговременные шпионские кампании против государственных и оборонных организаций. Возросло значение атак через подрядчиков и поставщиков программного обеспечения как способа обойти защиту крупных заказчиков. Активно действовали группировки Head Mare, Twelve, Crypt Ghouls, Shedding Zmiy, а также объединения, публично заявлявшие о деструктивных атаках.</w:t>
      </w:r>
    </w:p>
    <w:p>
      <w:pPr>
        <w:widowControl/>
        <w:spacing w:line="360" w:lineRule="auto" w:before="0" w:after="0"/>
        <w:ind w:firstLine="709"/>
        <w:jc w:val="both"/>
      </w:pPr>
      <w:r>
        <w:rPr>
          <w:rFonts w:ascii="Times New Roman" w:hAnsi="Times New Roman" w:cs="Times New Roman" w:eastAsia="Times New Roman"/>
          <w:b w:val="0"/>
          <w:i/>
          <w:sz w:val="28"/>
        </w:rPr>
        <w:t xml:space="preserve">Примечание.</w:t>
      </w:r>
      <w:r>
        <w:rPr>
          <w:rFonts w:ascii="Times New Roman" w:hAnsi="Times New Roman" w:cs="Times New Roman" w:eastAsia="Times New Roman"/>
          <w:b w:val="0"/>
          <w:i w:val="0"/>
          <w:sz w:val="28"/>
        </w:rPr>
        <w:t xml:space="preserve"> Приведённые далее сведения основаны на публикациях в открытых источниках, сообщениях самих организаций и отчётах российских компаний в области информационной безопасности. Официальные подтверждения ряда заявлений отсутствуют, а оценки ущерба являются приблизительными, поскольку в Российской Федерации отсутствует обязательное публичное раскрытие последствий инцидентов.</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9 – Наиболее известные кибератаки на российские информационные ресурсы за 2023–2024 гг.</w:t>
      </w:r>
    </w:p>
    <w:tbl>
      <w:tblPr>
        <w:tblStyle w:val="TableGrid"/>
        <w:tblW w:type="auto" w:w="0"/>
        <w:jc w:val="center"/>
        <w:tblLayout w:type="fixed"/>
        <w:tblLook w:firstColumn="1" w:firstRow="1" w:lastColumn="0" w:lastRow="0" w:noHBand="0" w:noVBand="1" w:val="04A0"/>
      </w:tblPr>
      <w:tblGrid>
        <w:gridCol w:w="400"/>
        <w:gridCol w:w="2255"/>
        <w:gridCol w:w="3200"/>
        <w:gridCol w:w="3500"/>
      </w:tblGrid>
      <w:tr>
        <w:trPr>
          <w:tblHeader/>
        </w:trPr>
        <w:tc>
          <w:tcPr>
            <w:tcW w:type="dxa" w:w="4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w:t>
            </w:r>
          </w:p>
        </w:tc>
        <w:tc>
          <w:tcPr>
            <w:tcW w:type="dxa" w:w="22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Инцидент и период</w:t>
            </w:r>
          </w:p>
        </w:tc>
        <w:tc>
          <w:tcPr>
            <w:tcW w:type="dxa" w:w="32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Характер атаки</w:t>
            </w:r>
          </w:p>
        </w:tc>
        <w:tc>
          <w:tcPr>
            <w:tcW w:type="dxa" w:w="35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Последствия</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1</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СДЭК, май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Атака программы-шифровальщика на информационные системы службы доставки; ответственность публично приписывалась группировке Head Mare</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Полная остановка приёма и выдачи заказов по всей сети на несколько суток, недоступность сайта и приложения; потери оцениваются в сотни миллионов рублей, дополнительно — репутационный ущерб и компенсации клиентам</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2</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ВГТРК, октябрь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Деструктивная атака с уничтожением содержимого серверов и резервных копий</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Нарушена работа внутренних систем и онлайн-сервисов холдинга; эфирное вещание удалось сохранить; восстановление инфраструктуры заняло длительное время</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3</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Инфраструктура ГАС «Правосудие», октябрь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Атака на информационные системы судебного департамента, повлёкшая вывод сервисов из эксплуатации</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Недоступность сайтов судов, сервисов электронной подачи документов и картотек в течение нескольких недель; нарушение сроков процессуальных действий</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4</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«Инфотел», январь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Деструктивная атака на телекоммуникационного провайдера, обслуживавшего в том числе подключения Банка России; заявлено об уничтожении данных</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Заявлено об уничтожении порядка 20 ТБ данных; перебои в передаче данных у части клиентов; инцидент показал уязвимость критичных организаций через поставщика связи</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5</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«Росводоканал», ноябрь 2023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Атака с уничтожением данных и публикацией похищенной информации</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Заявлено об уничтожении свыше 6 ТБ данных и выводе из строя части информационных систем группы компаний, обслуживающей водоснабжение ряда городов</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6</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Утечки данных пользователей сервисов «Ростелекома» через подрядчика,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Компрометация подрядной организации с последующим доступом к данным заказчика (атака на цепочку поставок)</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Публикация персональных данных пользователей ряда сервисов; репутационный ущерб; проверки регулятора</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7</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Публикация данных из информационных ресурсов Росреестра,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Похищение и размещение в открытом доступе выгрузки сведений</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открытым данным, речь идёт о порядка 2 млн записей, содержащих персональные сведения и информацию об объектах недвижимости</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8</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Массированные DDoS-атаки на банковский сектор и государственные сервисы, 2023–2024 гг.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Объёмные, протокольные и прикладные распределённые атаки, в том числе с использованием ботнетов, арендованных облачных мощностей и зарубежных узлов</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Кратковременная недоступность систем дистанционного банковского обслуживания и государственных порталов; крупнейшие банки сообщали о рекордных по мощности и продолжительности атаках</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9</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Кампании шифровальщиков против промышленности, логистики и торговли, 2024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Группировки Head Mare, Twelve, Crypt Ghouls, Shedding Zmiy: проникновение через публично доступные сервисы и подрядчиков, шифрование с предварительным уничтожением резервных копий; в ряде случаев выкуп не запрашивался</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Многодневные простои производственных, складских и учётных систем; безвозвратная утрата части данных при отсутствии изолированных резервных копий</w:t>
            </w:r>
          </w:p>
        </w:tc>
      </w:tr>
      <w:tr>
        <w:tc>
          <w:tcPr>
            <w:tcW w:type="dxa" w:w="4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10</w:t>
            </w:r>
          </w:p>
        </w:tc>
        <w:tc>
          <w:tcPr>
            <w:tcW w:type="dxa" w:w="2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Атаки на подрядчиков, интеграторов и разработчиков ПО, 2023–2024 гг.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Компрометация поставщиков как «точки входа» в защищённые сети заказчиков, включая подмену обновлений и использование легитимных каналов сопровождения</w:t>
            </w:r>
          </w:p>
        </w:tc>
        <w:tc>
          <w:tcPr>
            <w:tcW w:type="dxa" w:w="3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оценкам российских компаний в области информационной безопасности, доля таких атак за период существенно выросла; компрометация одного поставщика приводила к инцидентам у десятков организаций-клиентов</w:t>
            </w:r>
          </w:p>
        </w:tc>
      </w:tr>
    </w:tbl>
    <w:p>
      <w:pPr>
        <w:keepNext/>
        <w:widowControl/>
        <w:spacing w:line="360" w:lineRule="auto" w:before="160" w:after="40"/>
        <w:ind w:firstLine="709"/>
        <w:jc w:val="both"/>
      </w:pPr>
      <w:r>
        <w:rPr>
          <w:rFonts w:ascii="Times New Roman" w:hAnsi="Times New Roman" w:cs="Times New Roman" w:eastAsia="Times New Roman"/>
          <w:b/>
          <w:i/>
          <w:sz w:val="28"/>
        </w:rPr>
        <w:t xml:space="preserve">Ущерб России от кибератак за последние три года</w:t>
      </w:r>
    </w:p>
    <w:p>
      <w:pPr>
        <w:widowControl/>
        <w:spacing w:line="360" w:lineRule="auto" w:before="0" w:after="0"/>
        <w:ind w:firstLine="709"/>
        <w:jc w:val="both"/>
      </w:pPr>
      <w:r>
        <w:rPr>
          <w:rFonts w:ascii="Times New Roman" w:hAnsi="Times New Roman" w:cs="Times New Roman" w:eastAsia="Times New Roman"/>
          <w:b w:val="0"/>
          <w:i w:val="0"/>
          <w:sz w:val="28"/>
        </w:rPr>
        <w:t xml:space="preserve">Совокупный ущерб оценивается по нескольким независимым группам показателей: официальной статистике МВД России о преступлениях, совершённых с использованием информационных технологий; данным Банка России об операциях, совершённых без согласия клиентов; и аналитике профильных компаний о числе утечек и атак.</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10 – Динамика показателей ущерба от киберпреступности в Российской Федерации</w:t>
      </w:r>
    </w:p>
    <w:tbl>
      <w:tblPr>
        <w:tblStyle w:val="TableGrid"/>
        <w:tblW w:type="auto" w:w="0"/>
        <w:jc w:val="center"/>
        <w:tblLayout w:type="fixed"/>
        <w:tblLook w:firstColumn="1" w:firstRow="1" w:lastColumn="0" w:lastRow="0" w:noHBand="0" w:noVBand="1" w:val="04A0"/>
      </w:tblPr>
      <w:tblGrid>
        <w:gridCol w:w="3955"/>
        <w:gridCol w:w="1800"/>
        <w:gridCol w:w="1800"/>
        <w:gridCol w:w="1800"/>
      </w:tblGrid>
      <w:tr>
        <w:trPr>
          <w:tblHeader/>
        </w:trPr>
        <w:tc>
          <w:tcPr>
            <w:tcW w:type="dxa" w:w="39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Показатель</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2022 г.</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2023 г.</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2024 г.</w:t>
            </w:r>
          </w:p>
        </w:tc>
      </w:tr>
      <w:tr>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Зарегистрировано преступлений с использованием информационных технологий (МВД России), тыс.</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около 522</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около 677</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около 765</w:t>
            </w:r>
          </w:p>
        </w:tc>
      </w:tr>
      <w:tr>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Их доля в общем числе зарегистрированных преступлений, %</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около 26</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около 34</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около 40</w:t>
            </w:r>
          </w:p>
        </w:tc>
      </w:tr>
      <w:tr>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Ущерб от преступлений в сфере информационных технологий (оценки МВД России), млрд руб.</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не менее 100</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около 156</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около 200</w:t>
            </w:r>
          </w:p>
        </w:tc>
      </w:tr>
      <w:tr>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Объём операций, совершённых без согласия клиентов (Банк России), млрд руб.</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14,2</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15,8</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27,5</w:t>
            </w:r>
          </w:p>
        </w:tc>
      </w:tr>
      <w:tr>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Доля средств, возвращённых банками клиентам, %</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около 4,4</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около 8,7</w:t>
            </w:r>
          </w:p>
        </w:tc>
        <w:tc>
          <w:tcPr>
            <w:tcW w:type="dxa" w:w="18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около 9,9</w:t>
            </w:r>
          </w:p>
        </w:tc>
      </w:tr>
    </w:tbl>
    <w:p>
      <w:pPr>
        <w:widowControl/>
        <w:spacing w:line="360" w:lineRule="auto" w:before="0" w:after="0"/>
        <w:ind w:firstLine="709"/>
        <w:jc w:val="both"/>
      </w:pPr>
      <w:r>
        <w:rPr>
          <w:rFonts w:ascii="Times New Roman" w:hAnsi="Times New Roman" w:cs="Times New Roman" w:eastAsia="Times New Roman"/>
          <w:b w:val="0"/>
          <w:i/>
          <w:sz w:val="28"/>
        </w:rPr>
        <w:t xml:space="preserve">Примечание.</w:t>
      </w:r>
      <w:r>
        <w:rPr>
          <w:rFonts w:ascii="Times New Roman" w:hAnsi="Times New Roman" w:cs="Times New Roman" w:eastAsia="Times New Roman"/>
          <w:b w:val="0"/>
          <w:i w:val="0"/>
          <w:sz w:val="28"/>
        </w:rPr>
        <w:t xml:space="preserve"> Значения приведены по открытым публикациям официальной статистики и сообщениям регуляторов; методики учёта в разные годы уточнялись, поэтому показатели следует рассматривать как оценочные и сопоставимые лишь по порядку величины.</w:t>
      </w:r>
    </w:p>
    <w:p>
      <w:pPr>
        <w:widowControl/>
        <w:spacing w:line="360" w:lineRule="auto" w:before="0" w:after="0"/>
        <w:ind w:firstLine="709"/>
        <w:jc w:val="both"/>
      </w:pPr>
      <w:r>
        <w:rPr>
          <w:rFonts w:ascii="Times New Roman" w:hAnsi="Times New Roman" w:cs="Times New Roman" w:eastAsia="Times New Roman"/>
          <w:b w:val="0"/>
          <w:i w:val="0"/>
          <w:sz w:val="28"/>
        </w:rPr>
        <w:t xml:space="preserve">Помимо непосредственно финансового ущерба, за рассматриваемый период Россия понесла следующие виды потерь: массовая компрометация персональных данных (по данным профильных аналитических центров, только в 2024 г. зафиксировано порядка 135 крупных утечек и около 710 млн скомпрометированных записей, что превышает численность населения страны в несколько раз); нарушение работы объектов критической информационной инфраструктуры, транспорта, медицинских и государственных сервисов; затраты на срочное импортозамещение средств защиты после прекращения поддержки зарубежными поставщиками в 2022 г.; отвлечение значительных ресурсов на защиту от непрерывных DDoS-атак; утрата результатов научно-технической деятельности вследствие шпионских кампаний. Ответом государства стало ужесточение регулирования: Указ Президента Российской Федерации от 01.05.2022 № 250 о возложении персональной ответственности за информационную безопасность на руководителей организаций и создании профильных подразделений, расширение требований по безопасности критической информационной инфраструктуры, введение оборотных штрафов за утечки персональных данных (Федеральный закон от 30.11.2024 № 420-ФЗ) и уголовной ответственности за незаконное использование персональных данных (статья 272.1 Уголовного кодекса Российской Федерации, введённая Федеральным законом от 30.11.2024 № 421-ФЗ).</w:t>
      </w:r>
    </w:p>
    <w:p>
      <w:pPr>
        <w:keepNext/>
        <w:widowControl/>
        <w:spacing w:line="360" w:lineRule="auto" w:before="160" w:after="40"/>
        <w:ind w:firstLine="709"/>
        <w:jc w:val="both"/>
      </w:pPr>
      <w:r>
        <w:rPr>
          <w:rFonts w:ascii="Times New Roman" w:hAnsi="Times New Roman" w:cs="Times New Roman" w:eastAsia="Times New Roman"/>
          <w:b/>
          <w:i/>
          <w:sz w:val="28"/>
        </w:rPr>
        <w:t xml:space="preserve">Ущерб населению от телефонных мошенников</w:t>
      </w:r>
    </w:p>
    <w:p>
      <w:pPr>
        <w:widowControl/>
        <w:spacing w:line="360" w:lineRule="auto" w:before="0" w:after="0"/>
        <w:ind w:firstLine="709"/>
        <w:jc w:val="both"/>
      </w:pPr>
      <w:r>
        <w:rPr>
          <w:rFonts w:ascii="Times New Roman" w:hAnsi="Times New Roman" w:cs="Times New Roman" w:eastAsia="Times New Roman"/>
          <w:b w:val="0"/>
          <w:i w:val="0"/>
          <w:sz w:val="28"/>
        </w:rPr>
        <w:t xml:space="preserve">Телефонное и мессенджер-мошенничество, целиком основанное на методах социальной инженерии, является самым массовым видом посягательств на имущество граждан. По данным Банка России, объём операций, совершённых без согласия клиентов, составил 15,8 млрд руб. в 2023 г. и 27,5 млрд руб. в 2024 г. — рост более чем в 1,7 раза за год; при этом банки вернули потерпевшим менее 10 % похищенных средств, поскольку большинство переводов совершается самими гражданами добровольно под воздействием обмана, что формально исключает применение механизма возврата. Число таких операций измеряется более чем миллионом в год.</w:t>
      </w:r>
    </w:p>
    <w:p>
      <w:pPr>
        <w:widowControl/>
        <w:spacing w:line="360" w:lineRule="auto" w:before="0" w:after="0"/>
        <w:ind w:firstLine="709"/>
        <w:jc w:val="both"/>
      </w:pPr>
      <w:r>
        <w:rPr>
          <w:rFonts w:ascii="Times New Roman" w:hAnsi="Times New Roman" w:cs="Times New Roman" w:eastAsia="Times New Roman"/>
          <w:b w:val="0"/>
          <w:i w:val="0"/>
          <w:sz w:val="28"/>
        </w:rPr>
        <w:t xml:space="preserve">Характерные особенности российского телефонного мошенничества за рассматриваемый период:</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преобладание многоэтапных сценариев с последовательным участием нескольких «ролей» (оператор банка, «сотрудник Банка России», «следователь»), что многократно повышает убедительность обмана;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использование подмены номера вызывающего абонента, в том числе номеров реальных банков, государственных органов и правоохранительных структур;</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смещение основного канала общения в мессенджеры, где технические возможности операторов связи по блокированию вызовов не применяются;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вовлечение граждан в качестве «дропперов» — посредников для обналичивания похищенных средств, что влечёт для них самостоятельную уголовную ответственность;</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применение синтезированного голоса родственников и дипфейков для схем «помощи близкому»;</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размещение центров обзвона за пределами Российской Федерации, что затрудняет расследование и привлечение к ответственности;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целенаправленный выбор наиболее уязвимых категорий граждан — пожилых людей, а также использование данных из ранее произошедших утечек для персонализации обмана.</w:t>
      </w:r>
    </w:p>
    <w:p>
      <w:pPr>
        <w:widowControl/>
        <w:spacing w:line="360" w:lineRule="auto" w:before="0" w:after="0"/>
        <w:ind w:firstLine="709"/>
        <w:jc w:val="both"/>
      </w:pPr>
      <w:r>
        <w:rPr>
          <w:rFonts w:ascii="Times New Roman" w:hAnsi="Times New Roman" w:cs="Times New Roman" w:eastAsia="Times New Roman"/>
          <w:b w:val="0"/>
          <w:i w:val="0"/>
          <w:sz w:val="28"/>
        </w:rPr>
        <w:t xml:space="preserve">Меры противодействия развиваются в трёх направлениях. Правовое: Федеральный закон от 24.07.2023 № 369-ФЗ, вступивший в силу 25 июля 2024 г., ввёл обязанность банка приостанавливать перевод на два дня при наличии признаков совершения операции без добровольного согласия клиента и возвращать средства, если перевод был исполнен на счёт, сведения о котором содержатся в базе данных Банка России. Организационное: работа ФинЦЕРТ Банка России по обмену информацией, межведомственное взаимодействие с операторами связи по блокированию подменных номеров, антифрод-системы банков и операторов, ограничения на дистанционное оформление кредитов и механизм самозапрета на их получение. Просветительское: массовое информирование граждан о типовых схемах, поскольку единственной надёжной защитой от социальной инженерии остаётся выработанная привычка прервать неожиданный разговор и самостоятельно перезвонить в организацию по официальному номеру.</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10. Самостоятельный поиск новейшей учебной и научной литературы по тематике изучаемой темы.</w:t>
      </w:r>
    </w:p>
    <w:p>
      <w:pPr>
        <w:widowControl/>
        <w:spacing w:line="360" w:lineRule="auto" w:before="0" w:after="0"/>
        <w:ind w:firstLine="709"/>
        <w:jc w:val="both"/>
      </w:pPr>
      <w:r>
        <w:rPr>
          <w:rFonts w:ascii="Times New Roman" w:hAnsi="Times New Roman" w:cs="Times New Roman" w:eastAsia="Times New Roman"/>
          <w:b w:val="0"/>
          <w:i w:val="0"/>
          <w:sz w:val="28"/>
        </w:rPr>
        <w:t xml:space="preserve">Поиск выполнялся по следующим источникам: научная электронная библиотека eLIBRARY.RU и открытая библиотека «КиберЛенинка» — для статей в рецензируемых журналах; электронный каталог диссертаций Российской государственной библиотеки — для диссертаций и авторефератов; Перечень рецензируемых научных изданий ВАК при Минобрнауки России — для отбора журналов по научной специальности 2.3.6 «Методы и системы защиты информации, информационная безопасность»; каталоги издательств «Юрайт», ИНФРА-М, «ДМК Пресс», «БХВ-Петербург», «Питер», «Горячая линия — Телеком» — для учебных изданий; международные базы IEEE Xplore, ACM Digital Library, Springer Link и препринтный архив arXiv (раздел cs.CR) — для зарубежных научных публикаций; официальные сайты ФСТЭК России, ФСБ России и НКЦКИ, а также аналитические публикации отечественных и зарубежных центров мониторинга киберугроз.</w:t>
      </w:r>
    </w:p>
    <w:p>
      <w:pPr>
        <w:keepNext/>
        <w:widowControl/>
        <w:spacing w:line="360" w:lineRule="auto" w:before="160" w:after="40"/>
        <w:ind w:firstLine="709"/>
        <w:jc w:val="both"/>
      </w:pPr>
      <w:r>
        <w:rPr>
          <w:rFonts w:ascii="Times New Roman" w:hAnsi="Times New Roman" w:cs="Times New Roman" w:eastAsia="Times New Roman"/>
          <w:b/>
          <w:i/>
          <w:sz w:val="28"/>
        </w:rPr>
        <w:t xml:space="preserve">Учебники и учебные пособия 2023–2024 гг. издания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Бирюков, А. А. Информационная безопасность: защита и нападение. – 3-е изд., перераб. и доп. – М. : ДМК Пресс, 2024. – 440 с. — практико-ориентированное издание, рассматривающее методы атак и соответствующие им защитные механизмы.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Нестеров, С. А. Информационная безопасность : учебник и практикум для вузов. – 3-е изд. – М. : Юрайт, 2024. — систематическое изложение теории и нормативной базы с практикумом.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Внуков, А. А. Основы информационной безопасности: защита информации : учебник и практикум для вузов. – 4-е изд. – М. : Юрайт, 2023.</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Баранова, Е. К., Бабаш, А. В. Информационная безопасность и защита информации : учеб. пособие. – 4-е изд. – М. : РИОР ; ИНФРА-М, 2023.</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Казарин, О. В., Забабурин, А. С. Программно-аппаратные средства защиты информации. Защита программного обеспечения : учебник и практикум. – М. : Юрайт, 2023.</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Сычев, Ю. Н. Стандарты информационной безопасности. Защита и обработка конфиденциальных документов : учеб. пособие. – М. : ИНФРА-М, 2023.</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Партыка, Т. Л., Попов, И. И. Информационная безопасность : учеб. пособие. – М. : ИНФРА-М, 2023.</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Мельников, В. П. Информационная безопасность : учебник. – М. : КноРус, 2023.</w:t>
      </w:r>
    </w:p>
    <w:p>
      <w:pPr>
        <w:keepNext/>
        <w:widowControl/>
        <w:spacing w:line="360" w:lineRule="auto" w:before="160" w:after="40"/>
        <w:ind w:firstLine="709"/>
        <w:jc w:val="both"/>
      </w:pPr>
      <w:r>
        <w:rPr>
          <w:rFonts w:ascii="Times New Roman" w:hAnsi="Times New Roman" w:cs="Times New Roman" w:eastAsia="Times New Roman"/>
          <w:b/>
          <w:i/>
          <w:sz w:val="28"/>
        </w:rPr>
        <w:t xml:space="preserve">Монографии, практические руководства и переводные издания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Хэднеги, К. Искусство обмана. Социальная инженерия в мошеннических схемах / пер. с англ. – М. : Альпина Паблишер, 2020. – 282 с. — базовое издание по методам социальной инженерии и построению защиты от них.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Диогенес, Ю., Озкайя, Э. Кибербезопасность: стратегии атак и обороны / пер. с англ. Д. А. Беликова. – М. : ДМК Пресс, 2020. – 326 с.</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Бабин, С. А. Лаборатория хакера. – СПб. : БХВ-Петербург, 2016. – 240 с.</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Райс, Л. Безопасность контейнеров. Фундаментальный подход к защите контейнеризованных приложений / пер. с англ. – М. : ДМК Пресс. — систематическое изложение механизмов изоляции контейнеров и угроз им.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Сикорски, М., Хониг, Э. Вскрытие покажет! Практический анализ вредоносного ПО / пер. с англ. – СПб. : Питер. — руководство по обратной разработке вредоносного кода.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Скабцов, Н. В. Аудит безопасности информационных систем. – СПб. : Питер.</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Аналитические монографии и сборники трудов профильных научных организаций: ИСП РАН (анализ программ и поиск уязвимостей), СПб ФИЦ РАН (интеллектуальные методы обнаружения атак), НИЯУ МИФИ и Академии криптографии Российской Федерации.</w:t>
      </w:r>
    </w:p>
    <w:p>
      <w:pPr>
        <w:keepNext/>
        <w:widowControl/>
        <w:spacing w:line="360" w:lineRule="auto" w:before="160" w:after="40"/>
        <w:ind w:firstLine="709"/>
        <w:jc w:val="both"/>
      </w:pPr>
      <w:r>
        <w:rPr>
          <w:rFonts w:ascii="Times New Roman" w:hAnsi="Times New Roman" w:cs="Times New Roman" w:eastAsia="Times New Roman"/>
          <w:b/>
          <w:i/>
          <w:sz w:val="28"/>
        </w:rPr>
        <w:t xml:space="preserve">Диссертации и авторефераты</w:t>
      </w:r>
    </w:p>
    <w:p>
      <w:pPr>
        <w:widowControl/>
        <w:spacing w:line="360" w:lineRule="auto" w:before="0" w:after="0"/>
        <w:ind w:firstLine="709"/>
        <w:jc w:val="both"/>
      </w:pPr>
      <w:r>
        <w:rPr>
          <w:rFonts w:ascii="Times New Roman" w:hAnsi="Times New Roman" w:cs="Times New Roman" w:eastAsia="Times New Roman"/>
          <w:b w:val="0"/>
          <w:i w:val="0"/>
          <w:sz w:val="28"/>
        </w:rPr>
        <w:t xml:space="preserve">Поиск проводился по электронному каталогу диссертаций Российской государственной библиотеки и базе eLIBRARY.RU по научной специальности 2.3.6 «Методы и системы защиты информации, информационная безопасность» (номенклатура 2021 г.), а также по смежным специальностям 2.3.5 «Математическое и программное обеспечение вычислительных систем» и 1.2.2 «Математическое моделирование, численные методы и комплексы программ». Основные направления защищённых в 2023–2024 гг. работ: применение методов машинного обучения для обнаружения сетевых аномалий и вредоносного программного обеспечения; модели и методы оценки защищённости критической информационной инфраструктуры; безопасность контейнерных и облачных инфраструктур; методы противодействия целевым атакам и построения ловушек; формальные модели разграничения доступа и верификация политик безопасности; постквантовые криптографические схемы; безопасность беспроводных сетей и устройств Интернета вещей; методы выявления утечек и инсайдерской активности. Ведущие организации, на базе которых ведётся подготовка диссертаций: НИЯУ МИФИ, МГТУ им. Н. Э. Баумана, СПбПУ Петра Великого, Университет ИТМО, СПб ФИЦ РАН, ИСП РАН, ТУСУР, ЮФУ, ДГТУ, Академия ФСБ России, Академия криптографии Российской Федерации. Магистерские диссертации по профилю размещаются в открытых репозиториях университетов, что позволяет использовать их как источник актуальной постановки задач.</w:t>
      </w:r>
    </w:p>
    <w:p>
      <w:pPr>
        <w:keepNext/>
        <w:widowControl/>
        <w:spacing w:line="360" w:lineRule="auto" w:before="160" w:after="40"/>
        <w:ind w:firstLine="709"/>
        <w:jc w:val="both"/>
      </w:pPr>
      <w:r>
        <w:rPr>
          <w:rFonts w:ascii="Times New Roman" w:hAnsi="Times New Roman" w:cs="Times New Roman" w:eastAsia="Times New Roman"/>
          <w:b/>
          <w:i/>
          <w:sz w:val="28"/>
        </w:rPr>
        <w:t xml:space="preserve">Научные журналы из Перечня ВАК по тематике информационной безопасности</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11 – Российские рецензируемые научные журналы по тематике информационной безопасности</w:t>
      </w:r>
    </w:p>
    <w:tbl>
      <w:tblPr>
        <w:tblStyle w:val="TableGrid"/>
        <w:tblW w:type="auto" w:w="0"/>
        <w:jc w:val="center"/>
        <w:tblLayout w:type="fixed"/>
        <w:tblLook w:firstColumn="1" w:firstRow="1" w:lastColumn="0" w:lastRow="0" w:noHBand="0" w:noVBand="1" w:val="04A0"/>
      </w:tblPr>
      <w:tblGrid>
        <w:gridCol w:w="3000"/>
        <w:gridCol w:w="2755"/>
        <w:gridCol w:w="3600"/>
      </w:tblGrid>
      <w:tr>
        <w:trPr>
          <w:tblHeader/>
        </w:trPr>
        <w:tc>
          <w:tcPr>
            <w:tcW w:type="dxa" w:w="30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Издание</w:t>
            </w:r>
          </w:p>
        </w:tc>
        <w:tc>
          <w:tcPr>
            <w:tcW w:type="dxa" w:w="27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Издатель</w:t>
            </w:r>
          </w:p>
        </w:tc>
        <w:tc>
          <w:tcPr>
            <w:tcW w:type="dxa" w:w="36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Тематика</w:t>
            </w:r>
          </w:p>
        </w:tc>
      </w:tr>
      <w:tr>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«Вопросы кибербезопасности»</w:t>
            </w:r>
          </w:p>
        </w:tc>
        <w:tc>
          <w:tcPr>
            <w:tcW w:type="dxa" w:w="2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АО «НПО "Эшелон"»</w:t>
            </w:r>
          </w:p>
        </w:tc>
        <w:tc>
          <w:tcPr>
            <w:tcW w:type="dxa" w:w="3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Модели и методы защиты информации, криптография, безопасность критической информационной инфраструктуры; одно из ведущих профильных изданий</w:t>
            </w:r>
          </w:p>
        </w:tc>
      </w:tr>
      <w:tr>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«Безопасность информационных технологий»</w:t>
            </w:r>
          </w:p>
        </w:tc>
        <w:tc>
          <w:tcPr>
            <w:tcW w:type="dxa" w:w="2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НИЯУ МИФИ</w:t>
            </w:r>
          </w:p>
        </w:tc>
        <w:tc>
          <w:tcPr>
            <w:tcW w:type="dxa" w:w="3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Теория и практика информационной безопасности, безопасная разработка, подготовка кадров</w:t>
            </w:r>
          </w:p>
        </w:tc>
      </w:tr>
      <w:tr>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«Прикладная дискретная математика»</w:t>
            </w:r>
          </w:p>
        </w:tc>
        <w:tc>
          <w:tcPr>
            <w:tcW w:type="dxa" w:w="2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Томский государственный университет</w:t>
            </w:r>
          </w:p>
        </w:tc>
        <w:tc>
          <w:tcPr>
            <w:tcW w:type="dxa" w:w="3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Криптография и криптоанализ, математические модели безопасности, теория автоматов</w:t>
            </w:r>
          </w:p>
        </w:tc>
      </w:tr>
      <w:tr>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«Информатика и автоматизация» (ранее «Труды СПИИРАН»)</w:t>
            </w:r>
          </w:p>
        </w:tc>
        <w:tc>
          <w:tcPr>
            <w:tcW w:type="dxa" w:w="2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СПб ФИЦ РАН</w:t>
            </w:r>
          </w:p>
        </w:tc>
        <w:tc>
          <w:tcPr>
            <w:tcW w:type="dxa" w:w="3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Защита информации, интеллектуальный анализ данных, кибербезопасность киберфизических систем</w:t>
            </w:r>
          </w:p>
        </w:tc>
      </w:tr>
      <w:tr>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«Труды Института системного программирования РАН»</w:t>
            </w:r>
          </w:p>
        </w:tc>
        <w:tc>
          <w:tcPr>
            <w:tcW w:type="dxa" w:w="2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ИСП РАН</w:t>
            </w:r>
          </w:p>
        </w:tc>
        <w:tc>
          <w:tcPr>
            <w:tcW w:type="dxa" w:w="3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Статический и динамический анализ программ, поиск уязвимостей, доверенное программное обеспечение</w:t>
            </w:r>
          </w:p>
        </w:tc>
      </w:tr>
      <w:tr>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«Защита информации. Инсайд»</w:t>
            </w:r>
          </w:p>
        </w:tc>
        <w:tc>
          <w:tcPr>
            <w:tcW w:type="dxa" w:w="2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ООО «Афина»</w:t>
            </w:r>
          </w:p>
        </w:tc>
        <w:tc>
          <w:tcPr>
            <w:tcW w:type="dxa" w:w="3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Практические аспекты защиты информации, обзоры средств защиты, нормативное регулирование</w:t>
            </w:r>
          </w:p>
        </w:tc>
      </w:tr>
      <w:tr>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«Известия высших учебных заведений. Приборостроение»</w:t>
            </w:r>
          </w:p>
        </w:tc>
        <w:tc>
          <w:tcPr>
            <w:tcW w:type="dxa" w:w="2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Университет ИТМО</w:t>
            </w:r>
          </w:p>
        </w:tc>
        <w:tc>
          <w:tcPr>
            <w:tcW w:type="dxa" w:w="3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Техническая защита информации, аппаратные средства и измерения</w:t>
            </w:r>
          </w:p>
        </w:tc>
      </w:tr>
      <w:tr>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«Правовая информатика»</w:t>
            </w:r>
          </w:p>
        </w:tc>
        <w:tc>
          <w:tcPr>
            <w:tcW w:type="dxa" w:w="2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ФБУ НЦПИ при Минюсте России</w:t>
            </w:r>
          </w:p>
        </w:tc>
        <w:tc>
          <w:tcPr>
            <w:tcW w:type="dxa" w:w="3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Правовое обеспечение информационной безопасности, информационное право</w:t>
            </w:r>
          </w:p>
        </w:tc>
      </w:tr>
      <w:tr>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«Системы высокой доступности»</w:t>
            </w:r>
          </w:p>
        </w:tc>
        <w:tc>
          <w:tcPr>
            <w:tcW w:type="dxa" w:w="2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Издательство «Радиотехника»</w:t>
            </w:r>
          </w:p>
        </w:tc>
        <w:tc>
          <w:tcPr>
            <w:tcW w:type="dxa" w:w="3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Отказоустойчивость, надёжность и защищённость инфокоммуникационных систем</w:t>
            </w:r>
          </w:p>
        </w:tc>
      </w:tr>
      <w:tr>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«Доклады Томского государственного университета систем управления и радиоэлектроники»</w:t>
            </w:r>
          </w:p>
        </w:tc>
        <w:tc>
          <w:tcPr>
            <w:tcW w:type="dxa" w:w="2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ТУСУР</w:t>
            </w:r>
          </w:p>
        </w:tc>
        <w:tc>
          <w:tcPr>
            <w:tcW w:type="dxa" w:w="3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Информационная безопасность, радиотехнические и телекоммуникационные системы</w:t>
            </w:r>
          </w:p>
        </w:tc>
      </w:tr>
    </w:tbl>
    <w:p>
      <w:pPr>
        <w:keepNext/>
        <w:widowControl/>
        <w:spacing w:line="360" w:lineRule="auto" w:before="160" w:after="40"/>
        <w:ind w:firstLine="709"/>
        <w:jc w:val="both"/>
      </w:pPr>
      <w:r>
        <w:rPr>
          <w:rFonts w:ascii="Times New Roman" w:hAnsi="Times New Roman" w:cs="Times New Roman" w:eastAsia="Times New Roman"/>
          <w:b/>
          <w:i/>
          <w:sz w:val="28"/>
        </w:rPr>
        <w:t xml:space="preserve">Обзоры, аналитические отчёты и интервью специалистов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Отечественная аналитика:</w:t>
      </w:r>
      <w:r>
        <w:rPr>
          <w:rFonts w:ascii="Times New Roman" w:hAnsi="Times New Roman" w:cs="Times New Roman" w:eastAsia="Times New Roman"/>
          <w:b w:val="0"/>
          <w:i w:val="0"/>
          <w:sz w:val="28"/>
        </w:rPr>
        <w:t xml:space="preserve"> ежеквартальные отчёты Positive Technologies «Актуальные киберугрозы» и прогнозные исследования по кибербезопасности в России; отчёты «Солар» об исследовании киберугроз и деятельности центра Solar JSOC; серия BI.ZONE Threat Zone; отчёты F.A.C.C.T. (ранее Group-IB) о высокотехнологичной преступности; Kaspersky Security Bulletin и отчёты Kaspersky ICS CERT; исследования InfoWatch об утечках информации; публикации НКЦКИ и статистика Роскомнадзора.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Зарубежная аналитика:</w:t>
      </w:r>
      <w:r>
        <w:rPr>
          <w:rFonts w:ascii="Times New Roman" w:hAnsi="Times New Roman" w:cs="Times New Roman" w:eastAsia="Times New Roman"/>
          <w:b w:val="0"/>
          <w:i w:val="0"/>
          <w:sz w:val="28"/>
        </w:rPr>
        <w:t xml:space="preserve"> Verizon Data Breach Investigations Report (DBIR) 2024; IBM X-Force Threat Intelligence Index 2024 и IBM Cost of a Data Breach Report 2024; ENISA Threat Landscape 2024; CrowdStrike Global Threat Report 2024; Mandiant M-Trends 2024; годовой отчёт Центра приёма жалоб на интернет-преступность ФБР (IC3); обновления матрицы MITRE ATT&amp;CK; OWASP Top 10 и OWASP Top 10 for LLM Applications.</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Обзоры и интервью специалистов:</w:t>
      </w:r>
      <w:r>
        <w:rPr>
          <w:rFonts w:ascii="Times New Roman" w:hAnsi="Times New Roman" w:cs="Times New Roman" w:eastAsia="Times New Roman"/>
          <w:b w:val="0"/>
          <w:i w:val="0"/>
          <w:sz w:val="28"/>
        </w:rPr>
        <w:t xml:space="preserve"> публичные выступления и интервью С. К. Кузнецова (ПАО Сбербанк) по вопросам кибермошенничества и ущерба экономике; Н. И. Касперской (ГК InfoWatch) по проблематике утечек и цифрового суверенитета; А. В. Лукацкого (Positive Technologies) — систематические обзоры регулирования и практики защиты, в том числе в авторском блоге «Бизнес без опасности»; И. В. Ляпунова (ГК «Солар») по вопросам построения центров мониторинга.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 xml:space="preserve">Конференции и профессиональные площадки</w:t>
      </w:r>
      <w:r>
        <w:rPr>
          <w:rFonts w:ascii="Times New Roman" w:hAnsi="Times New Roman" w:cs="Times New Roman" w:eastAsia="Times New Roman"/>
          <w:b w:val="0"/>
          <w:i w:val="0"/>
          <w:sz w:val="28"/>
        </w:rPr>
        <w:t xml:space="preserve"> как источник новейших результатов: Positive Hack Days, SOC-Форум, «Инфофорум», Уральский форум по кибербезопасности в финансовой сфере, серия конференций «Код информационной безопасности», OFFZONE, ZeroNights; из зарубежных — Black Hat, DEF CON, USENIX Security, ACM CCS, IEEE S&amp;P (Oakland).</w:t>
      </w:r>
    </w:p>
    <w:p>
      <w:pPr>
        <w:keepNext/>
        <w:widowControl/>
        <w:spacing w:line="360" w:lineRule="auto" w:before="240" w:after="240"/>
        <w:ind w:firstLine="0"/>
        <w:jc w:val="center"/>
      </w:pPr>
      <w:r>
        <w:rPr>
          <w:rFonts w:ascii="Times New Roman" w:hAnsi="Times New Roman" w:cs="Times New Roman" w:eastAsia="Times New Roman"/>
          <w:b/>
          <w:i w:val="0"/>
          <w:sz w:val="28"/>
        </w:rPr>
        <w:t xml:space="preserve">ВЫВОДЫ</w:t>
      </w:r>
    </w:p>
    <w:p>
      <w:pPr>
        <w:widowControl/>
        <w:spacing w:line="360" w:lineRule="auto" w:before="0" w:after="0"/>
        <w:ind w:firstLine="709"/>
        <w:jc w:val="both"/>
      </w:pPr>
      <w:r>
        <w:rPr>
          <w:rFonts w:ascii="Times New Roman" w:hAnsi="Times New Roman" w:cs="Times New Roman" w:eastAsia="Times New Roman"/>
          <w:b w:val="0"/>
          <w:i w:val="0"/>
          <w:sz w:val="28"/>
        </w:rPr>
        <w:t xml:space="preserve">В ходе выполнения вступительной лабораторной работы изучен современный ландшафт угроз информационному пространству и киберпространству Российской Федерации, рассмотрены возможности средств защиты и проанализированы наиболее значимые кибератаки 2023–2024 гг. По результатам работы сформулированы следующие выводы.</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Социальная инженерия остаётся наиболее результативным вектором атаки, поскольку эксплуатирует свойства человеческой психики, не устраняемые обновлением программного обеспечения; по данным Verizon DBIR 2024 человеческий фактор присутствует примерно в 68 % инцидентов. Применение генеративных моделей и технологий синтеза голоса и видео в 2023–2024 гг. лишило силы традиционные признаки распознавания обмана, что подтверждает инцидент с компанией Arup (около 25,6 млн долл.). Защита возможна только при сочетании организационных регламентов, непрерывного обучения персонала и технических мер, среди которых определяющее значение имеет переход на фишинг-устойчивые факторы аутентификации.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Классификация кибератак по уровням модели OSI показывает, что каждый уровень обладает собственным набором уязвимостей и требует собственных средств защиты: атака канального уровня прозрачна для средств прикладного уровня и наоборот. Отсюда следует обязательность эшелонированной защиты; при этом социальная инженерия и атаки на цепочку поставок принципиально выходят за рамки модели OSI и относятся к условному «восьмому уровню».</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Беспроводные технологии характеризуются принципиальной неустранимой особенностью — невозможностью физического контроля среды передачи, вследствие чего граница защищаемой системы выходит за пределы контролируемой зоны. Устаревшие механизмы (WEP, WPS) должны рассматриваться как отсутствие защиты, а скрытие идентификатора сети и фильтрация по MAC-адресам не являются мерами защиты. Целевым решением является аутентификация 802.1X на сертификатах, защита управляющих кадров и обращение с беспроводным сегментом как с недоверенным.</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4. Уязвимости программного обеспечения разделяются по этапу внесения на уязвимости проектирования, реализации и эксплуатации. Уязвимости проектирования наиболее опасны, так как не устраняются обновлением и требуют замены протокола или архитектуры; уязвимости реализации составляют основную часть публикуемых записей CVE; уязвимости эксплуатации обеспечивают наибольшую долю успешных проникновений, что подтверждается инцидентами Equifax, Snowflake, Change Healthcare и кампанией ESXiArgs. Предупреждение уязвимостей обеспечивается практиками безопасной разработки в соответствии с ГОСТ Р 56939.</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5. Атаки в виртуальной среде отличаются многократным усилением последствий: компрометация гипервизора или управляющего слоя означает компрометацию всех размещённых нагрузок, чем и объясняется переориентация группировок вымогателей на шифрование датасторов ESXi. Контейнеризация обеспечивает существенно более слабую изоляцию, чем виртуализация, из-за общего ядра, поэтому контейнер следует рассматривать как процесс с ограниченными правами, а не как границу безопасности; в Kubernetes определяющее значение имеют минимизация прав RBAC, сетевые политики «запрещено по умолчанию» и контроль допуска образов.</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6. Основным источником уязвимостей облачных технологий являются не дефекты платформ провайдеров, а ошибки потребителя в конфигурировании и управлении доступом, что вытекает из модели разделяемой ответственности. Защита строится на архитектуре нулевого доверия, обязательной многофакторной аутентификации, отказе от долгоживущих ключей, управлении ключами шифрования потребителем и применении специализированных платформ CNAPP. Центры мониторинга (SOC) при работе с облаком опираются на журналы управляющего слоя и безагентные методы; в Российской Федерации функционирует государственная система ГосСОПКА во главе с НКЦКИ, а в финансовой сфере — ФинЦЕРТ Банка России.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7. Современная система защиты образуется совокупностью взаимодополняющих средств, каждое из которых имеет принципиальные ограничения: антивирусные средства эволюционировали в платформы EDR и XDR; межсетевые экраны не защищают от атак внутри разрешённого трафика; системы обнаружения вторжений ограничены повсеместным шифрованием; средства предотвращения утечек снижают риск непреднамеренных утечек, но не препятствуют квалифицированному инсайдеру; биометрия не может служить единственным фактором вследствие вероятностного характера решения и неотзываемости признака. Требования к средствам защиты в Российской Федерации установлены приказами ФСТЭК России № 28, № 9, № 638 и № 131, к криптографическим средствам — ФСБ России. Honeypot представляет собой ресурс без легитимного назначения, любое обращение к которому подозрительно, что обеспечивает практически нулевой уровень ложных срабатываний и делает ловушки эффективным средством обнаружения внутренней разведки и горизонтального перемещения; при этом ловушка ничего не блокирует и требует жёсткой изоляции.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8. Анализ наиболее известных кибератак 2023–2024 гг. в мире выявил три определяющие тенденции: массовую эксплуатацию уязвимостей нулевого дня в средствах защиты периметра и файлового обмена (MOVEit, Ivanti), атаки на поставщиков услуг с многократным усилением последствий (Snowflake, Okta, CDK Global) и смещение ущерба из экономической сферы в сферу жизни и здоровья людей (Change Healthcare, Synnovis, Ascension). Ущерб владельцам ресурсов достигает миллиардов долларов на один инцидент и в отдельных случаях приводит к прекращению деятельности организации, а для граждан носит необратимый характер, поскольку номер документа, дата рождения и медицинский диагноз не могут быть перевыпущены.</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9. Российские информационные ресурсы за 2023–2024 гг. подверглись как финансово мотивированным, так и политически мотивированным деструктивным атакам, направленным на уничтожение данных и резервных копий без требования выкупа (СДЭК, ВГТРК, ГАС «Правосудие», «Инфотел», «Росводоканал»); заметно возросла роль атак через подрядчиков. Ущерб от преступлений в сфере информационных технологий, по оценкам МВД России, вырос до порядка 200 млрд руб. в 2024 г., а объём операций, совершённых без согласия клиентов, по данным Банка России, увеличился с 14,2 млрд руб. в 2022 г. до 27,5 млрд руб. в 2024 г. при возврате менее 10 % похищенного. Определяющий вклад в ущерб населению вносит телефонное мошенничество, основанное исключительно на социальной инженерии, что потребовало законодательного ответа — введения «периода охлаждения» Федеральным законом № 369-ФЗ и оборотных штрафов за утечки персональных данных Федеральным законом № 420-ФЗ.</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10. Самостоятельный поиск подтвердил наличие достаточной современной учебной и научной базы по изучаемой тематике: учебные издания 2023–2024 гг. ведущих российских издательств, диссертационные исследования по научной специальности 2.3.6, публикации в рецензируемых журналах из Перечня ВАК («Вопросы кибербезопасности», «Безопасность информационных технологий», «Прикладная дискретная математика» и других), а также регулярно обновляемая аналитика отечественных и зарубежных центров мониторинга киберугроз. Существенной особенностью предметной области является быстрое устаревание сведений, вследствие чего учебная литература должна дополняться отчётами о текущих угрозах и материалами профессиональных конференций.</w:t>
      </w:r>
    </w:p>
    <w:p>
      <w:pPr>
        <w:keepNext/>
        <w:widowControl/>
        <w:spacing w:line="360" w:lineRule="auto" w:before="240" w:after="240"/>
        <w:ind w:firstLine="0"/>
        <w:jc w:val="center"/>
      </w:pPr>
      <w:r>
        <w:rPr>
          <w:rFonts w:ascii="Times New Roman" w:hAnsi="Times New Roman" w:cs="Times New Roman" w:eastAsia="Times New Roman"/>
          <w:b/>
          <w:i w:val="0"/>
          <w:sz w:val="28"/>
        </w:rPr>
        <w:t xml:space="preserve">СПИСОК ИСПОЛЬЗОВАННЫХ ИСТОЧНИКОВ</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1. Бирюков, А. А. Информационная безопасность: защита и нападение / А. А. Бирюков. – 3-е изд., перераб. и доп. – М. : ДМК Пресс, 2024. – 440 с.</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2. Хэднеги, К. Искусство обмана. Социальная инженерия в мошеннических схемах / К. Хэднеги ; пер. с англ. – М. : Альпина Паблишер, 2020. – 282 с.</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3. Диогенес, Ю. Кибербезопасность: стратегии атак и обороны / Ю. Диогенес, Э. Озкайя ; пер. с англ. Д. А. Беликова. – М. : ДМК Пресс, 2020. – 326 с.</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4. Бабин, С. А. Лаборатория хакера / С. А. Бабин. – СПб. : БХВ-Петербург, 2016. – 240 с.</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5. Нестеров, С. А. Информационная безопасность : учебник и практикум для вузов / С. А. Нестеров. – 3-е изд. – М. : Юрайт, 2024.</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6. Внуков, А. А. Основы информационной безопасности: защита информации : учебник и практикум для вузов / А. А. Внуков. – 4-е изд. – М. : Юрайт, 2023.</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7. Казарин, О. В. Программно-аппаратные средства защиты информации. Защита программного обеспечения : учебник и практикум / О. В. Казарин, А. С. Забабурин. – М. : Юрайт, 2023.</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8. Доктрина информационной безопасности Российской Федерации : утв. Указом Президента Российской Федерации от 05.12.2016 № 646.</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9. Об информации, информационных технологиях и о защите информации : Федеральный закон от 27.07.2006 № 149-ФЗ (с изм. и доп.).</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10. О персональных данных : Федеральный закон от 27.07.2006 № 152-ФЗ (с изм. и доп.).</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11. О безопасности критической информационной инфраструктуры Российской Федерации : Федеральный закон от 26.07.2017 № 187-ФЗ.</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12. Об электронной подписи : Федеральный закон от 06.04.2011 № 63-ФЗ (с изм. и доп.).</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13. Об осуществлении идентификации и (или) аутентификации физических лиц с использованием биометрических персональных данных : Федеральный закон от 29.12.2022 № 572-ФЗ.</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14. О внесении изменений в Федеральный закон «О национальной платёжной системе» : Федеральный закон от 24.07.2023 № 369-ФЗ.</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15. О внесении изменений в Кодекс Российской Федерации об административных правонарушениях : Федеральный закон от 30.11.2024 № 420-ФЗ.</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16. О внесении изменений в Уголовный кодекс Российской Федерации : Федеральный закон от 30.11.2024 № 421-ФЗ.</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17. О дополнительных мерах по обеспечению информационной безопасности Российской Федерации : Указ Президента Российской Федерации от 01.05.2022 № 250.</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18. Об утверждении Требований о защите информации, не составляющей государственную тайну, содержащейся в государственных информационных системах : приказ ФСТЭК России от 11.02.2013 № 17.</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19.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 приказ ФСТЭК России от 18.02.2013 № 21.</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20. Об утверждении Требований по обеспечению безопасности значимых объектов критической информационной инфраструктуры Российской Федерации : приказ ФСТЭК России от 25.12.2017 № 239.</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21. Требования к средствам антивирусной защиты : утв. приказом ФСТЭК России от 20.03.2012 № 28.</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22. Требования к межсетевым экранам : утв. приказом ФСТЭК России от 09.02.2016 № 9.</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23. Требования к системам обнаружения вторжений : утв. приказом ФСТЭК России от 06.12.2011 № 638.</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24. Требования по безопасности информации, устанавливающие уровни доверия к средствам технической защиты информации и средствам обеспечения безопасности информационных технологий : утв. приказом ФСТЭК России от 30.07.2018 № 131.</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25. Требования по безопасности информации к средствам виртуализации : утв. ФСТЭК России, 2016 г.</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26. Методика оценки угроз безопасности информации : утв. ФСТЭК России 05.02.2021.</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27. ГОСТ Р 50922-2006. Защита информации. Основные термины и определения. – М. : Стандартинформ, 2008.</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28. ГОСТ Р 56545-2015. Защита информации. Уязвимости информационных систем. Правила описания уязвимостей. – М. : Стандартинформ, 2015.</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29. ГОСТ Р 56546-2015. Защита информации. Уязвимости информационных систем. Классификация уязвимостей информационных систем. – М. : Стандартинформ, 2015.</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30. ГОСТ Р 56939-2016. Защита информации. Разработка безопасного программного обеспечения. Общие требования. – М. : Стандартинформ, 2016.</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31. ГОСТ Р 34.10-2012. Информационная технология. Криптографическая защита информации. Процессы формирования и проверки электронной цифровой подписи. – М. : Стандартинформ, 2012.</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32. ГОСТ Р 34.11-2012. Информационная технология. Криптографическая защита информации. Функция хэширования. – М. : Стандартинформ, 2012.</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33. ГОСТ Р 34.12-2015. Информационная технология. Криптографическая защита информации. Блочные шифры. – М. : Стандартинформ, 2015.</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34. ГОСТ Р ИСО/МЭК 7498-1-99. Информационная технология. Взаимосвязь открытых систем. Базовая эталонная модель. Часть 1. Базовая модель. – М. : Госстандарт России, 1999.</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35. ISO/IEC 27001:2022. Information security, cybersecurity and privacy protection — Information security management systems — Requirements.</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36. ISO/IEC 27017:2015. Code of practice for information security controls based on ISO/IEC 27002 for cloud services.</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37. NIST SP 800-145. The NIST Definition of Cloud Computing. – Gaithersburg : NIST, 2011.</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38. NIST SP 800-190. Application Container Security Guide. – Gaithersburg : NIST, 2017.</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39. NIST SP 800-207. Zero Trust Architecture. – Gaithersburg : NIST, 2020.</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40. MITRE ATT&amp;CK: Enterprise, Containers, Mobile matrices. – URL: https://attack.mitre.org (дата обращения: 06.08.2026).</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41. Банк данных угроз безопасности информации ФСТЭК России : офиц. сайт. – URL: https://bdu.fstec.ru (дата обращения: 06.08.2026).</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42. Национальный координационный центр по компьютерным инцидентам : офиц. сайт. – URL: https://safe-surf.ru (дата обращения: 06.08.2026).</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43. Обзор операций, совершённых без согласия клиентов финансовых организаций : отчёты Банка России за 2022–2024 гг. – URL: https://cbr.ru (дата обращения: 06.08.2026).</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44. Актуальные киберугрозы : ежеквартальные аналитические отчёты Positive Technologies. – URL: https://ptsecurity.com (дата обращения: 06.08.2026).</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45. Kaspersky Security Bulletin : ежегодные отчёты АО «Лаборатория Касперского». – URL: https://securelist.ru (дата обращения: 06.08.2026).</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46. Verizon 2024 Data Breach Investigations Report. – Verizon Business, 2024. – URL: https://verizon.com/dbir (дата обращения: 06.08.2026).</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47. Cost of a Data Breach Report 2024. – IBM Security, 2024. – URL: https://ibm.com/reports/data-breach (дата обращения: 06.08.2026).</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48. ENISA Threat Landscape 2024. – Athens : European Union Agency for Cybersecurity, 2024.</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49. Internet Crime Report 2023, 2024. – Federal Bureau of Investigation, Internet Crime Complaint Center (IC3).</w:t>
      </w:r>
    </w:p>
    <w:p>
      <w:pPr>
        <w:widowControl/>
        <w:spacing w:line="360" w:lineRule="auto" w:before="0" w:after="80"/>
        <w:ind w:hanging="482" w:left="1191"/>
        <w:jc w:val="both"/>
      </w:pPr>
      <w:r>
        <w:rPr>
          <w:rFonts w:ascii="Times New Roman" w:hAnsi="Times New Roman" w:cs="Times New Roman" w:eastAsia="Times New Roman"/>
          <w:b w:val="0"/>
          <w:i w:val="0"/>
          <w:sz w:val="28"/>
        </w:rPr>
        <w:t xml:space="preserve">50. OWASP Top 10 for Large Language Model Applications. – The OWASP Foundation. – URL: https://owasp.org (дата обращения: 06.08.2026).</w:t>
      </w:r>
    </w:p>
    <w:sectPr w:rsidR="00FC693F" w:rsidRPr="0006063C" w:rsidSect="00034616">
      <w:footerReference w:type="default" r:id="rId9"/>
      <w:pgSz w:w="11906" w:h="16838"/>
      <w:pgMar w:top="1134" w:right="850" w:bottom="1134" w:left="1701" w:header="720" w:footer="709"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line="240" w:lineRule="auto" w:before="0" w:after="0"/>
      <w:ind w:firstLine="0"/>
      <w:jc w:val="center"/>
    </w:pPr>
    <w:r>
      <w:rPr>
        <w:rFonts w:ascii="Times New Roman" w:hAnsi="Times New Roman" w:cs="Times New Roman" w:eastAsia="Times New Roman"/>
        <w:b w:val="0"/>
        <w:i w:val="0"/>
        <w:sz w:val="24"/>
      </w:rPr>
      <w:fldChar w:fldCharType="begin"/>
    </w:r>
    <w:r>
      <w:rPr>
        <w:rFonts w:ascii="Times New Roman" w:hAnsi="Times New Roman" w:cs="Times New Roman" w:eastAsia="Times New Roman"/>
        <w:b w:val="0"/>
        <w:i w:val="0"/>
        <w:sz w:val="24"/>
      </w:rPr>
      <w:instrText xml:space="preserve"> PAGE \* MERGEFORMAT </w:instrText>
    </w:r>
    <w:r>
      <w:rPr>
        <w:rFonts w:ascii="Times New Roman" w:hAnsi="Times New Roman" w:cs="Times New Roman" w:eastAsia="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