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4"/>
        </w:rPr>
        <w:t>МИНИСТЕРСТВО НАУКИ И ВЫСШЕГО ОБРАЗОВАНИЯ РОССИЙСКОЙ ФЕДЕРАЦИИ</w:t>
      </w:r>
    </w:p>
    <w:p>
      <w:pPr>
        <w:spacing w:line="240" w:lineRule="auto" w:before="0" w:after="0"/>
        <w:jc w:val="center"/>
      </w:pPr>
      <w:r>
        <w:rPr>
          <w:rFonts w:ascii="Times New Roman" w:hAnsi="Times New Roman" w:eastAsia="Times New Roman"/>
          <w:b/>
          <w:i w:val="0"/>
          <w:sz w:val="24"/>
        </w:rPr>
        <w:t>ФЕДЕРАЛЬНОЕ ГОСУДАРСТВЕННОЕ БЮДЖЕТНОЕ</w:t>
      </w:r>
    </w:p>
    <w:p>
      <w:pPr>
        <w:spacing w:line="240" w:lineRule="auto" w:before="0" w:after="0"/>
        <w:jc w:val="center"/>
      </w:pPr>
      <w:r>
        <w:rPr>
          <w:rFonts w:ascii="Times New Roman" w:hAnsi="Times New Roman" w:eastAsia="Times New Roman"/>
          <w:b/>
          <w:i w:val="0"/>
          <w:sz w:val="24"/>
        </w:rPr>
        <w:t>ОБРАЗОВАТЕЛЬНОЕ УЧРЕЖДЕНИЕ ВЫСШЕГО ОБРАЗОВАНИЯ</w:t>
      </w:r>
    </w:p>
    <w:p>
      <w:pPr>
        <w:spacing w:line="240" w:lineRule="auto" w:before="0" w:after="0"/>
        <w:jc w:val="center"/>
      </w:pPr>
      <w:r>
        <w:rPr>
          <w:rFonts w:ascii="Times New Roman" w:hAnsi="Times New Roman" w:eastAsia="Times New Roman"/>
          <w:b/>
          <w:i w:val="0"/>
          <w:sz w:val="24"/>
        </w:rPr>
        <w:t>«ДОНСКОЙ ГОСУДАРСТВЕННЫЙ ТЕХНИЧЕСКИЙ УНИВЕРСИТЕТ»</w:t>
      </w:r>
    </w:p>
    <w:p>
      <w:pPr>
        <w:spacing w:line="240" w:lineRule="auto" w:before="0" w:after="0"/>
        <w:jc w:val="center"/>
      </w:pPr>
      <w:r>
        <w:rPr>
          <w:rFonts w:ascii="Times New Roman" w:hAnsi="Times New Roman" w:eastAsia="Times New Roman"/>
          <w:b/>
          <w:i w:val="0"/>
          <w:sz w:val="24"/>
        </w:rPr>
        <w:t>(ДГТУ)</w:t>
      </w: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4"/>
        </w:rPr>
        <w:t>Факультет «Информатика и вычислительная техника»</w:t>
      </w:r>
    </w:p>
    <w:p>
      <w:pPr>
        <w:spacing w:line="240" w:lineRule="auto" w:before="0" w:after="0"/>
        <w:jc w:val="center"/>
      </w:pPr>
      <w:r>
        <w:rPr>
          <w:rFonts w:ascii="Times New Roman" w:hAnsi="Times New Roman" w:eastAsia="Times New Roman"/>
          <w:b w:val="0"/>
          <w:i w:val="0"/>
          <w:sz w:val="24"/>
        </w:rPr>
        <w:t>Кафедра «Кибербезопасность информационных систем»</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120"/>
        <w:jc w:val="center"/>
      </w:pPr>
      <w:r>
        <w:rPr>
          <w:rFonts w:ascii="Times New Roman" w:hAnsi="Times New Roman" w:eastAsia="Times New Roman"/>
          <w:b/>
          <w:i w:val="0"/>
          <w:sz w:val="32"/>
        </w:rPr>
        <w:t>ЛАБОРАТОРНАЯ РАБОТА № 6</w:t>
      </w:r>
    </w:p>
    <w:p>
      <w:pPr>
        <w:spacing w:line="240" w:lineRule="auto" w:before="0" w:after="120"/>
        <w:jc w:val="center"/>
      </w:pPr>
      <w:r>
        <w:rPr>
          <w:rFonts w:ascii="Times New Roman" w:hAnsi="Times New Roman" w:eastAsia="Times New Roman"/>
          <w:b w:val="0"/>
          <w:i w:val="0"/>
          <w:sz w:val="28"/>
        </w:rPr>
        <w:t>по дисциплине «Защита информации от утечки по техническим каналам»</w:t>
      </w:r>
    </w:p>
    <w:p>
      <w:pPr>
        <w:spacing w:line="240" w:lineRule="auto" w:before="0" w:after="120"/>
        <w:jc w:val="center"/>
      </w:pPr>
      <w:r>
        <w:rPr>
          <w:rFonts w:ascii="Times New Roman" w:hAnsi="Times New Roman" w:eastAsia="Times New Roman"/>
          <w:b w:val="0"/>
          <w:i w:val="0"/>
          <w:sz w:val="28"/>
        </w:rPr>
        <w:t>на тему «Оценка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ОТСС»</w:t>
      </w:r>
    </w:p>
    <w:p>
      <w:pPr>
        <w:spacing w:line="240" w:lineRule="auto" w:before="0" w:after="0"/>
        <w:jc w:val="center"/>
      </w:pPr>
      <w:r>
        <w:rPr>
          <w:rFonts w:ascii="Times New Roman" w:hAnsi="Times New Roman" w:eastAsia="Times New Roman"/>
          <w:b/>
          <w:i w:val="0"/>
          <w:sz w:val="28"/>
        </w:rPr>
        <w:t>Вариант № 2</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Выполнил обучающийся гр. ВКБ53</w:t>
      </w:r>
    </w:p>
    <w:p>
      <w:pPr>
        <w:spacing w:line="240" w:lineRule="auto" w:before="0" w:after="0"/>
        <w:jc w:val="right"/>
      </w:pPr>
      <w:r>
        <w:rPr>
          <w:rFonts w:ascii="Times New Roman" w:hAnsi="Times New Roman" w:eastAsia="Times New Roman"/>
          <w:b w:val="0"/>
          <w:i w:val="0"/>
          <w:sz w:val="28"/>
        </w:rPr>
        <w:t>Ковалев Д.П.</w:t>
      </w:r>
    </w:p>
    <w:p>
      <w:pPr>
        <w:spacing w:line="240" w:lineRule="auto" w:before="0" w:after="0"/>
        <w:ind w:firstLine="709"/>
        <w:jc w:val="both"/>
      </w:pPr>
    </w:p>
    <w:p>
      <w:pPr>
        <w:spacing w:line="240" w:lineRule="auto" w:before="0" w:after="0"/>
        <w:jc w:val="right"/>
      </w:pPr>
      <w:r>
        <w:rPr>
          <w:rFonts w:ascii="Times New Roman" w:hAnsi="Times New Roman" w:eastAsia="Times New Roman"/>
          <w:b w:val="0"/>
          <w:i w:val="0"/>
          <w:sz w:val="28"/>
        </w:rPr>
        <w:t>Проверили:</w:t>
      </w:r>
    </w:p>
    <w:p>
      <w:pPr>
        <w:spacing w:line="240" w:lineRule="auto" w:before="0" w:after="0"/>
        <w:jc w:val="right"/>
      </w:pPr>
      <w:r>
        <w:rPr>
          <w:rFonts w:ascii="Times New Roman" w:hAnsi="Times New Roman" w:eastAsia="Times New Roman"/>
          <w:b w:val="0"/>
          <w:i w:val="0"/>
          <w:sz w:val="28"/>
        </w:rPr>
        <w:t>к.т.н., доцент кафедры «КБИС»</w:t>
      </w:r>
    </w:p>
    <w:p>
      <w:pPr>
        <w:spacing w:line="240" w:lineRule="auto" w:before="0" w:after="0"/>
        <w:jc w:val="right"/>
      </w:pPr>
      <w:r>
        <w:rPr>
          <w:rFonts w:ascii="Times New Roman" w:hAnsi="Times New Roman" w:eastAsia="Times New Roman"/>
          <w:b w:val="0"/>
          <w:i w:val="0"/>
          <w:sz w:val="28"/>
        </w:rPr>
        <w:t>Короченцев Д.А.</w:t>
      </w:r>
    </w:p>
    <w:p>
      <w:pPr>
        <w:spacing w:line="240" w:lineRule="auto" w:before="0" w:after="0"/>
        <w:jc w:val="right"/>
      </w:pPr>
      <w:r>
        <w:rPr>
          <w:rFonts w:ascii="Times New Roman" w:hAnsi="Times New Roman" w:eastAsia="Times New Roman"/>
          <w:b w:val="0"/>
          <w:i w:val="0"/>
          <w:sz w:val="28"/>
        </w:rPr>
        <w:t>доцент кафедры «КБИС»</w:t>
      </w:r>
    </w:p>
    <w:p>
      <w:pPr>
        <w:spacing w:line="240" w:lineRule="auto" w:before="0" w:after="0"/>
        <w:jc w:val="right"/>
      </w:pPr>
      <w:r>
        <w:rPr>
          <w:rFonts w:ascii="Times New Roman" w:hAnsi="Times New Roman" w:eastAsia="Times New Roman"/>
          <w:b w:val="0"/>
          <w:i w:val="0"/>
          <w:sz w:val="28"/>
        </w:rPr>
        <w:t>Дубровина А.И.</w:t>
      </w:r>
    </w:p>
    <w:p>
      <w:pPr>
        <w:spacing w:line="240" w:lineRule="auto" w:before="0" w:after="0"/>
        <w:ind w:firstLine="709"/>
        <w:jc w:val="both"/>
      </w:pPr>
    </w:p>
    <w:p>
      <w:pPr>
        <w:spacing w:line="240" w:lineRule="auto" w:before="0" w:after="0"/>
        <w:ind w:firstLine="709"/>
        <w:jc w:val="both"/>
      </w:pPr>
    </w:p>
    <w:p>
      <w:pPr>
        <w:spacing w:line="240" w:lineRule="auto" w:before="0" w:after="0"/>
        <w:ind w:firstLine="709"/>
        <w:jc w:val="both"/>
      </w:pPr>
    </w:p>
    <w:p>
      <w:pPr>
        <w:spacing w:line="240" w:lineRule="auto" w:before="0" w:after="0"/>
        <w:jc w:val="center"/>
      </w:pPr>
      <w:r>
        <w:rPr>
          <w:rFonts w:ascii="Times New Roman" w:hAnsi="Times New Roman" w:eastAsia="Times New Roman"/>
          <w:b w:val="0"/>
          <w:i w:val="0"/>
          <w:sz w:val="28"/>
        </w:rPr>
        <w:t>Ростов-на-Дону</w:t>
      </w:r>
    </w:p>
    <w:p>
      <w:pPr>
        <w:spacing w:line="240" w:lineRule="auto" w:before="0" w:after="0"/>
        <w:jc w:val="center"/>
      </w:pPr>
      <w:r>
        <w:rPr>
          <w:rFonts w:ascii="Times New Roman" w:hAnsi="Times New Roman" w:eastAsia="Times New Roman"/>
          <w:b w:val="0"/>
          <w:i w:val="0"/>
          <w:sz w:val="28"/>
        </w:rPr>
        <w:t>2026</w:t>
      </w:r>
    </w:p>
    <w:p>
      <w:r>
        <w:br w:type="page"/>
      </w:r>
    </w:p>
    <w:p>
      <w:pPr>
        <w:spacing w:line="360" w:lineRule="auto" w:before="0" w:after="120"/>
        <w:jc w:val="center"/>
      </w:pPr>
      <w:r>
        <w:rPr>
          <w:rFonts w:ascii="Times New Roman" w:hAnsi="Times New Roman" w:eastAsia="Times New Roman"/>
          <w:b/>
          <w:i w:val="0"/>
          <w:sz w:val="28"/>
        </w:rPr>
        <w:t>Лабораторная работа № 6</w:t>
      </w:r>
    </w:p>
    <w:p>
      <w:pPr>
        <w:spacing w:line="360" w:lineRule="auto" w:after="120"/>
        <w:ind w:firstLine="709"/>
        <w:jc w:val="both"/>
      </w:pPr>
      <w:r>
        <w:rPr>
          <w:rFonts w:ascii="Times New Roman" w:hAnsi="Times New Roman" w:eastAsia="Times New Roman"/>
          <w:b/>
          <w:i w:val="0"/>
          <w:sz w:val="28"/>
        </w:rPr>
        <w:t xml:space="preserve">Тема работы: </w:t>
      </w:r>
      <w:r>
        <w:rPr>
          <w:rFonts w:ascii="Times New Roman" w:hAnsi="Times New Roman" w:eastAsia="Times New Roman"/>
          <w:b w:val="0"/>
          <w:i w:val="0"/>
          <w:sz w:val="28"/>
        </w:rPr>
        <w:t>Оценка защищённости ОТСС от утечки конфиденциальной информации за счёт наводок, возникающих в ВТСС под воздействием информативных побочных электромагнитных излучений (ПЭМИ) ОТСС.</w:t>
      </w:r>
    </w:p>
    <w:p>
      <w:pPr>
        <w:spacing w:line="360" w:lineRule="auto" w:after="120"/>
        <w:ind w:firstLine="709"/>
        <w:jc w:val="both"/>
      </w:pPr>
      <w:r>
        <w:rPr>
          <w:rFonts w:ascii="Times New Roman" w:hAnsi="Times New Roman" w:eastAsia="Times New Roman"/>
          <w:b/>
          <w:i w:val="0"/>
          <w:sz w:val="28"/>
        </w:rPr>
        <w:t xml:space="preserve">Цель работы: </w:t>
      </w:r>
      <w:r>
        <w:rPr>
          <w:rFonts w:ascii="Times New Roman" w:hAnsi="Times New Roman" w:eastAsia="Times New Roman"/>
          <w:b w:val="0"/>
          <w:i w:val="0"/>
          <w:sz w:val="28"/>
        </w:rPr>
        <w:t>отработка навыков проведения оценки защищённости от утечки конфиденциальной информации за счёт наводок, возникающих в ВТСС под воздействием информативных побочных электромагнитных излучений ОТСС расчётным методом.</w:t>
      </w:r>
    </w:p>
    <w:p>
      <w:pPr>
        <w:spacing w:line="360" w:lineRule="auto" w:before="120" w:after="120"/>
        <w:jc w:val="both"/>
      </w:pPr>
      <w:r>
        <w:rPr>
          <w:rFonts w:ascii="Times New Roman" w:hAnsi="Times New Roman" w:eastAsia="Times New Roman"/>
          <w:b/>
          <w:i w:val="0"/>
          <w:sz w:val="28"/>
        </w:rPr>
        <w:t>Основные вопросы, рассматриваемые в работе:</w:t>
      </w:r>
    </w:p>
    <w:p>
      <w:pPr>
        <w:spacing w:line="360" w:lineRule="auto" w:before="0" w:after="120"/>
        <w:ind w:firstLine="709"/>
        <w:jc w:val="both"/>
      </w:pPr>
      <w:r>
        <w:rPr>
          <w:rFonts w:ascii="Times New Roman" w:hAnsi="Times New Roman" w:eastAsia="Times New Roman"/>
          <w:b w:val="0"/>
          <w:i w:val="0"/>
          <w:sz w:val="28"/>
        </w:rPr>
        <w:t>1. Физические основы возникновения канала утечки информации за счёт наводок на токоведущие части информативных ПЭМИ ОТСС.</w:t>
      </w:r>
    </w:p>
    <w:p>
      <w:pPr>
        <w:spacing w:line="360" w:lineRule="auto" w:before="0" w:after="120"/>
        <w:ind w:firstLine="709"/>
        <w:jc w:val="both"/>
      </w:pPr>
      <w:r>
        <w:rPr>
          <w:rFonts w:ascii="Times New Roman" w:hAnsi="Times New Roman" w:eastAsia="Times New Roman"/>
          <w:b w:val="0"/>
          <w:i w:val="0"/>
          <w:sz w:val="28"/>
        </w:rPr>
        <w:t>2. Методика инструментального контроля защищённости информации от утечки за счёт наводок на токоведущие части информативных ПЭМИ.</w:t>
      </w:r>
    </w:p>
    <w:p>
      <w:pPr>
        <w:spacing w:line="360" w:lineRule="auto" w:before="0" w:after="120"/>
        <w:ind w:firstLine="709"/>
        <w:jc w:val="both"/>
      </w:pPr>
      <w:r>
        <w:rPr>
          <w:rFonts w:ascii="Times New Roman" w:hAnsi="Times New Roman" w:eastAsia="Times New Roman"/>
          <w:b w:val="0"/>
          <w:i w:val="0"/>
          <w:sz w:val="28"/>
        </w:rPr>
        <w:t>3. Методика обработки результатов измерений.</w:t>
      </w:r>
    </w:p>
    <w:p>
      <w:pPr>
        <w:spacing w:line="360" w:lineRule="auto" w:before="0" w:after="120"/>
        <w:ind w:firstLine="709"/>
        <w:jc w:val="both"/>
      </w:pPr>
      <w:r>
        <w:rPr>
          <w:rFonts w:ascii="Times New Roman" w:hAnsi="Times New Roman" w:eastAsia="Times New Roman"/>
          <w:b w:val="0"/>
          <w:i w:val="0"/>
          <w:sz w:val="28"/>
        </w:rPr>
        <w:t>4. Практическая разработка и формирование протокола специальных исследований оценки защищённости информации, обрабатываемой ОТСС.</w:t>
      </w:r>
    </w:p>
    <w:p>
      <w:pPr>
        <w:spacing w:line="360" w:lineRule="auto" w:before="120" w:after="120"/>
        <w:jc w:val="both"/>
      </w:pPr>
      <w:r>
        <w:rPr>
          <w:rFonts w:ascii="Times New Roman" w:hAnsi="Times New Roman" w:eastAsia="Times New Roman"/>
          <w:b/>
          <w:i w:val="0"/>
          <w:sz w:val="28"/>
        </w:rPr>
        <w:t>Задание для лабораторной работы:</w:t>
      </w:r>
    </w:p>
    <w:p>
      <w:pPr>
        <w:spacing w:line="360" w:lineRule="auto" w:before="0" w:after="120"/>
        <w:ind w:firstLine="709"/>
        <w:jc w:val="both"/>
      </w:pPr>
      <w:r>
        <w:rPr>
          <w:rFonts w:ascii="Times New Roman" w:hAnsi="Times New Roman" w:eastAsia="Times New Roman"/>
          <w:b w:val="0"/>
          <w:i w:val="0"/>
          <w:sz w:val="28"/>
        </w:rPr>
        <w:t>1. Изучить теоретическую часть.</w:t>
      </w:r>
    </w:p>
    <w:p>
      <w:pPr>
        <w:spacing w:line="360" w:lineRule="auto" w:before="0" w:after="120"/>
        <w:ind w:firstLine="709"/>
        <w:jc w:val="both"/>
      </w:pPr>
      <w:r>
        <w:rPr>
          <w:rFonts w:ascii="Times New Roman" w:hAnsi="Times New Roman" w:eastAsia="Times New Roman"/>
          <w:b w:val="0"/>
          <w:i w:val="0"/>
          <w:sz w:val="28"/>
        </w:rPr>
        <w:t>2. Изучить порядок проведения измерений, блок-схему измерительного стенда.</w:t>
      </w:r>
    </w:p>
    <w:p>
      <w:pPr>
        <w:spacing w:line="360" w:lineRule="auto" w:before="0" w:after="120"/>
        <w:ind w:firstLine="709"/>
        <w:jc w:val="both"/>
      </w:pPr>
      <w:r>
        <w:rPr>
          <w:rFonts w:ascii="Times New Roman" w:hAnsi="Times New Roman" w:eastAsia="Times New Roman"/>
          <w:b w:val="0"/>
          <w:i w:val="0"/>
          <w:sz w:val="28"/>
        </w:rPr>
        <w:t>3. Изучить порядок обработки результатов измерений, расчёта основных характеристик канала за счёт наводок ПЭМИ ОТСС на токоведущие коммуникации.</w:t>
      </w:r>
    </w:p>
    <w:p>
      <w:pPr>
        <w:spacing w:line="360" w:lineRule="auto" w:before="0" w:after="120"/>
        <w:ind w:firstLine="709"/>
        <w:jc w:val="both"/>
      </w:pPr>
      <w:r>
        <w:rPr>
          <w:rFonts w:ascii="Times New Roman" w:hAnsi="Times New Roman" w:eastAsia="Times New Roman"/>
          <w:b w:val="0"/>
          <w:i w:val="0"/>
          <w:sz w:val="28"/>
        </w:rPr>
        <w:t>4. Провести расчёты и оформить протокол оценки защищённости помещения.</w:t>
      </w:r>
    </w:p>
    <w:p>
      <w:pPr>
        <w:spacing w:line="360" w:lineRule="auto" w:before="0" w:after="120"/>
        <w:ind w:firstLine="709"/>
        <w:jc w:val="both"/>
      </w:pPr>
      <w:r>
        <w:rPr>
          <w:rFonts w:ascii="Times New Roman" w:hAnsi="Times New Roman" w:eastAsia="Times New Roman"/>
          <w:b w:val="0"/>
          <w:i w:val="0"/>
          <w:sz w:val="28"/>
        </w:rPr>
        <w:t>5. Сделать вывод о защищённости ЗП от утечки информации за счёт наводок на токоведущие коммуникации, выходящие за пределы КЗ.</w:t>
      </w:r>
    </w:p>
    <w:p>
      <w:pPr>
        <w:spacing w:line="360" w:lineRule="auto" w:before="0" w:after="120"/>
        <w:ind w:firstLine="709"/>
        <w:jc w:val="both"/>
      </w:pPr>
      <w:r>
        <w:rPr>
          <w:rFonts w:ascii="Times New Roman" w:hAnsi="Times New Roman" w:eastAsia="Times New Roman"/>
          <w:b w:val="0"/>
          <w:i w:val="0"/>
          <w:sz w:val="28"/>
        </w:rPr>
        <w:t>6. Ответить на контрольные вопросы.</w:t>
      </w:r>
    </w:p>
    <w:p>
      <w:pPr>
        <w:spacing w:line="360" w:lineRule="auto" w:before="240" w:after="120"/>
        <w:jc w:val="center"/>
      </w:pPr>
      <w:r>
        <w:rPr>
          <w:rFonts w:ascii="Times New Roman" w:hAnsi="Times New Roman" w:eastAsia="Times New Roman"/>
          <w:b/>
          <w:i w:val="0"/>
          <w:sz w:val="28"/>
        </w:rPr>
        <w:t>1. Краткие теоретические сведения</w:t>
      </w:r>
    </w:p>
    <w:p>
      <w:pPr>
        <w:spacing w:line="360" w:lineRule="auto" w:before="120" w:after="120"/>
        <w:jc w:val="both"/>
      </w:pPr>
      <w:r>
        <w:rPr>
          <w:rFonts w:ascii="Times New Roman" w:hAnsi="Times New Roman" w:eastAsia="Times New Roman"/>
          <w:b/>
          <w:i w:val="0"/>
          <w:sz w:val="28"/>
        </w:rPr>
        <w:t>1.1 Утечка информации по цепям электропитания и заземления</w:t>
      </w:r>
    </w:p>
    <w:p>
      <w:pPr>
        <w:spacing w:line="360" w:lineRule="auto" w:before="0" w:after="120"/>
        <w:ind w:firstLine="709"/>
        <w:jc w:val="both"/>
      </w:pPr>
      <w:r>
        <w:rPr>
          <w:rFonts w:ascii="Times New Roman" w:hAnsi="Times New Roman" w:eastAsia="Times New Roman"/>
          <w:b w:val="0"/>
          <w:i w:val="0"/>
          <w:sz w:val="28"/>
        </w:rPr>
        <w:t>Цепи электропитания обеспечивают передачу электрической энергии в виде переменного тока напряжением 380/220 В и частотой 50 Гц. Так как цепи электропитания и заземления выходят за пределы охраняемой зоны, распространение по ним опасных сигналов создаёт угрозу безопасности защищаемой информации.</w:t>
      </w:r>
    </w:p>
    <w:p>
      <w:pPr>
        <w:spacing w:line="360" w:lineRule="auto" w:before="0" w:after="120"/>
        <w:ind w:firstLine="709"/>
        <w:jc w:val="both"/>
      </w:pPr>
      <w:r>
        <w:rPr>
          <w:rFonts w:ascii="Times New Roman" w:hAnsi="Times New Roman" w:eastAsia="Times New Roman"/>
          <w:b w:val="0"/>
          <w:i w:val="0"/>
          <w:sz w:val="28"/>
        </w:rPr>
        <w:t>Существуют четыре причины появления опасных сигналов в цепях электропитания: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связи элементов схемы и блока питания; процессы в импульсных блоках питания РЭС.</w:t>
      </w:r>
    </w:p>
    <w:p>
      <w:pPr>
        <w:spacing w:line="360" w:lineRule="auto" w:before="0" w:after="120"/>
        <w:ind w:firstLine="709"/>
        <w:jc w:val="both"/>
      </w:pPr>
      <w:r>
        <w:rPr>
          <w:rFonts w:ascii="Times New Roman" w:hAnsi="Times New Roman" w:eastAsia="Times New Roman"/>
          <w:b w:val="0"/>
          <w:i w:val="0"/>
          <w:sz w:val="28"/>
        </w:rPr>
        <w:t>Опасные сигналы в цепях заземления возникают по двум причинам: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с цепи заземления индуктивным способом или с сопротивления, включённого последовательно в эту цепь.</w:t>
      </w:r>
    </w:p>
    <w:p>
      <w:pPr>
        <w:spacing w:line="360" w:lineRule="auto" w:before="120" w:after="120"/>
        <w:jc w:val="both"/>
      </w:pPr>
      <w:r>
        <w:rPr>
          <w:rFonts w:ascii="Times New Roman" w:hAnsi="Times New Roman" w:eastAsia="Times New Roman"/>
          <w:b/>
          <w:i w:val="0"/>
          <w:sz w:val="28"/>
        </w:rPr>
        <w:t>1.2 Методика инструментального контроля</w:t>
      </w:r>
    </w:p>
    <w:p>
      <w:pPr>
        <w:spacing w:line="360" w:lineRule="auto" w:before="0" w:after="120"/>
        <w:ind w:firstLine="709"/>
        <w:jc w:val="both"/>
      </w:pPr>
      <w:r>
        <w:rPr>
          <w:rFonts w:ascii="Times New Roman" w:hAnsi="Times New Roman" w:eastAsia="Times New Roman"/>
          <w:b w:val="0"/>
          <w:i w:val="0"/>
          <w:sz w:val="28"/>
        </w:rPr>
        <w:t>В основу методики положен экспериментально-расчётный метод оценки защищённости ОТСС от наводок ПЭМИ на линии и коммуникации, выходящие за пределы КЗ. Цель методики — сравнение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 Анализ спектра проводят в диапазоне частот от 0,01 до 250 МГц.</w:t>
      </w:r>
    </w:p>
    <w:p>
      <w:pPr>
        <w:spacing w:line="360" w:lineRule="auto" w:before="0" w:after="120"/>
        <w:ind w:firstLine="709"/>
        <w:jc w:val="both"/>
      </w:pPr>
      <w:r>
        <w:rPr>
          <w:rFonts w:ascii="Times New Roman" w:hAnsi="Times New Roman" w:eastAsia="Times New Roman"/>
          <w:b w:val="0"/>
          <w:i w:val="0"/>
          <w:sz w:val="28"/>
        </w:rPr>
        <w:t>Порядок проведения измерений: определяют частотный спектр ПЭМИ; измеряют напряжение смеси Uс+ш обнаруженных компонент тест-сигнала и помех; измеряют уровень помех Uш при выключенном ОТСС; определяют коэффициент удельного затухания информативного сигнала в исследуемой цепи (напряжение генератора в точках А и Б).</w:t>
      </w:r>
    </w:p>
    <w:p>
      <w:pPr>
        <w:spacing w:line="360" w:lineRule="auto" w:before="120" w:after="120"/>
        <w:jc w:val="both"/>
      </w:pPr>
      <w:r>
        <w:rPr>
          <w:rFonts w:ascii="Times New Roman" w:hAnsi="Times New Roman" w:eastAsia="Times New Roman"/>
          <w:b/>
          <w:i w:val="0"/>
          <w:sz w:val="28"/>
        </w:rPr>
        <w:t>1.3 Обработка результатов измерений</w:t>
      </w:r>
    </w:p>
    <w:p>
      <w:pPr>
        <w:spacing w:line="360" w:lineRule="auto" w:before="0" w:after="120"/>
        <w:jc w:val="both"/>
      </w:pPr>
      <w:r>
        <w:rPr>
          <w:rFonts w:ascii="Times New Roman" w:hAnsi="Times New Roman" w:eastAsia="Times New Roman"/>
          <w:b w:val="0"/>
          <w:i w:val="0"/>
          <w:sz w:val="28"/>
        </w:rPr>
        <w:t>1) Напряжение информативной составляющей сигнала в точке измерений для каждой частотной компоненты:</w:t>
      </w:r>
    </w:p>
    <w:p>
      <w:pPr>
        <w:spacing w:line="360" w:lineRule="auto" w:before="0" w:after="120"/>
        <w:jc w:val="center"/>
      </w:pPr>
      <w:r>
        <w:rPr>
          <w:rFonts w:ascii="Times New Roman" w:hAnsi="Times New Roman" w:eastAsia="Times New Roman"/>
          <w:b w:val="0"/>
          <w:i/>
          <w:sz w:val="28"/>
        </w:rPr>
        <w:t>Uсᵢ [дБ] = 20·lg √(10^(Uс+ш/10) − 10^(Uш/10)).</w:t>
      </w:r>
    </w:p>
    <w:p>
      <w:pPr>
        <w:spacing w:line="360" w:lineRule="auto" w:before="0" w:after="120"/>
        <w:jc w:val="both"/>
      </w:pPr>
      <w:r>
        <w:rPr>
          <w:rFonts w:ascii="Times New Roman" w:hAnsi="Times New Roman" w:eastAsia="Times New Roman"/>
          <w:b w:val="0"/>
          <w:i w:val="0"/>
          <w:sz w:val="28"/>
        </w:rPr>
        <w:t>2) Показатель защищённости в точке проведения измерений:</w:t>
      </w:r>
    </w:p>
    <w:p>
      <w:pPr>
        <w:spacing w:line="360" w:lineRule="auto" w:before="0" w:after="120"/>
        <w:jc w:val="center"/>
      </w:pPr>
      <w:r>
        <w:rPr>
          <w:rFonts w:ascii="Times New Roman" w:hAnsi="Times New Roman" w:eastAsia="Times New Roman"/>
          <w:b w:val="0"/>
          <w:i/>
          <w:sz w:val="28"/>
        </w:rPr>
        <w:t>Пᵢ [дБ] = Uсᵢ [дБ] − Uшᵢ [дБ].</w:t>
      </w:r>
    </w:p>
    <w:p>
      <w:pPr>
        <w:spacing w:line="360" w:lineRule="auto" w:before="0" w:after="120"/>
        <w:jc w:val="both"/>
      </w:pPr>
      <w:r>
        <w:rPr>
          <w:rFonts w:ascii="Times New Roman" w:hAnsi="Times New Roman" w:eastAsia="Times New Roman"/>
          <w:b w:val="0"/>
          <w:i w:val="0"/>
          <w:sz w:val="28"/>
        </w:rPr>
        <w:t>3) Удельный коэффициент затухания наведённых сигналов в исследуемой цепи:</w:t>
      </w:r>
    </w:p>
    <w:p>
      <w:pPr>
        <w:spacing w:line="360" w:lineRule="auto" w:before="0" w:after="120"/>
        <w:jc w:val="center"/>
      </w:pPr>
      <w:r>
        <w:rPr>
          <w:rFonts w:ascii="Times New Roman" w:hAnsi="Times New Roman" w:eastAsia="Times New Roman"/>
          <w:b w:val="0"/>
          <w:i/>
          <w:sz w:val="28"/>
        </w:rPr>
        <w:t>Kу [дБ/м] = 20·lg(U₁ [мкВ] / U₂ [мкВ]) / l = (U₁ [дБ] − U₂ [дБ]) / l,</w:t>
      </w:r>
    </w:p>
    <w:p>
      <w:pPr>
        <w:spacing w:line="360" w:lineRule="auto" w:before="0" w:after="120"/>
        <w:jc w:val="both"/>
      </w:pPr>
      <w:r>
        <w:rPr>
          <w:rFonts w:ascii="Times New Roman" w:hAnsi="Times New Roman" w:eastAsia="Times New Roman"/>
          <w:b w:val="0"/>
          <w:i w:val="0"/>
          <w:sz w:val="28"/>
        </w:rPr>
        <w:t>где U₁ — напряжение генератора в точке А; U₂ — в точке Б; l — протяжённость линии ВТСС между точками А и Б, м.</w:t>
      </w:r>
    </w:p>
    <w:p>
      <w:pPr>
        <w:spacing w:line="360" w:lineRule="auto" w:before="0" w:after="120"/>
        <w:jc w:val="both"/>
      </w:pPr>
      <w:r>
        <w:rPr>
          <w:rFonts w:ascii="Times New Roman" w:hAnsi="Times New Roman" w:eastAsia="Times New Roman"/>
          <w:b w:val="0"/>
          <w:i w:val="0"/>
          <w:sz w:val="28"/>
        </w:rPr>
        <w:t>4) Максимальная длина пробега исследуемой цепи для каждой из частот:</w:t>
      </w:r>
    </w:p>
    <w:p>
      <w:pPr>
        <w:spacing w:line="360" w:lineRule="auto" w:before="0" w:after="120"/>
        <w:jc w:val="center"/>
      </w:pPr>
      <w:r>
        <w:rPr>
          <w:rFonts w:ascii="Times New Roman" w:hAnsi="Times New Roman" w:eastAsia="Times New Roman"/>
          <w:b w:val="0"/>
          <w:i/>
          <w:sz w:val="28"/>
        </w:rPr>
        <w:t>для ОТСС с видеоконтрольными устройствами:  Rᵢ [м] = (Пᵢ [дБ] + 10) / Kу [дБ/м];</w:t>
      </w:r>
    </w:p>
    <w:p>
      <w:pPr>
        <w:spacing w:line="360" w:lineRule="auto" w:before="0" w:after="120"/>
        <w:jc w:val="center"/>
      </w:pPr>
      <w:r>
        <w:rPr>
          <w:rFonts w:ascii="Times New Roman" w:hAnsi="Times New Roman" w:eastAsia="Times New Roman"/>
          <w:b w:val="0"/>
          <w:i/>
          <w:sz w:val="28"/>
        </w:rPr>
        <w:t>для ОТСС без видеоконтрольных устройств:  Rᵢ [м] = Пᵢ [дБ] / Kу [дБ/м].</w:t>
      </w:r>
    </w:p>
    <w:p>
      <w:pPr>
        <w:spacing w:line="360" w:lineRule="auto" w:before="0" w:after="120"/>
        <w:jc w:val="both"/>
      </w:pPr>
      <w:r>
        <w:rPr>
          <w:rFonts w:ascii="Times New Roman" w:hAnsi="Times New Roman" w:eastAsia="Times New Roman"/>
          <w:b w:val="0"/>
          <w:i w:val="0"/>
          <w:sz w:val="28"/>
        </w:rPr>
        <w:t>5) Объект считается защищённым, если для всех частотных компонент выполняется условие Rᵢ ≤ Rкз.</w:t>
      </w:r>
    </w:p>
    <w:p>
      <w:pPr>
        <w:spacing w:line="360" w:lineRule="auto" w:before="240" w:after="120"/>
        <w:jc w:val="center"/>
      </w:pPr>
      <w:r>
        <w:rPr>
          <w:rFonts w:ascii="Times New Roman" w:hAnsi="Times New Roman" w:eastAsia="Times New Roman"/>
          <w:b/>
          <w:i w:val="0"/>
          <w:sz w:val="28"/>
        </w:rPr>
        <w:t>2. Постановка задачи</w:t>
      </w:r>
    </w:p>
    <w:p>
      <w:pPr>
        <w:spacing w:line="360" w:lineRule="auto" w:before="0" w:after="120"/>
        <w:ind w:firstLine="709"/>
        <w:jc w:val="both"/>
      </w:pPr>
      <w:r>
        <w:rPr>
          <w:rFonts w:ascii="Times New Roman" w:hAnsi="Times New Roman" w:eastAsia="Times New Roman"/>
          <w:b w:val="0"/>
          <w:i w:val="0"/>
          <w:sz w:val="28"/>
        </w:rPr>
        <w:t>В ходе проведения специальных исследований на соответствие требований безопасности выделенного помещения «Зал для переговоров», А-101, ООО «Тантал», г. Ростов-на-Дону, ул. Строителей, д. 2 оценивалась фактическая защищённость помещения от за счёт наводок, возникающих в ВТСС под воздействием информативных ПЭМИ ОТСС, на токоведущие коммуникации, выходящие за пределы КЗ.</w:t>
      </w:r>
    </w:p>
    <w:p>
      <w:pPr>
        <w:spacing w:line="360" w:lineRule="auto" w:after="120"/>
        <w:ind w:firstLine="709"/>
        <w:jc w:val="both"/>
      </w:pPr>
      <w:r>
        <w:rPr>
          <w:rFonts w:ascii="Times New Roman" w:hAnsi="Times New Roman" w:eastAsia="Times New Roman"/>
          <w:b w:val="0"/>
          <w:i w:val="0"/>
          <w:sz w:val="28"/>
        </w:rPr>
        <w:t xml:space="preserve">Результаты специальных исследований </w:t>
      </w:r>
      <w:r>
        <w:rPr>
          <w:rFonts w:ascii="Times New Roman" w:hAnsi="Times New Roman" w:eastAsia="Times New Roman"/>
          <w:b/>
          <w:i w:val="0"/>
          <w:sz w:val="28"/>
        </w:rPr>
        <w:t>принтера Samsung Xpress C430 (зав. № 2564ВВ4)</w:t>
      </w:r>
      <w:r>
        <w:rPr>
          <w:rFonts w:ascii="Times New Roman" w:hAnsi="Times New Roman" w:eastAsia="Times New Roman"/>
          <w:b w:val="0"/>
          <w:i w:val="0"/>
          <w:sz w:val="28"/>
        </w:rPr>
        <w:t>.</w:t>
      </w:r>
    </w:p>
    <w:p>
      <w:pPr>
        <w:spacing w:line="360" w:lineRule="auto" w:before="0" w:after="120"/>
        <w:ind w:firstLine="709"/>
        <w:jc w:val="both"/>
      </w:pPr>
      <w:r>
        <w:rPr>
          <w:rFonts w:ascii="Times New Roman" w:hAnsi="Times New Roman" w:eastAsia="Times New Roman"/>
          <w:b w:val="0"/>
          <w:i w:val="0"/>
          <w:sz w:val="28"/>
        </w:rPr>
        <w:t>Измерения сигналов в канале утечки информации, обусловленного наводками на цепь заземления, выходящий за пределы КЗ, проводились в диапазоне частот 10 кГц…250 МГц. При проведении СИ были обнаружены сигналы на следующих частотах: 51,632 МГц, 21,759 МГц.</w:t>
      </w:r>
    </w:p>
    <w:p>
      <w:pPr>
        <w:spacing w:line="360" w:lineRule="auto" w:before="0" w:after="120"/>
        <w:ind w:firstLine="709"/>
        <w:jc w:val="both"/>
      </w:pPr>
      <w:r>
        <w:rPr>
          <w:rFonts w:ascii="Times New Roman" w:hAnsi="Times New Roman" w:eastAsia="Times New Roman"/>
          <w:b w:val="0"/>
          <w:i w:val="0"/>
          <w:sz w:val="28"/>
        </w:rPr>
        <w:t>Минимальная протяжённость линии заземления до границы КЗ — 25 м; протяжённость линии ВТСС между точками А и Б составляет 16 м.</w:t>
      </w:r>
    </w:p>
    <w:p>
      <w:pPr>
        <w:spacing w:line="360" w:lineRule="auto" w:before="120" w:after="120"/>
        <w:jc w:val="both"/>
      </w:pPr>
      <w:r>
        <w:rPr>
          <w:rFonts w:ascii="Times New Roman" w:hAnsi="Times New Roman" w:eastAsia="Times New Roman"/>
          <w:b w:val="0"/>
          <w:i w:val="0"/>
          <w:sz w:val="28"/>
        </w:rPr>
        <w:t>Исходные данные измерений приведены в таблице 1.</w:t>
      </w:r>
    </w:p>
    <w:p>
      <w:pPr>
        <w:spacing w:line="360" w:lineRule="auto" w:before="0" w:after="40"/>
        <w:jc w:val="right"/>
      </w:pPr>
      <w:r>
        <w:rPr>
          <w:rFonts w:ascii="Times New Roman" w:hAnsi="Times New Roman" w:eastAsia="Times New Roman"/>
          <w:b w:val="0"/>
          <w:i w:val="0"/>
          <w:sz w:val="24"/>
        </w:rPr>
        <w:t>Таблица 1 — Результаты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1814"/>
          </w:tcPr>
          <w:p>
            <w:pPr>
              <w:spacing w:before="40" w:after="40" w:line="240" w:lineRule="auto"/>
              <w:jc w:val="center"/>
            </w:pPr>
            <w:r>
              <w:rPr>
                <w:rFonts w:ascii="Times New Roman" w:hAnsi="Times New Roman" w:eastAsia="Times New Roman"/>
                <w:b/>
                <w:sz w:val="24"/>
              </w:rPr>
              <w:t>Fс, МГц</w:t>
            </w:r>
          </w:p>
        </w:tc>
        <w:tc>
          <w:tcPr>
            <w:tcW w:type="dxa" w:w="1701"/>
          </w:tcPr>
          <w:p>
            <w:pPr>
              <w:spacing w:before="40" w:after="40" w:line="240" w:lineRule="auto"/>
              <w:jc w:val="center"/>
            </w:pPr>
            <w:r>
              <w:rPr>
                <w:rFonts w:ascii="Times New Roman" w:hAnsi="Times New Roman" w:eastAsia="Times New Roman"/>
                <w:b/>
                <w:sz w:val="24"/>
              </w:rPr>
              <w:t>Uс+ш, дБ</w:t>
            </w:r>
          </w:p>
        </w:tc>
        <w:tc>
          <w:tcPr>
            <w:tcW w:type="dxa" w:w="1701"/>
          </w:tcPr>
          <w:p>
            <w:pPr>
              <w:spacing w:before="40" w:after="40" w:line="240" w:lineRule="auto"/>
              <w:jc w:val="center"/>
            </w:pPr>
            <w:r>
              <w:rPr>
                <w:rFonts w:ascii="Times New Roman" w:hAnsi="Times New Roman" w:eastAsia="Times New Roman"/>
                <w:b/>
                <w:sz w:val="24"/>
              </w:rPr>
              <w:t>Uш, дБ</w:t>
            </w:r>
          </w:p>
        </w:tc>
        <w:tc>
          <w:tcPr>
            <w:tcW w:type="dxa" w:w="1587"/>
          </w:tcPr>
          <w:p>
            <w:pPr>
              <w:spacing w:before="40" w:after="40" w:line="240" w:lineRule="auto"/>
              <w:jc w:val="center"/>
            </w:pPr>
            <w:r>
              <w:rPr>
                <w:rFonts w:ascii="Times New Roman" w:hAnsi="Times New Roman" w:eastAsia="Times New Roman"/>
                <w:b/>
                <w:sz w:val="24"/>
              </w:rPr>
              <w:t>U₁, дБ</w:t>
            </w:r>
          </w:p>
        </w:tc>
        <w:tc>
          <w:tcPr>
            <w:tcW w:type="dxa" w:w="1587"/>
          </w:tcPr>
          <w:p>
            <w:pPr>
              <w:spacing w:before="40" w:after="40" w:line="240" w:lineRule="auto"/>
              <w:jc w:val="center"/>
            </w:pPr>
            <w:r>
              <w:rPr>
                <w:rFonts w:ascii="Times New Roman" w:hAnsi="Times New Roman" w:eastAsia="Times New Roman"/>
                <w:b/>
                <w:sz w:val="24"/>
              </w:rPr>
              <w:t>U₂, дБ</w:t>
            </w:r>
          </w:p>
        </w:tc>
      </w:tr>
      <w:tr>
        <w:tc>
          <w:tcPr>
            <w:tcW w:type="dxa" w:w="1587"/>
            <w:gridSpan w:val="5"/>
          </w:tcPr>
          <w:p>
            <w:pPr>
              <w:spacing w:before="40" w:after="40" w:line="240" w:lineRule="auto"/>
              <w:jc w:val="center"/>
            </w:pPr>
            <w:r>
              <w:rPr>
                <w:rFonts w:ascii="Times New Roman" w:hAnsi="Times New Roman" w:eastAsia="Times New Roman"/>
                <w:b/>
                <w:sz w:val="24"/>
              </w:rPr>
              <w:t>—</w:t>
            </w:r>
          </w:p>
        </w:tc>
      </w:tr>
      <w:tr>
        <w:tc>
          <w:tcPr>
            <w:tcW w:type="dxa" w:w="1814"/>
          </w:tcPr>
          <w:p>
            <w:pPr>
              <w:spacing w:before="40" w:after="40" w:line="240" w:lineRule="auto"/>
              <w:jc w:val="center"/>
            </w:pPr>
            <w:r>
              <w:rPr>
                <w:rFonts w:ascii="Times New Roman" w:hAnsi="Times New Roman" w:eastAsia="Times New Roman"/>
                <w:b w:val="0"/>
                <w:sz w:val="24"/>
              </w:rPr>
              <w:t>51,632</w:t>
            </w:r>
          </w:p>
        </w:tc>
        <w:tc>
          <w:tcPr>
            <w:tcW w:type="dxa" w:w="1701"/>
          </w:tcPr>
          <w:p>
            <w:pPr>
              <w:spacing w:before="40" w:after="40" w:line="240" w:lineRule="auto"/>
              <w:jc w:val="center"/>
            </w:pPr>
            <w:r>
              <w:rPr>
                <w:rFonts w:ascii="Times New Roman" w:hAnsi="Times New Roman" w:eastAsia="Times New Roman"/>
                <w:b w:val="0"/>
                <w:sz w:val="24"/>
              </w:rPr>
              <w:t>56</w:t>
            </w:r>
          </w:p>
        </w:tc>
        <w:tc>
          <w:tcPr>
            <w:tcW w:type="dxa" w:w="1701"/>
          </w:tcPr>
          <w:p>
            <w:pPr>
              <w:spacing w:before="40" w:after="40" w:line="240" w:lineRule="auto"/>
              <w:jc w:val="center"/>
            </w:pPr>
            <w:r>
              <w:rPr>
                <w:rFonts w:ascii="Times New Roman" w:hAnsi="Times New Roman" w:eastAsia="Times New Roman"/>
                <w:b w:val="0"/>
                <w:sz w:val="24"/>
              </w:rPr>
              <w:t>21</w:t>
            </w:r>
          </w:p>
        </w:tc>
        <w:tc>
          <w:tcPr>
            <w:tcW w:type="dxa" w:w="1587"/>
          </w:tcPr>
          <w:p>
            <w:pPr>
              <w:spacing w:before="40" w:after="40" w:line="240" w:lineRule="auto"/>
              <w:jc w:val="center"/>
            </w:pPr>
            <w:r>
              <w:rPr>
                <w:rFonts w:ascii="Times New Roman" w:hAnsi="Times New Roman" w:eastAsia="Times New Roman"/>
                <w:b w:val="0"/>
                <w:sz w:val="24"/>
              </w:rPr>
              <w:t>76</w:t>
            </w:r>
          </w:p>
        </w:tc>
        <w:tc>
          <w:tcPr>
            <w:tcW w:type="dxa" w:w="1587"/>
          </w:tcPr>
          <w:p>
            <w:pPr>
              <w:spacing w:before="40" w:after="40" w:line="240" w:lineRule="auto"/>
              <w:jc w:val="center"/>
            </w:pPr>
            <w:r>
              <w:rPr>
                <w:rFonts w:ascii="Times New Roman" w:hAnsi="Times New Roman" w:eastAsia="Times New Roman"/>
                <w:b w:val="0"/>
                <w:sz w:val="24"/>
              </w:rPr>
              <w:t>51</w:t>
            </w:r>
          </w:p>
        </w:tc>
      </w:tr>
      <w:tr>
        <w:tc>
          <w:tcPr>
            <w:tcW w:type="dxa" w:w="1814"/>
          </w:tcPr>
          <w:p>
            <w:pPr>
              <w:spacing w:before="40" w:after="40" w:line="240" w:lineRule="auto"/>
              <w:jc w:val="center"/>
            </w:pPr>
            <w:r>
              <w:rPr>
                <w:rFonts w:ascii="Times New Roman" w:hAnsi="Times New Roman" w:eastAsia="Times New Roman"/>
                <w:b w:val="0"/>
                <w:sz w:val="24"/>
              </w:rPr>
              <w:t>21,759</w:t>
            </w:r>
          </w:p>
        </w:tc>
        <w:tc>
          <w:tcPr>
            <w:tcW w:type="dxa" w:w="1701"/>
          </w:tcPr>
          <w:p>
            <w:pPr>
              <w:spacing w:before="40" w:after="40" w:line="240" w:lineRule="auto"/>
              <w:jc w:val="center"/>
            </w:pPr>
            <w:r>
              <w:rPr>
                <w:rFonts w:ascii="Times New Roman" w:hAnsi="Times New Roman" w:eastAsia="Times New Roman"/>
                <w:b w:val="0"/>
                <w:sz w:val="24"/>
              </w:rPr>
              <w:t>60</w:t>
            </w:r>
          </w:p>
        </w:tc>
        <w:tc>
          <w:tcPr>
            <w:tcW w:type="dxa" w:w="1701"/>
          </w:tcPr>
          <w:p>
            <w:pPr>
              <w:spacing w:before="40" w:after="40" w:line="240" w:lineRule="auto"/>
              <w:jc w:val="center"/>
            </w:pPr>
            <w:r>
              <w:rPr>
                <w:rFonts w:ascii="Times New Roman" w:hAnsi="Times New Roman" w:eastAsia="Times New Roman"/>
                <w:b w:val="0"/>
                <w:sz w:val="24"/>
              </w:rPr>
              <w:t>25</w:t>
            </w:r>
          </w:p>
        </w:tc>
        <w:tc>
          <w:tcPr>
            <w:tcW w:type="dxa" w:w="1587"/>
          </w:tcPr>
          <w:p>
            <w:pPr>
              <w:spacing w:before="40" w:after="40" w:line="240" w:lineRule="auto"/>
              <w:jc w:val="center"/>
            </w:pPr>
            <w:r>
              <w:rPr>
                <w:rFonts w:ascii="Times New Roman" w:hAnsi="Times New Roman" w:eastAsia="Times New Roman"/>
                <w:b w:val="0"/>
                <w:sz w:val="24"/>
              </w:rPr>
              <w:t>63</w:t>
            </w:r>
          </w:p>
        </w:tc>
        <w:tc>
          <w:tcPr>
            <w:tcW w:type="dxa" w:w="1587"/>
          </w:tcPr>
          <w:p>
            <w:pPr>
              <w:spacing w:before="40" w:after="40" w:line="240" w:lineRule="auto"/>
              <w:jc w:val="center"/>
            </w:pPr>
            <w:r>
              <w:rPr>
                <w:rFonts w:ascii="Times New Roman" w:hAnsi="Times New Roman" w:eastAsia="Times New Roman"/>
                <w:b w:val="0"/>
                <w:sz w:val="24"/>
              </w:rPr>
              <w:t>46</w:t>
            </w:r>
          </w:p>
        </w:tc>
      </w:tr>
    </w:tbl>
    <w:p>
      <w:pPr>
        <w:spacing w:line="360" w:lineRule="auto" w:before="240" w:after="120"/>
        <w:jc w:val="center"/>
      </w:pPr>
      <w:r>
        <w:rPr>
          <w:rFonts w:ascii="Times New Roman" w:hAnsi="Times New Roman" w:eastAsia="Times New Roman"/>
          <w:b/>
          <w:i w:val="0"/>
          <w:sz w:val="28"/>
        </w:rPr>
        <w:t>3. Расчётная часть</w:t>
      </w:r>
    </w:p>
    <w:p>
      <w:pPr>
        <w:spacing w:line="360" w:lineRule="auto" w:before="0" w:after="120"/>
        <w:ind w:firstLine="709"/>
        <w:jc w:val="both"/>
      </w:pPr>
      <w:r>
        <w:rPr>
          <w:rFonts w:ascii="Times New Roman" w:hAnsi="Times New Roman" w:eastAsia="Times New Roman"/>
          <w:b w:val="0"/>
          <w:i w:val="0"/>
          <w:sz w:val="28"/>
        </w:rPr>
        <w:t>Устройство «принтер Samsung Xpress C430» не имеет в своём составе видеоконтрольного устройства, поэтому максимальная длина пробега рассчитывается по формуле Rᵢ = Пᵢ / Kу.</w:t>
      </w:r>
    </w:p>
    <w:p>
      <w:pPr>
        <w:spacing w:line="360" w:lineRule="auto" w:before="80" w:after="40"/>
        <w:jc w:val="both"/>
      </w:pPr>
      <w:r>
        <w:rPr>
          <w:rFonts w:ascii="Times New Roman" w:hAnsi="Times New Roman" w:eastAsia="Times New Roman"/>
          <w:b/>
          <w:i w:val="0"/>
          <w:sz w:val="28"/>
        </w:rPr>
        <w:t>Частота Fс = 51,632 МГц:</w:t>
      </w:r>
    </w:p>
    <w:p>
      <w:pPr>
        <w:spacing w:line="360" w:lineRule="auto" w:before="0" w:after="40"/>
        <w:jc w:val="both"/>
      </w:pPr>
      <w:r>
        <w:rPr>
          <w:rFonts w:ascii="Times New Roman" w:hAnsi="Times New Roman" w:eastAsia="Times New Roman"/>
          <w:b w:val="0"/>
          <w:i w:val="0"/>
          <w:sz w:val="28"/>
        </w:rPr>
        <w:t>Uс = 20·lg√(10^(56/10) − 10^(21/10)) = 55,999 дБ;</w:t>
      </w:r>
    </w:p>
    <w:p>
      <w:pPr>
        <w:spacing w:line="360" w:lineRule="auto" w:before="0" w:after="40"/>
        <w:jc w:val="both"/>
      </w:pPr>
      <w:r>
        <w:rPr>
          <w:rFonts w:ascii="Times New Roman" w:hAnsi="Times New Roman" w:eastAsia="Times New Roman"/>
          <w:b w:val="0"/>
          <w:i w:val="0"/>
          <w:sz w:val="28"/>
        </w:rPr>
        <w:t>Пᵢ = Uс − Uш = 55,999 − 21 = 34,999 дБ;</w:t>
      </w:r>
    </w:p>
    <w:p>
      <w:pPr>
        <w:spacing w:line="360" w:lineRule="auto" w:before="0" w:after="40"/>
        <w:jc w:val="both"/>
      </w:pPr>
      <w:r>
        <w:rPr>
          <w:rFonts w:ascii="Times New Roman" w:hAnsi="Times New Roman" w:eastAsia="Times New Roman"/>
          <w:b w:val="0"/>
          <w:i w:val="0"/>
          <w:sz w:val="28"/>
        </w:rPr>
        <w:t>Kу = (U₁ − U₂)/l = (76 − 51)/16 = 1,562 дБ/м;</w:t>
      </w:r>
    </w:p>
    <w:p>
      <w:pPr>
        <w:spacing w:line="360" w:lineRule="auto" w:before="0" w:after="40"/>
        <w:jc w:val="both"/>
      </w:pPr>
      <w:r>
        <w:rPr>
          <w:rFonts w:ascii="Times New Roman" w:hAnsi="Times New Roman" w:eastAsia="Times New Roman"/>
          <w:b w:val="0"/>
          <w:i w:val="0"/>
          <w:sz w:val="28"/>
        </w:rPr>
        <w:t>Rᵢ = Пᵢ/Kу = 34,999/1,562 = 22,399 м.</w:t>
      </w:r>
    </w:p>
    <w:p>
      <w:pPr>
        <w:spacing w:line="360" w:lineRule="auto" w:before="80" w:after="40"/>
        <w:jc w:val="both"/>
      </w:pPr>
      <w:r>
        <w:rPr>
          <w:rFonts w:ascii="Times New Roman" w:hAnsi="Times New Roman" w:eastAsia="Times New Roman"/>
          <w:b/>
          <w:i w:val="0"/>
          <w:sz w:val="28"/>
        </w:rPr>
        <w:t>Частота Fс = 21,759 МГц:</w:t>
      </w:r>
    </w:p>
    <w:p>
      <w:pPr>
        <w:spacing w:line="360" w:lineRule="auto" w:before="0" w:after="40"/>
        <w:jc w:val="both"/>
      </w:pPr>
      <w:r>
        <w:rPr>
          <w:rFonts w:ascii="Times New Roman" w:hAnsi="Times New Roman" w:eastAsia="Times New Roman"/>
          <w:b w:val="0"/>
          <w:i w:val="0"/>
          <w:sz w:val="28"/>
        </w:rPr>
        <w:t>Uс = 20·lg√(10^(60/10) − 10^(25/10)) = 59,999 дБ;</w:t>
      </w:r>
    </w:p>
    <w:p>
      <w:pPr>
        <w:spacing w:line="360" w:lineRule="auto" w:before="0" w:after="40"/>
        <w:jc w:val="both"/>
      </w:pPr>
      <w:r>
        <w:rPr>
          <w:rFonts w:ascii="Times New Roman" w:hAnsi="Times New Roman" w:eastAsia="Times New Roman"/>
          <w:b w:val="0"/>
          <w:i w:val="0"/>
          <w:sz w:val="28"/>
        </w:rPr>
        <w:t>Пᵢ = Uс − Uш = 59,999 − 25 = 34,999 дБ;</w:t>
      </w:r>
    </w:p>
    <w:p>
      <w:pPr>
        <w:spacing w:line="360" w:lineRule="auto" w:before="0" w:after="40"/>
        <w:jc w:val="both"/>
      </w:pPr>
      <w:r>
        <w:rPr>
          <w:rFonts w:ascii="Times New Roman" w:hAnsi="Times New Roman" w:eastAsia="Times New Roman"/>
          <w:b w:val="0"/>
          <w:i w:val="0"/>
          <w:sz w:val="28"/>
        </w:rPr>
        <w:t>Kу = (U₁ − U₂)/l = (63 − 46)/16 = 1,062 дБ/м;</w:t>
      </w:r>
    </w:p>
    <w:p>
      <w:pPr>
        <w:spacing w:line="360" w:lineRule="auto" w:before="0" w:after="40"/>
        <w:jc w:val="both"/>
      </w:pPr>
      <w:r>
        <w:rPr>
          <w:rFonts w:ascii="Times New Roman" w:hAnsi="Times New Roman" w:eastAsia="Times New Roman"/>
          <w:b w:val="0"/>
          <w:i w:val="0"/>
          <w:sz w:val="28"/>
        </w:rPr>
        <w:t>Rᵢ = Пᵢ/Kу = 34,999/1,062 = 32,94 м.</w:t>
      </w:r>
    </w:p>
    <w:p>
      <w:pPr>
        <w:spacing w:line="360" w:lineRule="auto" w:before="120" w:after="120"/>
        <w:ind w:firstLine="709"/>
        <w:jc w:val="both"/>
      </w:pPr>
      <w:r>
        <w:rPr>
          <w:rFonts w:ascii="Times New Roman" w:hAnsi="Times New Roman" w:eastAsia="Times New Roman"/>
          <w:b/>
          <w:i w:val="0"/>
          <w:sz w:val="28"/>
        </w:rPr>
        <w:t>Максимальное из всех значений Rᵢ = 32,94 м. Реальный пробег цепи до границы КЗ Rкз = 25 м. Так как Rᵢ max &gt; Rкз (32,94 &gt; 25), условие защищённости не выполняется.</w:t>
      </w:r>
    </w:p>
    <w:p>
      <w:r>
        <w:br w:type="page"/>
      </w:r>
    </w:p>
    <w:p>
      <w:pPr>
        <w:spacing w:line="360" w:lineRule="auto" w:before="0" w:after="120"/>
        <w:jc w:val="right"/>
      </w:pPr>
      <w:r>
        <w:rPr>
          <w:rFonts w:ascii="Times New Roman" w:hAnsi="Times New Roman" w:eastAsia="Times New Roman"/>
          <w:b/>
          <w:i w:val="0"/>
          <w:sz w:val="28"/>
        </w:rPr>
        <w:t>Приложение 1</w:t>
      </w:r>
    </w:p>
    <w:p>
      <w:pPr>
        <w:spacing w:line="360" w:lineRule="auto" w:before="0" w:after="40"/>
        <w:jc w:val="center"/>
      </w:pPr>
      <w:r>
        <w:rPr>
          <w:rFonts w:ascii="Times New Roman" w:hAnsi="Times New Roman" w:eastAsia="Times New Roman"/>
          <w:b/>
          <w:i w:val="0"/>
          <w:sz w:val="28"/>
        </w:rPr>
        <w:t>ПРОТОКОЛ ИЗМЕРЕНИЙ</w:t>
      </w:r>
    </w:p>
    <w:p>
      <w:pPr>
        <w:spacing w:line="360" w:lineRule="auto" w:before="0" w:after="120"/>
        <w:jc w:val="center"/>
      </w:pPr>
      <w:r>
        <w:rPr>
          <w:rFonts w:ascii="Times New Roman" w:hAnsi="Times New Roman" w:eastAsia="Times New Roman"/>
          <w:b w:val="0"/>
          <w:i w:val="0"/>
          <w:sz w:val="28"/>
        </w:rPr>
        <w:t>(Вариант № 2)</w:t>
      </w:r>
    </w:p>
    <w:p>
      <w:pPr>
        <w:spacing w:line="360" w:lineRule="auto" w:before="0" w:after="120"/>
        <w:jc w:val="right"/>
      </w:pPr>
      <w:r>
        <w:rPr>
          <w:rFonts w:ascii="Times New Roman" w:hAnsi="Times New Roman" w:eastAsia="Times New Roman"/>
          <w:b w:val="0"/>
          <w:i w:val="0"/>
          <w:sz w:val="28"/>
        </w:rPr>
        <w:t>Экз. № 1</w:t>
      </w:r>
    </w:p>
    <w:p>
      <w:pPr>
        <w:spacing w:line="240" w:lineRule="auto" w:before="0" w:after="0"/>
        <w:jc w:val="right"/>
      </w:pPr>
      <w:r>
        <w:rPr>
          <w:rFonts w:ascii="Times New Roman" w:hAnsi="Times New Roman" w:eastAsia="Times New Roman"/>
          <w:b/>
          <w:i w:val="0"/>
          <w:sz w:val="28"/>
        </w:rPr>
        <w:t>УТВЕРЖДАЮ</w:t>
      </w:r>
    </w:p>
    <w:p>
      <w:pPr>
        <w:spacing w:line="240" w:lineRule="auto" w:before="0" w:after="0"/>
        <w:jc w:val="right"/>
      </w:pPr>
      <w:r>
        <w:rPr>
          <w:rFonts w:ascii="Times New Roman" w:hAnsi="Times New Roman" w:eastAsia="Times New Roman"/>
          <w:b w:val="0"/>
          <w:i w:val="0"/>
          <w:sz w:val="28"/>
        </w:rPr>
        <w:t>Генеральный директор ООО "Центр</w:t>
      </w:r>
    </w:p>
    <w:p>
      <w:pPr>
        <w:spacing w:line="240" w:lineRule="auto" w:before="0" w:after="0"/>
        <w:jc w:val="right"/>
      </w:pPr>
      <w:r>
        <w:rPr>
          <w:rFonts w:ascii="Times New Roman" w:hAnsi="Times New Roman" w:eastAsia="Times New Roman"/>
          <w:b w:val="0"/>
          <w:i w:val="0"/>
          <w:sz w:val="28"/>
        </w:rPr>
        <w:t>безопасности информационных технологий"</w:t>
      </w:r>
    </w:p>
    <w:p>
      <w:pPr>
        <w:spacing w:line="240" w:lineRule="auto" w:before="0" w:after="0"/>
        <w:jc w:val="right"/>
      </w:pPr>
      <w:r>
        <w:rPr>
          <w:rFonts w:ascii="Times New Roman" w:hAnsi="Times New Roman" w:eastAsia="Times New Roman"/>
          <w:b w:val="0"/>
          <w:i w:val="0"/>
          <w:sz w:val="28"/>
        </w:rPr>
        <w:t>Деревянченко В.П.</w:t>
      </w:r>
    </w:p>
    <w:p>
      <w:pPr>
        <w:spacing w:line="240" w:lineRule="auto" w:before="0" w:after="0"/>
        <w:jc w:val="right"/>
      </w:pPr>
      <w:r>
        <w:rPr>
          <w:rFonts w:ascii="Times New Roman" w:hAnsi="Times New Roman" w:eastAsia="Times New Roman"/>
          <w:b w:val="0"/>
          <w:i w:val="0"/>
          <w:sz w:val="28"/>
        </w:rPr>
        <w:t>«22» октября 2025 г. // ________</w:t>
      </w:r>
    </w:p>
    <w:p>
      <w:pPr>
        <w:spacing w:line="240" w:lineRule="auto" w:before="0" w:after="0"/>
        <w:ind w:firstLine="709"/>
        <w:jc w:val="both"/>
      </w:pPr>
    </w:p>
    <w:p>
      <w:pPr>
        <w:spacing w:line="360" w:lineRule="auto" w:before="120" w:after="40"/>
        <w:jc w:val="center"/>
      </w:pPr>
      <w:r>
        <w:rPr>
          <w:rFonts w:ascii="Times New Roman" w:hAnsi="Times New Roman" w:eastAsia="Times New Roman"/>
          <w:b/>
          <w:i w:val="0"/>
          <w:sz w:val="28"/>
        </w:rPr>
        <w:t>ПРОТОКОЛ</w:t>
      </w:r>
    </w:p>
    <w:p>
      <w:pPr>
        <w:spacing w:line="360" w:lineRule="auto" w:before="0" w:after="120"/>
        <w:jc w:val="center"/>
      </w:pPr>
      <w:r>
        <w:rPr>
          <w:rFonts w:ascii="Times New Roman" w:hAnsi="Times New Roman" w:eastAsia="Times New Roman"/>
          <w:b/>
          <w:i w:val="0"/>
          <w:sz w:val="28"/>
        </w:rPr>
        <w:t>контроля защищённости информации, обрабатываемой ОТСС (принтера Samsung Xpress C430, зав. № 2564ВВ4), от её утечки за счёт наводок информативного сигнала на цепь заземления</w:t>
      </w:r>
    </w:p>
    <w:p>
      <w:pPr>
        <w:spacing w:line="360" w:lineRule="auto" w:before="0" w:after="120"/>
        <w:jc w:val="center"/>
      </w:pPr>
      <w:r>
        <w:rPr>
          <w:rFonts w:ascii="Times New Roman" w:hAnsi="Times New Roman" w:eastAsia="Times New Roman"/>
          <w:b w:val="0"/>
          <w:i w:val="0"/>
          <w:sz w:val="28"/>
        </w:rPr>
        <w:t>Ростов-на-Дону, 2025 г.</w:t>
      </w:r>
    </w:p>
    <w:p>
      <w:pPr>
        <w:spacing w:line="360" w:lineRule="auto" w:before="0" w:after="120"/>
        <w:ind w:firstLine="709"/>
        <w:jc w:val="both"/>
      </w:pPr>
      <w:r>
        <w:rPr>
          <w:rFonts w:ascii="Times New Roman" w:hAnsi="Times New Roman" w:eastAsia="Times New Roman"/>
          <w:b w:val="0"/>
          <w:i w:val="0"/>
          <w:sz w:val="28"/>
        </w:rPr>
        <w:t>На основании контракта № 55/1, заключённого с ООО «Тантал», и действующей лицензии ФСТЭК России № 23658/45-1 специалистами ООО «Центр безопасности информационных технологий» проведены лабораторные специальные исследования (далее — СИ) наличия информативного сигнала, наведённого от ОТСС (принтера Samsung Xpress C430, зав. № 2564ВВ4) на цепь заземления, расположенные совместно с ОТСС в защищаемом помещении «Зал для переговоров», А-101, и имеющие выход за пределы КЗ объекта ООО «Тантал».</w:t>
      </w:r>
    </w:p>
    <w:p>
      <w:pPr>
        <w:spacing w:line="360" w:lineRule="auto" w:before="120" w:after="120"/>
        <w:jc w:val="center"/>
      </w:pPr>
      <w:r>
        <w:rPr>
          <w:rFonts w:ascii="Times New Roman" w:hAnsi="Times New Roman" w:eastAsia="Times New Roman"/>
          <w:b/>
          <w:i w:val="0"/>
          <w:sz w:val="28"/>
        </w:rPr>
        <w:t>Цель специальных исследований</w:t>
      </w:r>
    </w:p>
    <w:p>
      <w:pPr>
        <w:spacing w:line="360" w:lineRule="auto" w:before="0" w:after="120"/>
        <w:ind w:firstLine="709"/>
        <w:jc w:val="both"/>
      </w:pPr>
      <w:r>
        <w:rPr>
          <w:rFonts w:ascii="Times New Roman" w:hAnsi="Times New Roman" w:eastAsia="Times New Roman"/>
          <w:b w:val="0"/>
          <w:i w:val="0"/>
          <w:sz w:val="28"/>
        </w:rPr>
        <w:t>Специальные исследования ОТСС проводились с целью определения наличия наведённого информативного сигнала в токоведущих коммуникациях, выходящих за пределы КЗ, и сравнения расчётной величины максимальной длины пробега исследуемой цепи для каждой из частот, на которой возможно выделение информативного сигнала Rᵢ, с реальным пробегом исследуемой цепи до границы КЗ Rкз.</w:t>
      </w:r>
    </w:p>
    <w:p>
      <w:pPr>
        <w:spacing w:line="360" w:lineRule="auto" w:before="120" w:after="120"/>
        <w:jc w:val="center"/>
      </w:pPr>
      <w:r>
        <w:rPr>
          <w:rFonts w:ascii="Times New Roman" w:hAnsi="Times New Roman" w:eastAsia="Times New Roman"/>
          <w:b/>
          <w:i w:val="0"/>
          <w:sz w:val="28"/>
        </w:rPr>
        <w:t>Вид проводимых исследований</w:t>
      </w:r>
    </w:p>
    <w:p>
      <w:pPr>
        <w:spacing w:line="360" w:lineRule="auto" w:before="0" w:after="120"/>
        <w:ind w:firstLine="709"/>
        <w:jc w:val="both"/>
      </w:pPr>
      <w:r>
        <w:rPr>
          <w:rFonts w:ascii="Times New Roman" w:hAnsi="Times New Roman" w:eastAsia="Times New Roman"/>
          <w:b w:val="0"/>
          <w:i w:val="0"/>
          <w:sz w:val="28"/>
        </w:rPr>
        <w:t>Проводимые специальные исследования ОТСС являются аттестационными.</w:t>
      </w:r>
    </w:p>
    <w:p>
      <w:pPr>
        <w:spacing w:line="360" w:lineRule="auto" w:before="120" w:after="120"/>
        <w:jc w:val="center"/>
      </w:pPr>
      <w:r>
        <w:rPr>
          <w:rFonts w:ascii="Times New Roman" w:hAnsi="Times New Roman" w:eastAsia="Times New Roman"/>
          <w:b/>
          <w:i w:val="0"/>
          <w:sz w:val="28"/>
        </w:rPr>
        <w:t>Контролируемая зона объекта</w:t>
      </w:r>
    </w:p>
    <w:p>
      <w:pPr>
        <w:spacing w:line="360" w:lineRule="auto" w:before="0" w:after="120"/>
        <w:ind w:firstLine="709"/>
        <w:jc w:val="both"/>
      </w:pPr>
      <w:r>
        <w:rPr>
          <w:rFonts w:ascii="Times New Roman" w:hAnsi="Times New Roman" w:eastAsia="Times New Roman"/>
          <w:b w:val="0"/>
          <w:i w:val="0"/>
          <w:sz w:val="28"/>
        </w:rPr>
        <w:t>Объект — ООО «Тантал». Контролируемая зона (КЗ) объекта проходит по ограждающим конструкциям первого этажа, за исключением лестницы на верхние этажи. Исследуемое ЗП — переговорная — граничит с КЗ по одной стене, на которой расположены одно окно и дверь, по потолку и по полу. Средства звукоусиления в переговорной отсутствуют.</w:t>
      </w:r>
    </w:p>
    <w:p>
      <w:pPr>
        <w:spacing w:line="360" w:lineRule="auto" w:before="0" w:after="120"/>
        <w:ind w:firstLine="709"/>
        <w:jc w:val="both"/>
      </w:pPr>
      <w:r>
        <w:rPr>
          <w:rFonts w:ascii="Times New Roman" w:hAnsi="Times New Roman" w:eastAsia="Times New Roman"/>
          <w:b w:val="0"/>
          <w:i w:val="0"/>
          <w:sz w:val="28"/>
        </w:rPr>
        <w:t>Электропитание технических средств осуществляется по однофазной линии. Электроподстанция располагается за пределами охраняемой территории. Шина заземления присутствует, выходит за границы КЗ. В электрощитке «ноль» соединён с «землёй». Фильтры в сети питания отсутствуют.</w:t>
      </w:r>
    </w:p>
    <w:p>
      <w:pPr>
        <w:spacing w:line="360" w:lineRule="auto" w:before="0" w:after="120"/>
        <w:ind w:firstLine="709"/>
        <w:jc w:val="both"/>
      </w:pPr>
      <w:r>
        <w:rPr>
          <w:rFonts w:ascii="Times New Roman" w:hAnsi="Times New Roman" w:eastAsia="Times New Roman"/>
          <w:b w:val="0"/>
          <w:i w:val="0"/>
          <w:sz w:val="28"/>
        </w:rPr>
        <w:t>В качестве тест-сигнала использовался сигнал, создаваемый специализированной тестирующей программой. Информативный сигнал измерялся на частотах обнаруженных информативных ПЭМИ в диапазоне 0,1–250 МГц путём подключения к цепь заземления измерительного пробника, соединённого с входом селективного микровольтметра (SMV-8.5/SMV-11).</w:t>
      </w:r>
    </w:p>
    <w:p>
      <w:pPr>
        <w:spacing w:line="360" w:lineRule="auto" w:before="120" w:after="120"/>
        <w:jc w:val="both"/>
      </w:pPr>
      <w:r>
        <w:rPr>
          <w:rFonts w:ascii="Times New Roman" w:hAnsi="Times New Roman" w:eastAsia="Times New Roman"/>
          <w:b w:val="0"/>
          <w:i w:val="0"/>
          <w:sz w:val="28"/>
        </w:rPr>
        <w:t>Контрольно-измерительная аппаратура приведена в таблице 2.</w:t>
      </w:r>
    </w:p>
    <w:p>
      <w:pPr>
        <w:spacing w:line="360" w:lineRule="auto" w:before="0" w:after="40"/>
        <w:jc w:val="right"/>
      </w:pPr>
      <w:r>
        <w:rPr>
          <w:rFonts w:ascii="Times New Roman" w:hAnsi="Times New Roman" w:eastAsia="Times New Roman"/>
          <w:b w:val="0"/>
          <w:i w:val="0"/>
          <w:sz w:val="24"/>
        </w:rPr>
        <w:t>Таблица 2 — Применяемые средства измерений</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8"/>
        <w:gridCol w:w="1938"/>
        <w:gridCol w:w="1938"/>
        <w:gridCol w:w="1938"/>
        <w:gridCol w:w="1938"/>
      </w:tblGrid>
      <w:tr>
        <w:tc>
          <w:tcPr>
            <w:tcW w:type="dxa" w:w="2268"/>
          </w:tcPr>
          <w:p>
            <w:pPr>
              <w:spacing w:before="40" w:after="40" w:line="240" w:lineRule="auto"/>
              <w:jc w:val="center"/>
            </w:pPr>
            <w:r>
              <w:rPr>
                <w:rFonts w:ascii="Times New Roman" w:hAnsi="Times New Roman" w:eastAsia="Times New Roman"/>
                <w:b/>
                <w:sz w:val="22"/>
              </w:rPr>
              <w:t>Наименование СИ</w:t>
            </w:r>
          </w:p>
        </w:tc>
        <w:tc>
          <w:tcPr>
            <w:tcW w:type="dxa" w:w="1417"/>
          </w:tcPr>
          <w:p>
            <w:pPr>
              <w:spacing w:before="40" w:after="40" w:line="240" w:lineRule="auto"/>
              <w:jc w:val="center"/>
            </w:pPr>
            <w:r>
              <w:rPr>
                <w:rFonts w:ascii="Times New Roman" w:hAnsi="Times New Roman" w:eastAsia="Times New Roman"/>
                <w:b/>
                <w:sz w:val="22"/>
              </w:rPr>
              <w:t>Тип</w:t>
            </w:r>
          </w:p>
        </w:tc>
        <w:tc>
          <w:tcPr>
            <w:tcW w:type="dxa" w:w="1814"/>
          </w:tcPr>
          <w:p>
            <w:pPr>
              <w:spacing w:before="40" w:after="40" w:line="240" w:lineRule="auto"/>
              <w:jc w:val="center"/>
            </w:pPr>
            <w:r>
              <w:rPr>
                <w:rFonts w:ascii="Times New Roman" w:hAnsi="Times New Roman" w:eastAsia="Times New Roman"/>
                <w:b/>
                <w:sz w:val="22"/>
              </w:rPr>
              <w:t>Зав. номер</w:t>
            </w:r>
          </w:p>
        </w:tc>
        <w:tc>
          <w:tcPr>
            <w:tcW w:type="dxa" w:w="1701"/>
          </w:tcPr>
          <w:p>
            <w:pPr>
              <w:spacing w:before="40" w:after="40" w:line="240" w:lineRule="auto"/>
              <w:jc w:val="center"/>
            </w:pPr>
            <w:r>
              <w:rPr>
                <w:rFonts w:ascii="Times New Roman" w:hAnsi="Times New Roman" w:eastAsia="Times New Roman"/>
                <w:b/>
                <w:sz w:val="22"/>
              </w:rPr>
              <w:t>Диапазон частот</w:t>
            </w:r>
          </w:p>
        </w:tc>
        <w:tc>
          <w:tcPr>
            <w:tcW w:type="dxa" w:w="1417"/>
          </w:tcPr>
          <w:p>
            <w:pPr>
              <w:spacing w:before="40" w:after="40" w:line="240" w:lineRule="auto"/>
              <w:jc w:val="center"/>
            </w:pPr>
            <w:r>
              <w:rPr>
                <w:rFonts w:ascii="Times New Roman" w:hAnsi="Times New Roman" w:eastAsia="Times New Roman"/>
                <w:b/>
                <w:sz w:val="22"/>
              </w:rPr>
              <w:t>Дата поверки</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SMV-8.5</w:t>
            </w:r>
          </w:p>
        </w:tc>
        <w:tc>
          <w:tcPr>
            <w:tcW w:type="dxa" w:w="1814"/>
          </w:tcPr>
          <w:p>
            <w:pPr>
              <w:spacing w:before="40" w:after="40" w:line="240" w:lineRule="auto"/>
              <w:jc w:val="center"/>
            </w:pPr>
            <w:r>
              <w:rPr>
                <w:rFonts w:ascii="Times New Roman" w:hAnsi="Times New Roman" w:eastAsia="Times New Roman"/>
                <w:b w:val="0"/>
                <w:sz w:val="22"/>
              </w:rPr>
              <w:t>199658/47-АВ1</w:t>
            </w:r>
          </w:p>
        </w:tc>
        <w:tc>
          <w:tcPr>
            <w:tcW w:type="dxa" w:w="1701"/>
          </w:tcPr>
          <w:p>
            <w:pPr>
              <w:spacing w:before="40" w:after="40" w:line="240" w:lineRule="auto"/>
              <w:jc w:val="center"/>
            </w:pPr>
            <w:r>
              <w:rPr>
                <w:rFonts w:ascii="Times New Roman" w:hAnsi="Times New Roman" w:eastAsia="Times New Roman"/>
                <w:b w:val="0"/>
                <w:sz w:val="22"/>
              </w:rPr>
              <w:t>26–1000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Селективный микровольтметр</w:t>
            </w:r>
          </w:p>
        </w:tc>
        <w:tc>
          <w:tcPr>
            <w:tcW w:type="dxa" w:w="1417"/>
          </w:tcPr>
          <w:p>
            <w:pPr>
              <w:spacing w:before="40" w:after="40" w:line="240" w:lineRule="auto"/>
              <w:jc w:val="center"/>
            </w:pPr>
            <w:r>
              <w:rPr>
                <w:rFonts w:ascii="Times New Roman" w:hAnsi="Times New Roman" w:eastAsia="Times New Roman"/>
                <w:b w:val="0"/>
                <w:sz w:val="22"/>
              </w:rPr>
              <w:t>SMV-11</w:t>
            </w:r>
          </w:p>
        </w:tc>
        <w:tc>
          <w:tcPr>
            <w:tcW w:type="dxa" w:w="1814"/>
          </w:tcPr>
          <w:p>
            <w:pPr>
              <w:spacing w:before="40" w:after="40" w:line="240" w:lineRule="auto"/>
              <w:jc w:val="center"/>
            </w:pPr>
            <w:r>
              <w:rPr>
                <w:rFonts w:ascii="Times New Roman" w:hAnsi="Times New Roman" w:eastAsia="Times New Roman"/>
                <w:b w:val="0"/>
                <w:sz w:val="22"/>
              </w:rPr>
              <w:t>2385</w:t>
            </w:r>
          </w:p>
        </w:tc>
        <w:tc>
          <w:tcPr>
            <w:tcW w:type="dxa" w:w="1701"/>
          </w:tcPr>
          <w:p>
            <w:pPr>
              <w:spacing w:before="40" w:after="40" w:line="240" w:lineRule="auto"/>
              <w:jc w:val="center"/>
            </w:pPr>
            <w:r>
              <w:rPr>
                <w:rFonts w:ascii="Times New Roman" w:hAnsi="Times New Roman" w:eastAsia="Times New Roman"/>
                <w:b w:val="0"/>
                <w:sz w:val="22"/>
              </w:rPr>
              <w:t>9 кГц – 30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Осциллограф</w:t>
            </w:r>
          </w:p>
        </w:tc>
        <w:tc>
          <w:tcPr>
            <w:tcW w:type="dxa" w:w="1417"/>
          </w:tcPr>
          <w:p>
            <w:pPr>
              <w:spacing w:before="40" w:after="40" w:line="240" w:lineRule="auto"/>
              <w:jc w:val="center"/>
            </w:pPr>
            <w:r>
              <w:rPr>
                <w:rFonts w:ascii="Times New Roman" w:hAnsi="Times New Roman" w:eastAsia="Times New Roman"/>
                <w:b w:val="0"/>
                <w:sz w:val="22"/>
              </w:rPr>
              <w:t>С1-116</w:t>
            </w:r>
          </w:p>
        </w:tc>
        <w:tc>
          <w:tcPr>
            <w:tcW w:type="dxa" w:w="1814"/>
          </w:tcPr>
          <w:p>
            <w:pPr>
              <w:spacing w:before="40" w:after="40" w:line="240" w:lineRule="auto"/>
              <w:jc w:val="center"/>
            </w:pPr>
            <w:r>
              <w:rPr>
                <w:rFonts w:ascii="Times New Roman" w:hAnsi="Times New Roman" w:eastAsia="Times New Roman"/>
                <w:b w:val="0"/>
                <w:sz w:val="22"/>
              </w:rPr>
              <w:t>4УК254</w:t>
            </w:r>
          </w:p>
        </w:tc>
        <w:tc>
          <w:tcPr>
            <w:tcW w:type="dxa" w:w="1701"/>
          </w:tcPr>
          <w:p>
            <w:pPr>
              <w:spacing w:before="40" w:after="40" w:line="240" w:lineRule="auto"/>
              <w:jc w:val="center"/>
            </w:pPr>
            <w:r>
              <w:rPr>
                <w:rFonts w:ascii="Times New Roman" w:hAnsi="Times New Roman" w:eastAsia="Times New Roman"/>
                <w:b w:val="0"/>
                <w:sz w:val="22"/>
              </w:rPr>
              <w:t>0–250 МГц</w:t>
            </w:r>
          </w:p>
        </w:tc>
        <w:tc>
          <w:tcPr>
            <w:tcW w:type="dxa" w:w="1417"/>
          </w:tcPr>
          <w:p>
            <w:pPr>
              <w:spacing w:before="40" w:after="40" w:line="240" w:lineRule="auto"/>
              <w:jc w:val="center"/>
            </w:pPr>
            <w:r>
              <w:rPr>
                <w:rFonts w:ascii="Times New Roman" w:hAnsi="Times New Roman" w:eastAsia="Times New Roman"/>
                <w:b w:val="0"/>
                <w:sz w:val="22"/>
              </w:rPr>
              <w:t>12.12.2019</w:t>
            </w:r>
          </w:p>
        </w:tc>
      </w:tr>
      <w:tr>
        <w:tc>
          <w:tcPr>
            <w:tcW w:type="dxa" w:w="2268"/>
          </w:tcPr>
          <w:p>
            <w:pPr>
              <w:spacing w:before="40" w:after="40" w:line="240" w:lineRule="auto"/>
              <w:jc w:val="center"/>
            </w:pPr>
            <w:r>
              <w:rPr>
                <w:rFonts w:ascii="Times New Roman" w:hAnsi="Times New Roman" w:eastAsia="Times New Roman"/>
                <w:b w:val="0"/>
                <w:sz w:val="22"/>
              </w:rPr>
              <w:t>Генератор сигналов</w:t>
            </w:r>
          </w:p>
        </w:tc>
        <w:tc>
          <w:tcPr>
            <w:tcW w:type="dxa" w:w="1417"/>
          </w:tcPr>
          <w:p>
            <w:pPr>
              <w:spacing w:before="40" w:after="40" w:line="240" w:lineRule="auto"/>
              <w:jc w:val="center"/>
            </w:pPr>
            <w:r>
              <w:rPr>
                <w:rFonts w:ascii="Times New Roman" w:hAnsi="Times New Roman" w:eastAsia="Times New Roman"/>
                <w:b w:val="0"/>
                <w:sz w:val="22"/>
              </w:rPr>
              <w:t>Г4-116</w:t>
            </w:r>
          </w:p>
        </w:tc>
        <w:tc>
          <w:tcPr>
            <w:tcW w:type="dxa" w:w="1814"/>
          </w:tcPr>
          <w:p>
            <w:pPr>
              <w:spacing w:before="40" w:after="40" w:line="240" w:lineRule="auto"/>
              <w:jc w:val="center"/>
            </w:pPr>
            <w:r>
              <w:rPr>
                <w:rFonts w:ascii="Times New Roman" w:hAnsi="Times New Roman" w:eastAsia="Times New Roman"/>
                <w:b w:val="0"/>
                <w:sz w:val="22"/>
              </w:rPr>
              <w:t>35844</w:t>
            </w:r>
          </w:p>
        </w:tc>
        <w:tc>
          <w:tcPr>
            <w:tcW w:type="dxa" w:w="1701"/>
          </w:tcPr>
          <w:p>
            <w:pPr>
              <w:spacing w:before="40" w:after="40" w:line="240" w:lineRule="auto"/>
              <w:jc w:val="center"/>
            </w:pPr>
            <w:r>
              <w:rPr>
                <w:rFonts w:ascii="Times New Roman" w:hAnsi="Times New Roman" w:eastAsia="Times New Roman"/>
                <w:b w:val="0"/>
                <w:sz w:val="22"/>
              </w:rPr>
              <w:t>4–300 МГц</w:t>
            </w:r>
          </w:p>
        </w:tc>
        <w:tc>
          <w:tcPr>
            <w:tcW w:type="dxa" w:w="1417"/>
          </w:tcPr>
          <w:p>
            <w:pPr>
              <w:spacing w:before="40" w:after="40" w:line="240" w:lineRule="auto"/>
              <w:jc w:val="center"/>
            </w:pPr>
            <w:r>
              <w:rPr>
                <w:rFonts w:ascii="Times New Roman" w:hAnsi="Times New Roman" w:eastAsia="Times New Roman"/>
                <w:b w:val="0"/>
                <w:sz w:val="22"/>
              </w:rPr>
              <w:t>12.12.2019</w:t>
            </w:r>
          </w:p>
        </w:tc>
      </w:tr>
    </w:tbl>
    <w:p>
      <w:pPr>
        <w:spacing w:line="360" w:lineRule="auto" w:before="120" w:after="120"/>
        <w:jc w:val="both"/>
      </w:pPr>
      <w:r>
        <w:rPr>
          <w:rFonts w:ascii="Times New Roman" w:hAnsi="Times New Roman" w:eastAsia="Times New Roman"/>
          <w:b w:val="0"/>
          <w:i w:val="0"/>
          <w:sz w:val="28"/>
        </w:rPr>
        <w:t>Результаты измерений наведённого в ВТСС информативного сигнала и расчёта значения допустимого пробега их коммуникаций до границы КЗ представлены в таблице 3.</w:t>
      </w:r>
    </w:p>
    <w:p>
      <w:pPr>
        <w:spacing w:line="360" w:lineRule="auto" w:before="0" w:after="40"/>
        <w:jc w:val="right"/>
      </w:pPr>
      <w:r>
        <w:rPr>
          <w:rFonts w:ascii="Times New Roman" w:hAnsi="Times New Roman" w:eastAsia="Times New Roman"/>
          <w:b w:val="0"/>
          <w:i w:val="0"/>
          <w:sz w:val="24"/>
        </w:rPr>
        <w:t>Таблица 3 — Результаты СИ и расчёта</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1"/>
        <w:gridCol w:w="1211"/>
        <w:gridCol w:w="1211"/>
        <w:gridCol w:w="1211"/>
        <w:gridCol w:w="1211"/>
        <w:gridCol w:w="1211"/>
        <w:gridCol w:w="1211"/>
        <w:gridCol w:w="1211"/>
      </w:tblGrid>
      <w:tr>
        <w:tc>
          <w:tcPr>
            <w:tcW w:type="dxa" w:w="1077"/>
          </w:tcPr>
          <w:p>
            <w:pPr>
              <w:spacing w:before="20" w:after="20" w:line="240" w:lineRule="auto"/>
              <w:jc w:val="center"/>
            </w:pPr>
            <w:r>
              <w:rPr>
                <w:rFonts w:ascii="Times New Roman" w:hAnsi="Times New Roman" w:eastAsia="Times New Roman"/>
                <w:b/>
                <w:sz w:val="20"/>
              </w:rPr>
              <w:t>Fс, МГц</w:t>
            </w:r>
          </w:p>
        </w:tc>
        <w:tc>
          <w:tcPr>
            <w:tcW w:type="dxa" w:w="964"/>
          </w:tcPr>
          <w:p>
            <w:pPr>
              <w:spacing w:before="20" w:after="20" w:line="240" w:lineRule="auto"/>
              <w:jc w:val="center"/>
            </w:pPr>
            <w:r>
              <w:rPr>
                <w:rFonts w:ascii="Times New Roman" w:hAnsi="Times New Roman" w:eastAsia="Times New Roman"/>
                <w:b/>
                <w:sz w:val="20"/>
              </w:rPr>
              <w:t>Uс+ш, дБ</w:t>
            </w:r>
          </w:p>
        </w:tc>
        <w:tc>
          <w:tcPr>
            <w:tcW w:type="dxa" w:w="850"/>
          </w:tcPr>
          <w:p>
            <w:pPr>
              <w:spacing w:before="20" w:after="20" w:line="240" w:lineRule="auto"/>
              <w:jc w:val="center"/>
            </w:pPr>
            <w:r>
              <w:rPr>
                <w:rFonts w:ascii="Times New Roman" w:hAnsi="Times New Roman" w:eastAsia="Times New Roman"/>
                <w:b/>
                <w:sz w:val="20"/>
              </w:rPr>
              <w:t>Uш, дБ</w:t>
            </w:r>
          </w:p>
        </w:tc>
        <w:tc>
          <w:tcPr>
            <w:tcW w:type="dxa" w:w="964"/>
          </w:tcPr>
          <w:p>
            <w:pPr>
              <w:spacing w:before="20" w:after="20" w:line="240" w:lineRule="auto"/>
              <w:jc w:val="center"/>
            </w:pPr>
            <w:r>
              <w:rPr>
                <w:rFonts w:ascii="Times New Roman" w:hAnsi="Times New Roman" w:eastAsia="Times New Roman"/>
                <w:b/>
                <w:sz w:val="20"/>
              </w:rPr>
              <w:t>Uс, дБ</w:t>
            </w:r>
          </w:p>
        </w:tc>
        <w:tc>
          <w:tcPr>
            <w:tcW w:type="dxa" w:w="907"/>
          </w:tcPr>
          <w:p>
            <w:pPr>
              <w:spacing w:before="20" w:after="20" w:line="240" w:lineRule="auto"/>
              <w:jc w:val="center"/>
            </w:pPr>
            <w:r>
              <w:rPr>
                <w:rFonts w:ascii="Times New Roman" w:hAnsi="Times New Roman" w:eastAsia="Times New Roman"/>
                <w:b/>
                <w:sz w:val="20"/>
              </w:rPr>
              <w:t>U₁, дБ</w:t>
            </w:r>
          </w:p>
        </w:tc>
        <w:tc>
          <w:tcPr>
            <w:tcW w:type="dxa" w:w="907"/>
          </w:tcPr>
          <w:p>
            <w:pPr>
              <w:spacing w:before="20" w:after="20" w:line="240" w:lineRule="auto"/>
              <w:jc w:val="center"/>
            </w:pPr>
            <w:r>
              <w:rPr>
                <w:rFonts w:ascii="Times New Roman" w:hAnsi="Times New Roman" w:eastAsia="Times New Roman"/>
                <w:b/>
                <w:sz w:val="20"/>
              </w:rPr>
              <w:t>U₂, дБ</w:t>
            </w:r>
          </w:p>
        </w:tc>
        <w:tc>
          <w:tcPr>
            <w:tcW w:type="dxa" w:w="1077"/>
          </w:tcPr>
          <w:p>
            <w:pPr>
              <w:spacing w:before="20" w:after="20" w:line="240" w:lineRule="auto"/>
              <w:jc w:val="center"/>
            </w:pPr>
            <w:r>
              <w:rPr>
                <w:rFonts w:ascii="Times New Roman" w:hAnsi="Times New Roman" w:eastAsia="Times New Roman"/>
                <w:b/>
                <w:sz w:val="20"/>
              </w:rPr>
              <w:t>Kу, дБ/м</w:t>
            </w:r>
          </w:p>
        </w:tc>
        <w:tc>
          <w:tcPr>
            <w:tcW w:type="dxa" w:w="907"/>
          </w:tcPr>
          <w:p>
            <w:pPr>
              <w:spacing w:before="20" w:after="20" w:line="240" w:lineRule="auto"/>
              <w:jc w:val="center"/>
            </w:pPr>
            <w:r>
              <w:rPr>
                <w:rFonts w:ascii="Times New Roman" w:hAnsi="Times New Roman" w:eastAsia="Times New Roman"/>
                <w:b/>
                <w:sz w:val="20"/>
              </w:rPr>
              <w:t>Rᵢ, м</w:t>
            </w:r>
          </w:p>
        </w:tc>
      </w:tr>
      <w:tr>
        <w:tc>
          <w:tcPr>
            <w:tcW w:type="dxa" w:w="1077"/>
          </w:tcPr>
          <w:p>
            <w:pPr>
              <w:spacing w:before="20" w:after="20" w:line="240" w:lineRule="auto"/>
              <w:jc w:val="center"/>
            </w:pPr>
            <w:r>
              <w:rPr>
                <w:rFonts w:ascii="Times New Roman" w:hAnsi="Times New Roman" w:eastAsia="Times New Roman"/>
                <w:b w:val="0"/>
                <w:sz w:val="20"/>
              </w:rPr>
              <w:t>51,632</w:t>
            </w:r>
          </w:p>
        </w:tc>
        <w:tc>
          <w:tcPr>
            <w:tcW w:type="dxa" w:w="964"/>
          </w:tcPr>
          <w:p>
            <w:pPr>
              <w:spacing w:before="20" w:after="20" w:line="240" w:lineRule="auto"/>
              <w:jc w:val="center"/>
            </w:pPr>
            <w:r>
              <w:rPr>
                <w:rFonts w:ascii="Times New Roman" w:hAnsi="Times New Roman" w:eastAsia="Times New Roman"/>
                <w:b w:val="0"/>
                <w:sz w:val="20"/>
              </w:rPr>
              <w:t>56</w:t>
            </w:r>
          </w:p>
        </w:tc>
        <w:tc>
          <w:tcPr>
            <w:tcW w:type="dxa" w:w="850"/>
          </w:tcPr>
          <w:p>
            <w:pPr>
              <w:spacing w:before="20" w:after="20" w:line="240" w:lineRule="auto"/>
              <w:jc w:val="center"/>
            </w:pPr>
            <w:r>
              <w:rPr>
                <w:rFonts w:ascii="Times New Roman" w:hAnsi="Times New Roman" w:eastAsia="Times New Roman"/>
                <w:b w:val="0"/>
                <w:sz w:val="20"/>
              </w:rPr>
              <w:t>21</w:t>
            </w:r>
          </w:p>
        </w:tc>
        <w:tc>
          <w:tcPr>
            <w:tcW w:type="dxa" w:w="964"/>
          </w:tcPr>
          <w:p>
            <w:pPr>
              <w:spacing w:before="20" w:after="20" w:line="240" w:lineRule="auto"/>
              <w:jc w:val="center"/>
            </w:pPr>
            <w:r>
              <w:rPr>
                <w:rFonts w:ascii="Times New Roman" w:hAnsi="Times New Roman" w:eastAsia="Times New Roman"/>
                <w:b w:val="0"/>
                <w:sz w:val="20"/>
              </w:rPr>
              <w:t>55,999</w:t>
            </w:r>
          </w:p>
        </w:tc>
        <w:tc>
          <w:tcPr>
            <w:tcW w:type="dxa" w:w="907"/>
          </w:tcPr>
          <w:p>
            <w:pPr>
              <w:spacing w:before="20" w:after="20" w:line="240" w:lineRule="auto"/>
              <w:jc w:val="center"/>
            </w:pPr>
            <w:r>
              <w:rPr>
                <w:rFonts w:ascii="Times New Roman" w:hAnsi="Times New Roman" w:eastAsia="Times New Roman"/>
                <w:b w:val="0"/>
                <w:sz w:val="20"/>
              </w:rPr>
              <w:t>76</w:t>
            </w:r>
          </w:p>
        </w:tc>
        <w:tc>
          <w:tcPr>
            <w:tcW w:type="dxa" w:w="907"/>
          </w:tcPr>
          <w:p>
            <w:pPr>
              <w:spacing w:before="20" w:after="20" w:line="240" w:lineRule="auto"/>
              <w:jc w:val="center"/>
            </w:pPr>
            <w:r>
              <w:rPr>
                <w:rFonts w:ascii="Times New Roman" w:hAnsi="Times New Roman" w:eastAsia="Times New Roman"/>
                <w:b w:val="0"/>
                <w:sz w:val="20"/>
              </w:rPr>
              <w:t>51</w:t>
            </w:r>
          </w:p>
        </w:tc>
        <w:tc>
          <w:tcPr>
            <w:tcW w:type="dxa" w:w="1077"/>
          </w:tcPr>
          <w:p>
            <w:pPr>
              <w:spacing w:before="20" w:after="20" w:line="240" w:lineRule="auto"/>
              <w:jc w:val="center"/>
            </w:pPr>
            <w:r>
              <w:rPr>
                <w:rFonts w:ascii="Times New Roman" w:hAnsi="Times New Roman" w:eastAsia="Times New Roman"/>
                <w:b w:val="0"/>
                <w:sz w:val="20"/>
              </w:rPr>
              <w:t>1,562</w:t>
            </w:r>
          </w:p>
        </w:tc>
        <w:tc>
          <w:tcPr>
            <w:tcW w:type="dxa" w:w="907"/>
          </w:tcPr>
          <w:p>
            <w:pPr>
              <w:spacing w:before="20" w:after="20" w:line="240" w:lineRule="auto"/>
              <w:jc w:val="center"/>
            </w:pPr>
            <w:r>
              <w:rPr>
                <w:rFonts w:ascii="Times New Roman" w:hAnsi="Times New Roman" w:eastAsia="Times New Roman"/>
                <w:b w:val="0"/>
                <w:sz w:val="20"/>
              </w:rPr>
              <w:t>22,399</w:t>
            </w:r>
          </w:p>
        </w:tc>
      </w:tr>
      <w:tr>
        <w:tc>
          <w:tcPr>
            <w:tcW w:type="dxa" w:w="1077"/>
          </w:tcPr>
          <w:p>
            <w:pPr>
              <w:spacing w:before="20" w:after="20" w:line="240" w:lineRule="auto"/>
              <w:jc w:val="center"/>
            </w:pPr>
            <w:r>
              <w:rPr>
                <w:rFonts w:ascii="Times New Roman" w:hAnsi="Times New Roman" w:eastAsia="Times New Roman"/>
                <w:b w:val="0"/>
                <w:sz w:val="20"/>
              </w:rPr>
              <w:t>21,759</w:t>
            </w:r>
          </w:p>
        </w:tc>
        <w:tc>
          <w:tcPr>
            <w:tcW w:type="dxa" w:w="964"/>
          </w:tcPr>
          <w:p>
            <w:pPr>
              <w:spacing w:before="20" w:after="20" w:line="240" w:lineRule="auto"/>
              <w:jc w:val="center"/>
            </w:pPr>
            <w:r>
              <w:rPr>
                <w:rFonts w:ascii="Times New Roman" w:hAnsi="Times New Roman" w:eastAsia="Times New Roman"/>
                <w:b w:val="0"/>
                <w:sz w:val="20"/>
              </w:rPr>
              <w:t>60</w:t>
            </w:r>
          </w:p>
        </w:tc>
        <w:tc>
          <w:tcPr>
            <w:tcW w:type="dxa" w:w="850"/>
          </w:tcPr>
          <w:p>
            <w:pPr>
              <w:spacing w:before="20" w:after="20" w:line="240" w:lineRule="auto"/>
              <w:jc w:val="center"/>
            </w:pPr>
            <w:r>
              <w:rPr>
                <w:rFonts w:ascii="Times New Roman" w:hAnsi="Times New Roman" w:eastAsia="Times New Roman"/>
                <w:b w:val="0"/>
                <w:sz w:val="20"/>
              </w:rPr>
              <w:t>25</w:t>
            </w:r>
          </w:p>
        </w:tc>
        <w:tc>
          <w:tcPr>
            <w:tcW w:type="dxa" w:w="964"/>
          </w:tcPr>
          <w:p>
            <w:pPr>
              <w:spacing w:before="20" w:after="20" w:line="240" w:lineRule="auto"/>
              <w:jc w:val="center"/>
            </w:pPr>
            <w:r>
              <w:rPr>
                <w:rFonts w:ascii="Times New Roman" w:hAnsi="Times New Roman" w:eastAsia="Times New Roman"/>
                <w:b w:val="0"/>
                <w:sz w:val="20"/>
              </w:rPr>
              <w:t>59,999</w:t>
            </w:r>
          </w:p>
        </w:tc>
        <w:tc>
          <w:tcPr>
            <w:tcW w:type="dxa" w:w="907"/>
          </w:tcPr>
          <w:p>
            <w:pPr>
              <w:spacing w:before="20" w:after="20" w:line="240" w:lineRule="auto"/>
              <w:jc w:val="center"/>
            </w:pPr>
            <w:r>
              <w:rPr>
                <w:rFonts w:ascii="Times New Roman" w:hAnsi="Times New Roman" w:eastAsia="Times New Roman"/>
                <w:b w:val="0"/>
                <w:sz w:val="20"/>
              </w:rPr>
              <w:t>63</w:t>
            </w:r>
          </w:p>
        </w:tc>
        <w:tc>
          <w:tcPr>
            <w:tcW w:type="dxa" w:w="907"/>
          </w:tcPr>
          <w:p>
            <w:pPr>
              <w:spacing w:before="20" w:after="20" w:line="240" w:lineRule="auto"/>
              <w:jc w:val="center"/>
            </w:pPr>
            <w:r>
              <w:rPr>
                <w:rFonts w:ascii="Times New Roman" w:hAnsi="Times New Roman" w:eastAsia="Times New Roman"/>
                <w:b w:val="0"/>
                <w:sz w:val="20"/>
              </w:rPr>
              <w:t>46</w:t>
            </w:r>
          </w:p>
        </w:tc>
        <w:tc>
          <w:tcPr>
            <w:tcW w:type="dxa" w:w="1077"/>
          </w:tcPr>
          <w:p>
            <w:pPr>
              <w:spacing w:before="20" w:after="20" w:line="240" w:lineRule="auto"/>
              <w:jc w:val="center"/>
            </w:pPr>
            <w:r>
              <w:rPr>
                <w:rFonts w:ascii="Times New Roman" w:hAnsi="Times New Roman" w:eastAsia="Times New Roman"/>
                <w:b w:val="0"/>
                <w:sz w:val="20"/>
              </w:rPr>
              <w:t>1,062</w:t>
            </w:r>
          </w:p>
        </w:tc>
        <w:tc>
          <w:tcPr>
            <w:tcW w:type="dxa" w:w="907"/>
          </w:tcPr>
          <w:p>
            <w:pPr>
              <w:spacing w:before="20" w:after="20" w:line="240" w:lineRule="auto"/>
              <w:jc w:val="center"/>
            </w:pPr>
            <w:r>
              <w:rPr>
                <w:rFonts w:ascii="Times New Roman" w:hAnsi="Times New Roman" w:eastAsia="Times New Roman"/>
                <w:b w:val="0"/>
                <w:sz w:val="20"/>
              </w:rPr>
              <w:t>32,94</w:t>
            </w:r>
          </w:p>
        </w:tc>
      </w:tr>
    </w:tbl>
    <w:p>
      <w:pPr>
        <w:spacing w:line="360" w:lineRule="auto" w:after="120"/>
        <w:jc w:val="both"/>
      </w:pPr>
      <w:r>
        <w:rPr>
          <w:rFonts w:ascii="Times New Roman" w:hAnsi="Times New Roman" w:eastAsia="Times New Roman"/>
          <w:b/>
          <w:i w:val="0"/>
          <w:sz w:val="28"/>
        </w:rPr>
        <w:t xml:space="preserve">Вывод: </w:t>
      </w:r>
      <w:r>
        <w:rPr>
          <w:rFonts w:ascii="Times New Roman" w:hAnsi="Times New Roman" w:eastAsia="Times New Roman"/>
          <w:b w:val="0"/>
          <w:i w:val="0"/>
          <w:sz w:val="28"/>
        </w:rPr>
        <w:t>защищённость информации, обрабатываемой ОТСС (принтера Samsung Xpress C430, зав. № 2564ВВ4), от её утечки за счёт наводок информативного сигнала на цепь заземления не обеспечивается. Требуются дополнительные меры защиты, так как условие Rᵢ ≤ Rкз не выполняется (Rᵢ max = 32,94 м &gt; 25 м). Рекомендуется установка помехоподавляющего фильтра в цепь заземления, применение сертифицированных средств активной защиты (генератора шума), гальваническая развязка цепи заземления либо увеличение контролируемой зоны не менее чем до 33 м.</w:t>
      </w:r>
    </w:p>
    <w:p>
      <w:pPr>
        <w:spacing w:line="240" w:lineRule="auto" w:before="240" w:after="0"/>
        <w:jc w:val="right"/>
      </w:pPr>
      <w:r>
        <w:rPr>
          <w:rFonts w:ascii="Times New Roman" w:hAnsi="Times New Roman" w:eastAsia="Times New Roman"/>
          <w:b w:val="0"/>
          <w:i w:val="0"/>
          <w:sz w:val="28"/>
        </w:rPr>
        <w:t>________________________ (Ковалев Д.П., исполнитель)</w:t>
      </w:r>
    </w:p>
    <w:p>
      <w:pPr>
        <w:spacing w:line="240" w:lineRule="auto" w:before="0" w:after="0"/>
        <w:jc w:val="right"/>
      </w:pPr>
      <w:r>
        <w:rPr>
          <w:rFonts w:ascii="Times New Roman" w:hAnsi="Times New Roman" w:eastAsia="Times New Roman"/>
          <w:b w:val="0"/>
          <w:i w:val="0"/>
          <w:sz w:val="28"/>
        </w:rPr>
        <w:t>«22» октября 2025 г.</w:t>
      </w:r>
    </w:p>
    <w:p>
      <w:r>
        <w:br w:type="page"/>
      </w:r>
    </w:p>
    <w:p>
      <w:pPr>
        <w:spacing w:line="360" w:lineRule="auto" w:before="0" w:after="120"/>
        <w:jc w:val="center"/>
      </w:pPr>
      <w:r>
        <w:rPr>
          <w:rFonts w:ascii="Times New Roman" w:hAnsi="Times New Roman" w:eastAsia="Times New Roman"/>
          <w:b/>
          <w:i w:val="0"/>
          <w:sz w:val="28"/>
        </w:rPr>
        <w:t>4. Ответы на контрольные вопросы</w:t>
      </w:r>
    </w:p>
    <w:p>
      <w:pPr>
        <w:spacing w:line="360" w:lineRule="auto" w:before="80" w:after="40"/>
        <w:jc w:val="both"/>
      </w:pPr>
      <w:r>
        <w:rPr>
          <w:rFonts w:ascii="Times New Roman" w:hAnsi="Times New Roman" w:eastAsia="Times New Roman"/>
          <w:b/>
          <w:i w:val="0"/>
          <w:sz w:val="28"/>
        </w:rPr>
        <w:t>1. Каковы основные причины появления опасных сигналов в цепях электропитания?</w:t>
      </w:r>
    </w:p>
    <w:p>
      <w:pPr>
        <w:spacing w:line="360" w:lineRule="auto" w:before="0" w:after="40"/>
        <w:ind w:firstLine="709"/>
        <w:jc w:val="both"/>
      </w:pPr>
      <w:r>
        <w:rPr>
          <w:rFonts w:ascii="Times New Roman" w:hAnsi="Times New Roman" w:eastAsia="Times New Roman"/>
          <w:b w:val="0"/>
          <w:i w:val="0"/>
          <w:sz w:val="28"/>
        </w:rPr>
        <w:t>Четыре причины: наведение в них ЭДС полями НЧ и ВЧ побочных излучений ОТСС; модуляция тока электропитания токами РЭС; попадание опасного сигнала в цепи электропитания через паразитные (индуктивные и ёмкостные) связи элементов схемы и блока питания, в том числе между обмотками сетевого трансформатора; процессы в импульсных блоках питания РЭС.</w:t>
      </w:r>
    </w:p>
    <w:p>
      <w:pPr>
        <w:spacing w:line="360" w:lineRule="auto" w:before="80" w:after="40"/>
        <w:jc w:val="both"/>
      </w:pPr>
      <w:r>
        <w:rPr>
          <w:rFonts w:ascii="Times New Roman" w:hAnsi="Times New Roman" w:eastAsia="Times New Roman"/>
          <w:b/>
          <w:i w:val="0"/>
          <w:sz w:val="28"/>
        </w:rPr>
        <w:t>2. Цепи заземления, назначение.</w:t>
      </w:r>
    </w:p>
    <w:p>
      <w:pPr>
        <w:spacing w:line="360" w:lineRule="auto" w:before="0" w:after="40"/>
        <w:ind w:firstLine="709"/>
        <w:jc w:val="both"/>
      </w:pPr>
      <w:r>
        <w:rPr>
          <w:rFonts w:ascii="Times New Roman" w:hAnsi="Times New Roman" w:eastAsia="Times New Roman"/>
          <w:b w:val="0"/>
          <w:i w:val="0"/>
          <w:sz w:val="28"/>
        </w:rPr>
        <w:t>Цепи заземления выполняют функции: защитную (исключение поражения персонала электрическим током); базовую (установление опорного «нуля» для измерений); экранирующую (экранирование электрического поля); возвратную (обеспечение путей протекания возвратных питающих и сигнальных токов). Эффективность тем выше, чем меньше сопротивление цепи заземления.</w:t>
      </w:r>
    </w:p>
    <w:p>
      <w:pPr>
        <w:spacing w:line="360" w:lineRule="auto" w:before="80" w:after="40"/>
        <w:jc w:val="both"/>
      </w:pPr>
      <w:r>
        <w:rPr>
          <w:rFonts w:ascii="Times New Roman" w:hAnsi="Times New Roman" w:eastAsia="Times New Roman"/>
          <w:b/>
          <w:i w:val="0"/>
          <w:sz w:val="28"/>
        </w:rPr>
        <w:t>3. Причины появления опасных сигналов в цепях заземления?</w:t>
      </w:r>
    </w:p>
    <w:p>
      <w:pPr>
        <w:spacing w:line="360" w:lineRule="auto" w:before="0" w:after="40"/>
        <w:ind w:firstLine="709"/>
        <w:jc w:val="both"/>
      </w:pPr>
      <w:r>
        <w:rPr>
          <w:rFonts w:ascii="Times New Roman" w:hAnsi="Times New Roman" w:eastAsia="Times New Roman"/>
          <w:b w:val="0"/>
          <w:i w:val="0"/>
          <w:sz w:val="28"/>
        </w:rPr>
        <w:t>Две причины: наведение в цепях заземления ЭДС полями побочных электромагнитных излучений и протекание тока заземления по контуру заземления. Опасный сигнал может быть «снят» индуктивным способом или с последовательно включённого сопротивления.</w:t>
      </w:r>
    </w:p>
    <w:p>
      <w:pPr>
        <w:spacing w:line="360" w:lineRule="auto" w:before="80" w:after="40"/>
        <w:jc w:val="both"/>
      </w:pPr>
      <w:r>
        <w:rPr>
          <w:rFonts w:ascii="Times New Roman" w:hAnsi="Times New Roman" w:eastAsia="Times New Roman"/>
          <w:b/>
          <w:i w:val="0"/>
          <w:sz w:val="28"/>
        </w:rPr>
        <w:t>4. В чём заключается физическая сущность методики по выявлению канала утечки, обусловленного наводками на токоведущие коммуникации, выходящие за пределы КЗ?</w:t>
      </w:r>
    </w:p>
    <w:p>
      <w:pPr>
        <w:spacing w:line="360" w:lineRule="auto" w:before="0" w:after="40"/>
        <w:ind w:firstLine="709"/>
        <w:jc w:val="both"/>
      </w:pPr>
      <w:r>
        <w:rPr>
          <w:rFonts w:ascii="Times New Roman" w:hAnsi="Times New Roman" w:eastAsia="Times New Roman"/>
          <w:b w:val="0"/>
          <w:i w:val="0"/>
          <w:sz w:val="28"/>
        </w:rPr>
        <w:t>В основе — экспериментально-расчётный метод: определяют информативную составляющую наведённого сигнала и удельный коэффициент затухания сигнала в цепи, после чего рассчитывают максимальную длину пробега цепи Rᵢ, на которой ещё возможно выделение информативного сигнала, и сравнивают её с реальным пробегом до границы КЗ Rкз.</w:t>
      </w:r>
    </w:p>
    <w:p>
      <w:pPr>
        <w:spacing w:line="360" w:lineRule="auto" w:before="80" w:after="40"/>
        <w:jc w:val="both"/>
      </w:pPr>
      <w:r>
        <w:rPr>
          <w:rFonts w:ascii="Times New Roman" w:hAnsi="Times New Roman" w:eastAsia="Times New Roman"/>
          <w:b/>
          <w:i w:val="0"/>
          <w:sz w:val="28"/>
        </w:rPr>
        <w:t>5. Какие средства измерений могут применяться для выявления канала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Селективные микровольтметры (SMV-11, SMV-8.5, FSM-11, FSM-8.5), измерительные антенны (FMA-11, DP-1, DP-3, АИР3-2, АИР4-2), генераторы сигналов (Г4-158, Г4-116), измерительные пробники (ТК-4), осциллограф С1-116. СИ должны удовлетворять ГОСТ 11001-80 и ГОСТ 29216 и быть поверены.</w:t>
      </w:r>
    </w:p>
    <w:p>
      <w:pPr>
        <w:spacing w:line="360" w:lineRule="auto" w:before="80" w:after="40"/>
        <w:jc w:val="both"/>
      </w:pPr>
      <w:r>
        <w:rPr>
          <w:rFonts w:ascii="Times New Roman" w:hAnsi="Times New Roman" w:eastAsia="Times New Roman"/>
          <w:b/>
          <w:i w:val="0"/>
          <w:sz w:val="28"/>
        </w:rPr>
        <w:t>6. В каком порядке проводятся измерения в канале утечки,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Шаг 1 — определяют частотный спектр ПЭМИ. Шаг 2 — измеряют напряжение смеси Uс+ш компонент тест-сигнала и помех (полоса 9 кГц до 30 МГц, 120 кГц от 30 до 250 МГц). Шаг 3 — измеряют уровень помех Uш при выключенном ОТСС. Шаг 4 — измеряют напряжение генератора в точках А и Б и определяют коэффициент удельного затухания. Шаг 5 — сравнивают Rᵢ с Rкз.</w:t>
      </w:r>
    </w:p>
    <w:p>
      <w:pPr>
        <w:spacing w:line="360" w:lineRule="auto" w:before="80" w:after="40"/>
        <w:jc w:val="both"/>
      </w:pPr>
      <w:r>
        <w:rPr>
          <w:rFonts w:ascii="Times New Roman" w:hAnsi="Times New Roman" w:eastAsia="Times New Roman"/>
          <w:b/>
          <w:i w:val="0"/>
          <w:sz w:val="28"/>
        </w:rPr>
        <w:t>7. Какие организационно-технические меры могут быть предприняты для закрытия канала, обусловленного наводками на токоведущие коммуникации?</w:t>
      </w:r>
    </w:p>
    <w:p>
      <w:pPr>
        <w:spacing w:line="360" w:lineRule="auto" w:before="0" w:after="40"/>
        <w:ind w:firstLine="709"/>
        <w:jc w:val="both"/>
      </w:pPr>
      <w:r>
        <w:rPr>
          <w:rFonts w:ascii="Times New Roman" w:hAnsi="Times New Roman" w:eastAsia="Times New Roman"/>
          <w:b w:val="0"/>
          <w:i w:val="0"/>
          <w:sz w:val="28"/>
        </w:rPr>
        <w:t>Установка сетевых помехоподавляющих фильтров и фильтров в цепи заземления; применение сертифицированных средств активной защиты (генераторов шума в линии); экранирование и гальваническая развязка цепей; увеличение размера контролируемой зоны организационными мерами; разнесение цепей питания и заземления ОТСС и ВТСС.</w:t>
      </w:r>
    </w:p>
    <w:p>
      <w:pPr>
        <w:spacing w:line="360" w:lineRule="auto" w:before="80" w:after="40"/>
        <w:jc w:val="both"/>
      </w:pPr>
      <w:r>
        <w:rPr>
          <w:rFonts w:ascii="Times New Roman" w:hAnsi="Times New Roman" w:eastAsia="Times New Roman"/>
          <w:b/>
          <w:i w:val="0"/>
          <w:sz w:val="28"/>
        </w:rPr>
        <w:t>8. В каких частотных диапазонах проводятся измерения в данном канале?</w:t>
      </w:r>
    </w:p>
    <w:p>
      <w:pPr>
        <w:spacing w:line="360" w:lineRule="auto" w:before="0" w:after="40"/>
        <w:ind w:firstLine="709"/>
        <w:jc w:val="both"/>
      </w:pPr>
      <w:r>
        <w:rPr>
          <w:rFonts w:ascii="Times New Roman" w:hAnsi="Times New Roman" w:eastAsia="Times New Roman"/>
          <w:b w:val="0"/>
          <w:i w:val="0"/>
          <w:sz w:val="28"/>
        </w:rPr>
        <w:t>Анализ спектра ПЭМИ проводят в диапазоне от 0,01 до 250 МГц. Полосу пропускания измерительных приёмников выбирают равной 9 кГц в диапазоне до 30 МГц и 120 кГц в диапазоне от 30 до 250 МГц.</w:t>
      </w:r>
    </w:p>
    <w:p>
      <w:pPr>
        <w:spacing w:line="360" w:lineRule="auto" w:before="80" w:after="40"/>
        <w:jc w:val="both"/>
      </w:pPr>
      <w:r>
        <w:rPr>
          <w:rFonts w:ascii="Times New Roman" w:hAnsi="Times New Roman" w:eastAsia="Times New Roman"/>
          <w:b/>
          <w:i w:val="0"/>
          <w:sz w:val="28"/>
        </w:rPr>
        <w:t>9. Какие требования предъявляются к тестовым режимам работы ОТСС?</w:t>
      </w:r>
    </w:p>
    <w:p>
      <w:pPr>
        <w:spacing w:line="360" w:lineRule="auto" w:before="0" w:after="40"/>
        <w:ind w:firstLine="709"/>
        <w:jc w:val="both"/>
      </w:pPr>
      <w:r>
        <w:rPr>
          <w:rFonts w:ascii="Times New Roman" w:hAnsi="Times New Roman" w:eastAsia="Times New Roman"/>
          <w:b w:val="0"/>
          <w:i w:val="0"/>
          <w:sz w:val="28"/>
        </w:rPr>
        <w:t>Тестовый режим должен обеспечивать: формирование периодической последовательности информативных сигналов; максимально возможную частоту их следования; идентификацию тестовых сигналов на фоне помех и шумов; возможность измерения уровней тестовых сигналов стандартными средствами измерений; достаточное для измерений время работы ОТСС в тестируемом режиме.</w:t>
      </w:r>
    </w:p>
    <w:p>
      <w:pPr>
        <w:spacing w:line="360" w:lineRule="auto" w:before="240" w:after="120"/>
        <w:jc w:val="center"/>
      </w:pPr>
      <w:r>
        <w:rPr>
          <w:rFonts w:ascii="Times New Roman" w:hAnsi="Times New Roman" w:eastAsia="Times New Roman"/>
          <w:b/>
          <w:i w:val="0"/>
          <w:sz w:val="28"/>
        </w:rPr>
        <w:t>5. Вывод</w:t>
      </w:r>
    </w:p>
    <w:p>
      <w:pPr>
        <w:spacing w:line="360" w:lineRule="auto" w:before="0" w:after="120"/>
        <w:ind w:firstLine="709"/>
        <w:jc w:val="both"/>
      </w:pPr>
      <w:r>
        <w:rPr>
          <w:rFonts w:ascii="Times New Roman" w:hAnsi="Times New Roman" w:eastAsia="Times New Roman"/>
          <w:b w:val="0"/>
          <w:i w:val="0"/>
          <w:sz w:val="28"/>
        </w:rPr>
        <w:t>В ходе выполнения лабораторной работы проведён расчётный контроль защищённости ОТСС (принтера Samsung Xpress C430, зав. № 2564ВВ4) от утечки конфиденциальной информации за счёт наводок информативных ПЭМИ на цепь заземления, выходящие за пределы КЗ. Для каждой обнаруженной частотной компоненты рассчитаны информативная составляющая сигнала Uс, показатель защищённости Пᵢ, коэффициент удельного затухания Kу и максимальная длина пробега цепи Rᵢ.</w:t>
      </w:r>
    </w:p>
    <w:p>
      <w:pPr>
        <w:spacing w:line="360" w:lineRule="auto" w:before="0" w:after="120"/>
        <w:ind w:firstLine="709"/>
        <w:jc w:val="both"/>
      </w:pPr>
      <w:r>
        <w:rPr>
          <w:rFonts w:ascii="Times New Roman" w:hAnsi="Times New Roman" w:eastAsia="Times New Roman"/>
          <w:b/>
          <w:i w:val="0"/>
          <w:sz w:val="28"/>
        </w:rPr>
        <w:t>Максимальное значение Rᵢ = 32,94 м при реальном пробеге до границы КЗ Rкз = 25 м. Условие Rᵢ ≤ Rкз не выполняется, следовательно защищённость информации не обеспечивается и требуются дополнительные меры защиты (фильтр в цепи заземления, средства активной защиты, увеличение КЗ).</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