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6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4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«Генератор Геффе псевдослучайных чисел на регистрах сдвига с линейной обратной связью»</w:t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Оганов В.Ю.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«4»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 15</w:t>
      </w:r>
    </w:p>
    <w:p w:rsidR="00000000" w:rsidDel="00000000" w:rsidP="00000000" w:rsidRDefault="00000000" w:rsidRPr="00000000" w14:paraId="0000001D">
      <w:pPr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</w:p>
    <w:p w:rsidR="00000000" w:rsidDel="00000000" w:rsidP="00000000" w:rsidRDefault="00000000" w:rsidRPr="00000000" w14:paraId="0000001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1a1a1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8"/>
          <w:szCs w:val="28"/>
          <w:rtl w:val="0"/>
        </w:rPr>
        <w:t xml:space="preserve">Построить псевдослучайную двоичную М – последовательность генератором Геффе.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1a1a1a"/>
          <w:sz w:val="28"/>
          <w:szCs w:val="28"/>
        </w:rPr>
      </w:pPr>
      <w:bookmarkStart w:colFirst="0" w:colLast="0" w:name="_heading=h.olt3hvelytu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a1a1a"/>
          <w:sz w:val="28"/>
          <w:szCs w:val="28"/>
        </w:rPr>
        <w:drawing>
          <wp:inline distB="0" distT="0" distL="0" distR="0">
            <wp:extent cx="5940425" cy="30099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 программы.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9763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Результат программы.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34643" cy="3591351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643" cy="3591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Результат программы.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4192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Результат программы.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math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parse_polynomial_coeffs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(poly_str):</w:t>
        <w:br w:type="textWrapping"/>
        <w:t xml:space="preserve">    poly_str = poly_str.replace(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terms = poly_str.split(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terms: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term.startswith(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  <w:br w:type="textWrapping"/>
        <w:t xml:space="preserve">            exp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(term[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:])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(term)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exp &gt; N:</w:t>
        <w:br w:type="textWrapping"/>
        <w:t xml:space="preserve">                N = exp</w:t>
        <w:br w:type="textWrapping"/>
        <w:t xml:space="preserve">    coeffs = 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* 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terms: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term.startswith(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  <w:br w:type="textWrapping"/>
        <w:t xml:space="preserve">            exp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(term[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:])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(term)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coeffs[exp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pass</w:t>
        <w:br w:type="textWrapping"/>
        <w:t xml:space="preserve">    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coeffs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lfsr_right_shift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(coeffs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state):</w:t>
        <w:br w:type="textWrapping"/>
        <w:t xml:space="preserve">    fb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(state)):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coeffs[i]:</w:t>
        <w:br w:type="textWrapping"/>
        <w:t xml:space="preserve">            fb ^= state[i]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fb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geffe_function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x3):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(x1 &amp; x2) ^ (x2 &amp; x3) ^ x3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Генератор"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--- Параметры для LFSR1 ---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Параметры для LFSR1:"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poly1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 Примитивный многочлен (например, x5+x4+x3+x2+1(3)):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coeffs1 = parse_polynomial_coeffs(poly1)</w:t>
        <w:br w:type="textWrapping"/>
        <w:t xml:space="preserve">    N1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(coeffs1)</w:t>
        <w:br w:type="textWrapping"/>
        <w:t xml:space="preserve">    init_state_str1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Начальное состояние (строка из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бит):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(init_state_str1) != N1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"01"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init_state_str1):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f"Ошибка: состояние должно состоять из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символов (0/1)."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state1 = [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init_state_str1]</w:t>
        <w:br w:type="textWrapping"/>
        <w:t xml:space="preserve">    k1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 сдвиг k LFSR1: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col1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столбец (позиция от 1 до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 для вывода LFSR1: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S1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** N1 -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S для LFSR1: 2^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- 1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808080"/>
              <w:sz w:val="20"/>
              <w:szCs w:val="20"/>
              <w:rtl w:val="0"/>
            </w:rPr>
            <w:t xml:space="preserve">#if math.gcd(S1, k1) == 1:</w:t>
            <w:br w:type="textWrapping"/>
            <w:t xml:space="preserve">      #  print("  Период для LFSR1 максимальный (НОД(S, k) = 1).")</w:t>
            <w:br w:type="textWrapping"/>
            <w:t xml:space="preserve">    #else:</w:t>
            <w:br w:type="textWrapping"/>
            <w:t xml:space="preserve">      #  print("  Период для LFSR1 не максимальный (НОД(S, k) ≠ 1).")</w:t>
            <w:br w:type="textWrapping"/>
            <w:br w:type="textWrapping"/>
            <w:t xml:space="preserve">    # --- Параметры для LFSR2 ---</w:t>
            <w:br w:type="textWrapping"/>
            <w:t xml:space="preserve">   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Параметры для LFSR2:"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poly2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 Примитивный многочлен (например, x2+x+1(2)):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coeffs2 = parse_polynomial_coeffs(poly2)</w:t>
        <w:br w:type="textWrapping"/>
        <w:t xml:space="preserve">    N2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(coeffs2)</w:t>
        <w:br w:type="textWrapping"/>
        <w:t xml:space="preserve">    init_state_str2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Начальное состояние (строка из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бит):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(init_state_str2) != N2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"01"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init_state_str2):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f"Ошибка: состояние должно состоять из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символов (0/1)."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state2 = [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init_state_str2]</w:t>
        <w:br w:type="textWrapping"/>
        <w:t xml:space="preserve">    k2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 сдвиг k LFSR2: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col2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столбец (позиция от 1 до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 для вывода LFSR2: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S2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** N2 -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S для LFSR2: 2^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- 1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808080"/>
              <w:sz w:val="20"/>
              <w:szCs w:val="20"/>
              <w:rtl w:val="0"/>
            </w:rPr>
            <w:t xml:space="preserve">#if math.gcd(S2, k2) == 1:</w:t>
            <w:br w:type="textWrapping"/>
            <w:t xml:space="preserve">     #   print("  Период декремпозированной последовательности для LFSR2 максимальный (НОД(S, k) = 1).")</w:t>
            <w:br w:type="textWrapping"/>
            <w:t xml:space="preserve">   # else:</w:t>
            <w:br w:type="textWrapping"/>
            <w:t xml:space="preserve">     #   print("  Период декремпозированной последовательности для LFSR2 не максимальный (НОД(S, k) ≠ 1).")</w:t>
            <w:br w:type="textWrapping"/>
            <w:br w:type="textWrapping"/>
            <w:t xml:space="preserve">    # --- Параметры для LFSR3 ---</w:t>
            <w:br w:type="textWrapping"/>
            <w:t xml:space="preserve">   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Параметры для LFSR3:"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poly3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 многочлен(x6+x5+x4+x+1(2):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coeffs3 = parse_polynomial_coeffs(poly3)</w:t>
        <w:br w:type="textWrapping"/>
        <w:t xml:space="preserve">    N3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(coeffs3)</w:t>
        <w:br w:type="textWrapping"/>
        <w:t xml:space="preserve">    init_state_str3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Начальное состояние (строка из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бит):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(init_state_str3) != N3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"01"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init_state_str3):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f"состояние должно состоять из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символов (0/1)."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state3 = [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init_state_str3]</w:t>
        <w:br w:type="textWrapping"/>
        <w:t xml:space="preserve">    k3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 сдвиг k LFSR3: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col3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столбец (позиция от 1 до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 для вывода LFSR3: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S3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** N3 -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S для LFSR3: 2^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- 1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808080"/>
              <w:sz w:val="20"/>
              <w:szCs w:val="20"/>
              <w:rtl w:val="0"/>
            </w:rPr>
            <w:t xml:space="preserve">#if math.gcd(S3, k3) == 1:</w:t>
            <w:br w:type="textWrapping"/>
            <w:t xml:space="preserve">    #    print("  Период декремпозированной последовательности для LFSR3 максимальный (НОД(S, k) = 1).")</w:t>
            <w:br w:type="textWrapping"/>
            <w:t xml:space="preserve">   # else:</w:t>
            <w:br w:type="textWrapping"/>
            <w:t xml:space="preserve">      #  print("  Период декремпозированной для LFSR3 не максимальный (НОД(S, k) ≠ 1).")</w:t>
            <w:br w:type="textWrapping"/>
            <w:br w:type="textWrapping"/>
            <w:t xml:space="preserve">   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Максимальные периоды для РСЛОС:"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LFSR1: 2^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- 1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LFSR2: 2^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- 1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LFSR3: 2^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- 1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theoretical_period = S1 * S2 * S3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f"Рассчитанный максимальный период генератора Геффе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theoretical_period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генератора Геффе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seen_states = {}</w:t>
        <w:br w:type="textWrapping"/>
        <w:t xml:space="preserve">    step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combined_state = 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(state1)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(state2)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(state3))</w:t>
        <w:br w:type="textWrapping"/>
        <w:br w:type="textWrapping"/>
        <w:t xml:space="preserve">    seq1 = []</w:t>
        <w:br w:type="textWrapping"/>
        <w:t xml:space="preserve">    seq2 = []</w:t>
        <w:br w:type="textWrapping"/>
        <w:t xml:space="preserve">    seq3 = []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combined_state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seen_states:</w:t>
        <w:br w:type="textWrapping"/>
        <w:t xml:space="preserve">        seen_states[combined_state] = step</w:t>
        <w:br w:type="textWrapping"/>
        <w:t xml:space="preserve">        x1 = state1[col1 -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  <w:br w:type="textWrapping"/>
        <w:t xml:space="preserve">        x2 = state2[col2 -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  <w:br w:type="textWrapping"/>
        <w:t xml:space="preserve">        x3 = state3[col3 -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  <w:br w:type="textWrapping"/>
        <w:br w:type="textWrapping"/>
        <w:t xml:space="preserve">        seq1.append(x1)</w:t>
        <w:br w:type="textWrapping"/>
        <w:t xml:space="preserve">        seq2.append(x2)</w:t>
        <w:br w:type="textWrapping"/>
        <w:t xml:space="preserve">        seq3.append(x3)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f"Шаг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LFSR1: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state1)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-&gt; выбранный бит (столбец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LFSR2: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state2)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-&gt; выбранный бит (столбец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col2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LFSR3: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state3)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-&gt; выбранный бит (столбец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col3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f(x1,x2,x3)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geffe_function(x1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x3)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    fb1 = lfsr_right_shift(coeffs1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state1)</w:t>
        <w:br w:type="textWrapping"/>
        <w:t xml:space="preserve">        fb2 = lfsr_right_shift(coeffs2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state2)</w:t>
        <w:br w:type="textWrapping"/>
        <w:t xml:space="preserve">        fb3 = lfsr_right_shift(coeffs3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state3)</w:t>
        <w:br w:type="textWrapping"/>
        <w:t xml:space="preserve">        state1 = [fb1] + state1[:-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  <w:br w:type="textWrapping"/>
        <w:t xml:space="preserve">        state2 = [fb2] + state2[:-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  <w:br w:type="textWrapping"/>
        <w:t xml:space="preserve">        state3 = [fb3] + state3[:-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  <w:br w:type="textWrapping"/>
        <w:br w:type="textWrapping"/>
        <w:t xml:space="preserve">        step +=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combined_state = 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(state1)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(state2)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(state3))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#print(f"Обнаружен период повторения: {step}")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f"Теоретически максимальный период: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theoretical_period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Декремпозирование последовательностей для каждого РСЛОС по своему k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decimated1 = seq1[::k1]</w:t>
        <w:br w:type="textWrapping"/>
        <w:t xml:space="preserve">    decimated2 = seq2[::k2]</w:t>
        <w:br w:type="textWrapping"/>
        <w:t xml:space="preserve">    decimated3 = seq3[::k3]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LFSR1 (k=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k1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decimated1)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LFSR2 (k=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k2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decimated2)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  LFSR3 (k=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k3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decimated3)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m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(decimated1)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(decimated2)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(decimated3))</w:t>
        <w:br w:type="textWrapping"/>
        <w:t xml:space="preserve">    final_sequence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(m):</w:t>
        <w:br w:type="textWrapping"/>
        <w:t xml:space="preserve">        bit = geffe_function(decimated1[i]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decimated2[i]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decimated3[i])</w:t>
        <w:br w:type="textWrapping"/>
        <w:t xml:space="preserve">        final_sequence.append(bit)</w:t>
        <w:br w:type="textWrapping"/>
        <w:br w:type="textWrapping"/>
        <w:t xml:space="preserve">    final_binary_str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final_sequence)</w:t>
        <w:br w:type="textWrapping"/>
        <w:t xml:space="preserve">    final_decimal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(final_binary_str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final_binary_str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Итоговая последовательность (f(x1,x2,x3)):"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(final_binary_str)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"Десятичное представление итоговой последовательности:"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(final_decimal)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2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78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a" w:default="1">
    <w:name w:val="Normal"/>
    <w:qFormat w:val="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after="200" w:before="480"/>
      <w:outlineLvl w:val="0"/>
    </w:pPr>
    <w:rPr>
      <w:rFonts w:ascii="Arial" w:cs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footnote reference"/>
    <w:basedOn w:val="a0"/>
    <w:uiPriority w:val="99"/>
    <w:unhideWhenUsed w:val="1"/>
    <w:rPr>
      <w:vertAlign w:val="superscript"/>
    </w:rPr>
  </w:style>
  <w:style w:type="character" w:styleId="a4">
    <w:name w:val="endnote reference"/>
    <w:basedOn w:val="a0"/>
    <w:uiPriority w:val="99"/>
    <w:semiHidden w:val="1"/>
    <w:unhideWhenUsed w:val="1"/>
    <w:rPr>
      <w:vertAlign w:val="superscript"/>
    </w:rPr>
  </w:style>
  <w:style w:type="character" w:styleId="a5">
    <w:name w:val="Hyperlink"/>
    <w:uiPriority w:val="99"/>
    <w:unhideWhenUsed w:val="1"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 w:val="1"/>
    <w:unhideWhenUsed w:val="1"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 w:val="1"/>
    <w:unhideWhenUsed w:val="1"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11">
    <w:name w:val="toc 1"/>
    <w:basedOn w:val="a"/>
    <w:next w:val="a"/>
    <w:uiPriority w:val="39"/>
    <w:unhideWhenUsed w:val="1"/>
    <w:pPr>
      <w:spacing w:after="57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 w:val="1"/>
    <w:pPr>
      <w:spacing w:after="0"/>
    </w:pPr>
  </w:style>
  <w:style w:type="paragraph" w:styleId="31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21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41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1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 w:val="1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 w:val="1"/>
    <w:pPr>
      <w:spacing w:after="200" w:before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qFormat w:val="1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qFormat w:val="1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qFormat w:val="1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qFormat w:val="1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qFormat w:val="1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qFormat w:val="1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qFormat w:val="1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qFormat w:val="1"/>
    <w:rPr>
      <w:rFonts w:ascii="Arial" w:cs="Arial" w:eastAsia="Arial" w:hAnsi="Arial"/>
      <w:i w:val="1"/>
      <w:iCs w:val="1"/>
      <w:sz w:val="21"/>
      <w:szCs w:val="21"/>
    </w:rPr>
  </w:style>
  <w:style w:type="paragraph" w:styleId="af6">
    <w:name w:val="List Paragraph"/>
    <w:basedOn w:val="a"/>
    <w:uiPriority w:val="34"/>
    <w:qFormat w:val="1"/>
    <w:pPr>
      <w:ind w:left="720"/>
      <w:contextualSpacing w:val="1"/>
    </w:pPr>
  </w:style>
  <w:style w:type="paragraph" w:styleId="af7">
    <w:name w:val="No Spacing"/>
    <w:uiPriority w:val="1"/>
    <w:qFormat w:val="1"/>
    <w:rPr>
      <w:sz w:val="22"/>
      <w:szCs w:val="22"/>
      <w:lang w:eastAsia="en-US"/>
    </w:rPr>
  </w:style>
  <w:style w:type="character" w:styleId="af" w:customStyle="1">
    <w:name w:val="Заголовок Знак"/>
    <w:basedOn w:val="a0"/>
    <w:link w:val="ae"/>
    <w:uiPriority w:val="10"/>
    <w:rPr>
      <w:sz w:val="48"/>
      <w:szCs w:val="48"/>
    </w:rPr>
  </w:style>
  <w:style w:type="character" w:styleId="af4" w:customStyle="1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 w:val="1"/>
    <w:pPr>
      <w:ind w:left="720" w:right="720"/>
    </w:pPr>
    <w:rPr>
      <w:i w:val="1"/>
    </w:rPr>
  </w:style>
  <w:style w:type="character" w:styleId="23" w:customStyle="1">
    <w:name w:val="Цитата 2 Знак"/>
    <w:link w:val="22"/>
    <w:uiPriority w:val="29"/>
    <w:rPr>
      <w:i w:val="1"/>
    </w:rPr>
  </w:style>
  <w:style w:type="paragraph" w:styleId="af8">
    <w:name w:val="Intense Quote"/>
    <w:basedOn w:val="a"/>
    <w:next w:val="a"/>
    <w:link w:val="af9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f9" w:customStyle="1">
    <w:name w:val="Выделенная цитата Знак"/>
    <w:link w:val="af8"/>
    <w:uiPriority w:val="30"/>
    <w:rPr>
      <w:i w:val="1"/>
    </w:rPr>
  </w:style>
  <w:style w:type="character" w:styleId="ac" w:customStyle="1">
    <w:name w:val="Верхний колонтитул Знак"/>
    <w:basedOn w:val="a0"/>
    <w:link w:val="ab"/>
    <w:uiPriority w:val="99"/>
  </w:style>
  <w:style w:type="character" w:styleId="FooterChar" w:customStyle="1">
    <w:name w:val="Footer Char"/>
    <w:basedOn w:val="a0"/>
    <w:uiPriority w:val="99"/>
  </w:style>
  <w:style w:type="character" w:styleId="af1" w:customStyle="1">
    <w:name w:val="Нижний колонтитул Знак"/>
    <w:link w:val="af0"/>
    <w:uiPriority w:val="99"/>
  </w:style>
  <w:style w:type="table" w:styleId="TableGridLight" w:customStyle="1">
    <w:name w:val="Table Grid Light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0" w:customStyle="1">
    <w:name w:val="Таблица простая 11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10" w:customStyle="1">
    <w:name w:val="Таблица простая 21"/>
    <w:basedOn w:val="a1"/>
    <w:uiPriority w:val="59"/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0" w:customStyle="1">
    <w:name w:val="Таблица простая 31"/>
    <w:basedOn w:val="a1"/>
    <w:uiPriority w:val="99"/>
    <w:tblPr/>
    <w:tblStylePr w:type="firstRow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color="404040" w:space="0" w:sz="4" w:val="single"/>
          <w:right w:space="0" w:sz="0" w:val="nil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0" w:customStyle="1">
    <w:name w:val="Таблица простая 41"/>
    <w:basedOn w:val="a1"/>
    <w:uiPriority w:val="99"/>
    <w:tblPr/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0" w:customStyle="1">
    <w:name w:val="Таблица простая 51"/>
    <w:basedOn w:val="a1"/>
    <w:uiPriority w:val="99"/>
    <w:qFormat w:val="1"/>
    <w:tblPr/>
    <w:tblStylePr w:type="firstRow">
      <w:rPr>
        <w:i w:val="1"/>
        <w:color w:val="404040"/>
      </w:rPr>
      <w:tblPr/>
      <w:tcPr>
        <w:tcBorders>
          <w:left w:space="0" w:sz="0" w:val="nil"/>
          <w:bottom w:color="404040" w:space="0" w:sz="4" w:val="single"/>
          <w:right w:space="0" w:sz="0" w:val="nil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1" w:customStyle="1">
    <w:name w:val="Таблица-сетка 1 светлая1"/>
    <w:basedOn w:val="a1"/>
    <w:uiPriority w:val="99"/>
    <w:qFormat w:val="1"/>
    <w:tblPr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qFormat w:val="1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qFormat w:val="1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qFormat w:val="1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qFormat w:val="1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qFormat w:val="1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qFormat w:val="1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1" w:customStyle="1">
    <w:name w:val="Таблица-сетка 21"/>
    <w:basedOn w:val="a1"/>
    <w:uiPriority w:val="99"/>
    <w:qFormat w:val="1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6a6a6a" w:space="0" w:sz="12" w:themeColor="text1" w:themeTint="00009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qFormat w:val="1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37dc8" w:space="0" w:sz="12" w:themeColor="accent1" w:themeTint="0000E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qFormat w:val="1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4b184" w:space="0" w:sz="12" w:themeColor="accent2" w:themeTint="000097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12" w:themeColor="accent3" w:themeTint="0000FE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d865" w:space="0" w:sz="12" w:themeColor="accent4" w:themeTint="00009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12" w:themeColor="accent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12" w:themeColor="accent6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1" w:customStyle="1">
    <w:name w:val="Таблица-сетка 31"/>
    <w:basedOn w:val="a1"/>
    <w:uiPriority w:val="99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1" w:customStyle="1">
    <w:name w:val="Таблица-сетка 41"/>
    <w:basedOn w:val="a1"/>
    <w:uiPriority w:val="59"/>
    <w:tblPr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1" w:customStyle="1">
    <w:name w:val="Таблица-сетка 5 темная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1" w:customStyle="1">
    <w:name w:val="Таблица-сетка 6 цветная1"/>
    <w:basedOn w:val="a1"/>
    <w:uiPriority w:val="99"/>
    <w:tblPr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Tint="000080"/>
      </w:rPr>
    </w:tblStylePr>
    <w:tblStylePr w:type="firstCol">
      <w:rPr>
        <w:b w:val="1"/>
        <w:color w:val="7f7f7f" w:themeColor="text1" w:themeTint="000080"/>
      </w:rPr>
    </w:tblStylePr>
    <w:tblStylePr w:type="lastCol">
      <w:rPr>
        <w:b w:val="1"/>
        <w:color w:val="7f7f7f" w:themeColor="text1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tblPr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b w:val="1"/>
        <w:color w:val="a0b7e1" w:themeColor="accent1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Tint="000080"/>
      </w:rPr>
    </w:tblStylePr>
    <w:tblStylePr w:type="firstCol">
      <w:rPr>
        <w:b w:val="1"/>
        <w:color w:val="a0b7e1" w:themeColor="accent1" w:themeTint="000080"/>
      </w:rPr>
    </w:tblStylePr>
    <w:tblStylePr w:type="lastCol">
      <w:rPr>
        <w:b w:val="1"/>
        <w:color w:val="a0b7e1" w:themeColor="accent1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tblPr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/>
      </w:rPr>
    </w:tblStylePr>
    <w:tblStylePr w:type="firstCol">
      <w:rPr>
        <w:b w:val="1"/>
        <w:color w:val="a5a5a5" w:themeColor="accent3"/>
      </w:rPr>
    </w:tblStylePr>
    <w:tblStylePr w:type="lastCol">
      <w:rPr>
        <w:b w:val="1"/>
        <w:color w:val="a5a5a5" w:themeColor="accent3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tblPr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tblPr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-71" w:customStyle="1">
    <w:name w:val="Таблица-сетка 7 цветная1"/>
    <w:basedOn w:val="a1"/>
    <w:uiPriority w:val="99"/>
    <w:tblPr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tblPr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color="a0b7e1" w:space="0" w:sz="4" w:themeColor="accen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color="a0b7e1" w:space="0" w:sz="4" w:themeColor="accen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color="a0b7e1" w:space="0" w:sz="4" w:themeColor="accen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tblPr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tblPr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color="a5a5a5" w:space="0" w:sz="4" w:themeColor="accent3" w:themeTint="0000FE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/>
        <w:sz w:val="22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color="a5a5a5" w:space="0" w:sz="4" w:themeColor="accent3" w:themeTint="0000FE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tblPr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tblPr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color="a2c6e7" w:space="0" w:sz="4" w:themeColor="accent5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color="a2c6e7" w:space="0" w:sz="4" w:themeColor="accent5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tblPr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color="add394" w:space="0" w:sz="4" w:themeColor="accent6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color="add394" w:space="0" w:sz="4" w:themeColor="accent6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6429" w:themeColor="accent6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06429" w:themeColor="accent6" w:themeShade="000094"/>
        <w:sz w:val="22"/>
      </w:rPr>
    </w:tblStylePr>
  </w:style>
  <w:style w:type="table" w:styleId="-110" w:customStyle="1">
    <w:name w:val="Список-таблица 1 светлая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000000" w:space="0" w:sz="4" w:themeColor="tex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ed7d31" w:space="0" w:sz="4" w:themeColor="accent2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4" w:themeColor="accent3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c000" w:space="0" w:sz="4" w:themeColor="accent4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4" w:themeColor="accent5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4" w:themeColor="accent6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10" w:customStyle="1">
    <w:name w:val="Список-таблица 21"/>
    <w:basedOn w:val="a1"/>
    <w:uiPriority w:val="99"/>
    <w:tblPr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tblPr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tblPr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tblPr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tblPr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tblPr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tblPr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10" w:customStyle="1">
    <w:name w:val="Список-таблица 3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10" w:customStyle="1">
    <w:name w:val="Список-таблица 4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10" w:customStyle="1">
    <w:name w:val="Список-таблица 5 темная1"/>
    <w:basedOn w:val="a1"/>
    <w:uiPriority w:val="99"/>
    <w:tblPr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tblPr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tblPr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tblPr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tblPr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tblPr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tblPr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10" w:customStyle="1">
    <w:name w:val="Список-таблица 6 цветная1"/>
    <w:basedOn w:val="a1"/>
    <w:uiPriority w:val="99"/>
    <w:tblPr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tblPr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 w:val="1"/>
        <w:color w:val="244174" w:themeColor="accent1" w:themeShade="000094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44174" w:themeColor="accent1" w:themeShade="000094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44174" w:themeColor="accent1" w:themeShade="000094"/>
      </w:rPr>
    </w:tblStylePr>
    <w:tblStylePr w:type="lastCol">
      <w:rPr>
        <w:b w:val="1"/>
        <w:color w:val="244174" w:themeColor="accent1" w:themeShade="000094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tblPr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tblPr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Tint="000099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Tint="000099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Tint="000099"/>
      </w:rPr>
    </w:tblStylePr>
    <w:tblStylePr w:type="lastCol">
      <w:rPr>
        <w:b w:val="1"/>
        <w:color w:val="c9c9c9" w:themeColor="accent3" w:themeTint="000099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tblPr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tblPr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firstRow">
      <w:rPr>
        <w:b w:val="1"/>
        <w:color w:val="9cc2e5" w:themeColor="accent5" w:themeTint="000099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cc2e5" w:themeColor="accent5" w:themeTint="000099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cc2e5" w:themeColor="accent5" w:themeTint="000099"/>
      </w:rPr>
    </w:tblStylePr>
    <w:tblStylePr w:type="lastCol">
      <w:rPr>
        <w:b w:val="1"/>
        <w:color w:val="9cc2e5" w:themeColor="accent5" w:themeTint="000099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tblPr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8d08d" w:themeColor="accent6" w:themeTint="000099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8d08d" w:themeColor="accent6" w:themeTint="000099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8d08d" w:themeColor="accent6" w:themeTint="000099"/>
      </w:rPr>
    </w:tblStylePr>
    <w:tblStylePr w:type="lastCol">
      <w:rPr>
        <w:b w:val="1"/>
        <w:color w:val="a8d08d" w:themeColor="accent6" w:themeTint="000099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-710" w:customStyle="1">
    <w:name w:val="Список-таблица 7 цветная1"/>
    <w:basedOn w:val="a1"/>
    <w:uiPriority w:val="99"/>
    <w:tblPr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tblPr>
      <w:tblBorders>
        <w:right w:color="4472c4" w:space="0" w:sz="4" w:themeColor="accent1" w:val="single"/>
      </w:tblBorders>
    </w:tblPr>
    <w:tblStylePr w:type="fir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color="4472c4" w:space="0" w:sz="4" w:themeColor="accent1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tblPr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tblPr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color="c9c9c9" w:space="0" w:sz="4" w:themeColor="accent3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color="c9c9c9" w:space="0" w:sz="4" w:themeColor="accent3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color="c9c9c9" w:space="0" w:sz="4" w:themeColor="accent3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tblPr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tblPr>
      <w:tblBorders>
        <w:right w:color="9bc2e5" w:space="0" w:sz="4" w:themeColor="accent5" w:themeTint="00009A" w:val="single"/>
      </w:tblBorders>
    </w:tblPr>
    <w:tblStylePr w:type="fir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color="9bc2e5" w:space="0" w:sz="4" w:themeColor="accent5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color="9bc2e5" w:space="0" w:sz="4" w:themeColor="accent5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color="9bc2e5" w:space="0" w:sz="4" w:themeColor="accent5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tblPr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color="a9d08e" w:space="0" w:sz="4" w:themeColor="accent6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color="a9d08e" w:space="0" w:sz="4" w:themeColor="accent6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color="a9d08e" w:space="0" w:sz="4" w:themeColor="accent6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rPr>
      <w:color w:val="404040"/>
    </w:rPr>
    <w:tblPr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rPr>
      <w:color w:val="404040"/>
    </w:rPr>
    <w:tblPr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rPr>
      <w:color w:val="404040"/>
    </w:rPr>
    <w:tblPr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rPr>
      <w:color w:val="404040"/>
    </w:rPr>
    <w:tblPr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rPr>
      <w:color w:val="404040"/>
    </w:rPr>
    <w:tblPr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rPr>
      <w:color w:val="404040"/>
    </w:rPr>
    <w:tblPr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tblPr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character" w:styleId="aa" w:customStyle="1">
    <w:name w:val="Текст сноски Знак"/>
    <w:link w:val="a9"/>
    <w:uiPriority w:val="99"/>
    <w:rPr>
      <w:sz w:val="18"/>
    </w:rPr>
  </w:style>
  <w:style w:type="character" w:styleId="a7" w:customStyle="1">
    <w:name w:val="Текст концевой сноски Знак"/>
    <w:link w:val="a6"/>
    <w:uiPriority w:val="99"/>
    <w:rPr>
      <w:sz w:val="20"/>
    </w:rPr>
  </w:style>
  <w:style w:type="paragraph" w:styleId="12" w:customStyle="1">
    <w:name w:val="Заголовок оглавления1"/>
    <w:uiPriority w:val="39"/>
    <w:unhideWhenUsed w:val="1"/>
    <w:pPr>
      <w:spacing w:after="160" w:line="259" w:lineRule="auto"/>
    </w:pPr>
    <w:rPr>
      <w:sz w:val="22"/>
      <w:szCs w:val="22"/>
      <w:lang w:eastAsia="en-US"/>
    </w:rPr>
  </w:style>
  <w:style w:type="character" w:styleId="apple-tab-span" w:customStyle="1">
    <w:name w:val="apple-tab-span"/>
    <w:basedOn w:val="a0"/>
  </w:style>
  <w:style w:type="paragraph" w:styleId="HTML">
    <w:name w:val="HTML Preformatted"/>
    <w:basedOn w:val="a"/>
    <w:link w:val="HTML0"/>
    <w:uiPriority w:val="99"/>
    <w:unhideWhenUsed w:val="1"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450213"/>
    <w:rPr>
      <w:rFonts w:ascii="Courier New" w:cs="Courier New" w:eastAsia="Times New Roman" w:hAnsi="Courier New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CV+OyaRKUCKhIkmFWkG+iEj41w==">CgMxLjAaIQoBMBIcChoIB0IWCgtDb3VyaWVyIE5ldxIHR3VuZ3N1aBohCgExEhwKGggHQhYKC0NvdXJpZXIgTmV3EgdHdW5nc3VoGiEKATISHAoaCAdCFgoLQ291cmllciBOZXcSB0d1bmdzdWgyDmgub2x0M2h2ZWx5dHUxMg5oLnA0c29ianRnajN0czgAciExc04taDN5X29KT2dYT1U4OGVkOHVwSTNFRnpMN1h0OW4=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2023-06-21T07:10:00Z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