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Юридическое заключение по комплекту документов ООО «ТехноЩит»</w:t>
      </w:r>
    </w:p>
    <w:p>
      <w:r>
        <w:t>Дата проверки: 08.09.2026. Дата заявления: 01.09.2026.</w:t>
      </w:r>
    </w:p>
    <w:p>
      <w:r>
        <w:t>Предмет: первичное получение лицензии ФСТЭК России на техническую защиту конфиденциальной информации; заявлены работы «а», «б», «г», «е» пункта 4 Положения № 79.</w:t>
      </w:r>
    </w:p>
    <w:p>
      <w:pPr>
        <w:pStyle w:val="Heading1"/>
      </w:pPr>
      <w:r>
        <w:t>Вывод</w:t>
      </w:r>
    </w:p>
    <w:p>
      <w:r>
        <w:t>Комплект не готов к подаче. В папке «Документы» обнаружены 37 файлов: 36 DOCX и одно изображение. Все восемь приложений по форме присутствуют, но значительная часть обязательных подтверждающих документов только названа в справках и описях. Не подтверждены аттестация, квалификация работников, поверка приборов, достаточность оснащения и права на весь состав ПО. Есть содержательные ошибки, которые не устраняются форматированием.</w:t>
      </w:r>
    </w:p>
    <w:p>
      <w:r>
        <w:t>Проверены тексты всех DOCX, таблицы и состав вложений, изображение сертификата, план этажа, официальные формы и нормативные тексты. В DOCX нет встроенных сканов подтверждений или пакетов электронной подписи. Наличие файла, указание номера документа и подлинность документа — разные результаты проверки. Отсутствие копии в папке не доказывает, что документ нигде не существует; оно означает, что представленный комплект этого не подтверждает.</w:t>
      </w:r>
    </w:p>
    <w:p>
      <w:r>
        <w:t>Проверка относится к комплектности для лицензирования и выявленным противоречиям. Осмотр оборудования, аттестационные испытания, проверка фактического трудоустройства и полная отдельная экспертиза пожарной безопасности, обработки ПДн и хозяйственных договоров не проводились. Без исходных подтверждений нельзя дать заключение «всё соответствует».</w:t>
      </w:r>
    </w:p>
    <w:p>
      <w:pPr>
        <w:pStyle w:val="Heading1"/>
      </w:pPr>
      <w:r>
        <w:t>1. Правовые основания</w:t>
      </w:r>
    </w:p>
    <w:p>
      <w:r>
        <w:t>Вид деятельности предусмотрен пунктом 5 части 1 статьи 12 Закона № 99-ФЗ. В файлах написано «подпункт 5 пункта 1» — ссылку следует исправить. Специальные требования и состав пакета устанавливает Положение № 79; форма заявления и восемь приложений — приказ ФСТЭК от 12.01.2023 № 3. Подробные ссылки, редакции и порядок подачи приведены в соседнем файле «Правовые основания.md».</w:t>
      </w:r>
    </w:p>
    <w:p>
      <w:r>
        <w:t xml:space="preserve">Основание комплектности: </w:t>
      </w:r>
      <w:hyperlink r:id="rId9">
        <w:r>
          <w:rPr>
            <w:color w:val="0563C1"/>
          </w:rPr>
          <w:t>пункты 5, 8 и 9 Положения № 79</w:t>
        </w:r>
      </w:hyperlink>
      <w:r>
        <w:t xml:space="preserve">. Структура форм: </w:t>
      </w:r>
      <w:hyperlink r:id="rId10">
        <w:r>
          <w:rPr>
            <w:color w:val="0563C1"/>
          </w:rPr>
          <w:t>заявление юридического лица по приказу № 3</w:t>
        </w:r>
      </w:hyperlink>
      <w:r>
        <w:t>.</w:t>
      </w:r>
    </w:p>
    <w:p>
      <w:r>
        <w:t>Наличие всех файлов из общей памятки № 0 не равно соблюдению пункта 8. Пожарные документы, сведения о доступности, договор на отходы и договор с заказчиком не заменяют отсутствующие документы по ТЗКИ. Решение о создании ООО не является его уставом. Копии устава и выписки ЕГРЮЛ нельзя объявлять обязательными приложениями только потому, что их включили в старую опись.</w:t>
      </w:r>
    </w:p>
    <w:p>
      <w:pPr>
        <w:pStyle w:val="Heading1"/>
      </w:pPr>
      <w:r>
        <w:t>2. Перечень для комплектования и результат сверки</w:t>
      </w:r>
    </w:p>
    <w:p>
      <w:r>
        <w:t>Нумерация подпунктов ниже относится к пункту 8 Положения № 79. Названия файлов сокращены; полный реестр сохранён отдельно.</w:t>
      </w:r>
    </w:p>
    <w:p>
      <w:pPr>
        <w:pStyle w:val="Heading2"/>
      </w:pPr>
      <w:r>
        <w:t>2.1. Заявление и опись — подпункт «а»</w:t>
      </w:r>
    </w:p>
    <w:p>
      <w:r>
        <w:t>Есть № 1, № 2 и № 31. В заявлении неверные ИНН/ОГРН, адрес адресата отличается от официального бланка, присутствует необоснованная пошлина, везде указано «на 1 л.». В официальном заявлении предусмотрены также другие сведения и копии по Положению № 79 отдельной позицией перед описью. В нашем списке этого блока нет.</w:t>
      </w:r>
    </w:p>
    <w:p>
      <w:r>
        <w:t>По экспортированным PDF формы № 1–8 занимают соответственно 2, 2, 5, 2, 1, 5, 1 и 1 лист — всего 19 листов самих форм, без заявления и подтверждений. Опись № 2 с итогом 15 документов / 37 листов не согласована с нынешним пакетом. В № 31 итоги обоснованно оставлены незаполненными до получения копий. Окончательные числа считать после комплектования и печати, а не по количеству файлов или строк.</w:t>
      </w:r>
    </w:p>
    <w:p>
      <w:pPr>
        <w:pStyle w:val="Heading2"/>
      </w:pPr>
      <w:r>
        <w:t>2.2. Кадровые подтверждения — подпункт «б»</w:t>
      </w:r>
    </w:p>
    <w:p>
      <w:r>
        <w:t>Есть сведения № 6 и форма № 24; приказ № 4 назначает Ковалева ответственным за организацию ТЗКИ. Нет самостоятельных копий трёх дипломов о высшем образовании, диплома Тарасенко о переподготовке, кадровых документов на трёх специалистов и подтверждений заявленного стажа. Отсутствует штатное расписание, необходимое для проверки описанного штата; его не следует представлять как отдельную безусловную строку пункта 8, если достаточные кадровые подтверждения представлены иным предусмотренным способом.</w:t>
      </w:r>
    </w:p>
    <w:p>
      <w:r>
        <w:t>Нужно получить документы на Ковалева, Смирнова и Тарасенко, подтверждающие основное место работы и стаж именно в соответствующей области. Уточнить полномочие Ковалева руководить лицензируемыми работами. Для переподготовки проверить не только надпись «512 часов», но и требуемую аудиторную продолжительность. Письмо № 7 о будущем приёме Котовой с 15.09.2026 не подтверждает наличие работника на дату заявления. Оно не противоречит само по себе наличию других трёх специалистов, но не заменяет их документы.</w:t>
      </w:r>
    </w:p>
    <w:p>
      <w:r>
        <w:t>Отсутствие профильного диплома директора само по себе не означает нарушение: в комплекте выбран вариант с уполномоченным руководителем работ. Общая фраза № 6 «все с высшим образованием в области ИБ» не совпадает с указанным у Тарасенко техническим образованием и переподготовкой.</w:t>
      </w:r>
    </w:p>
    <w:p>
      <w:pPr>
        <w:pStyle w:val="Heading2"/>
      </w:pPr>
      <w:r>
        <w:t>2.3. Права на нежилое помещение — подпункт «в»</w:t>
      </w:r>
    </w:p>
    <w:p>
      <w:r>
        <w:t>Есть договор аренды № 10 на 92 м². В нём назван обязательный акт передачи помещения, но такого файла нет. Подписи сторон оставлены пустыми. Нужен исполненный договор с приложениями и документ о передаче, предусмотренный самим договором. Уточнить индивидуализацию объекта и полномочия арендодателя. Представление копий либо реестровых сведений зависит от регистрации соответствующего права; наличие права не подтверждается одной строкой «аренда» в справке.</w:t>
      </w:r>
    </w:p>
    <w:p>
      <w:pPr>
        <w:pStyle w:val="Heading2"/>
      </w:pPr>
      <w:r>
        <w:t>2.4. Защищаемые помещения — подпункт «г»</w:t>
      </w:r>
    </w:p>
    <w:p>
      <w:r>
        <w:t>Есть № 25 и два паспорта в № 35. Нет копий аттестатов ЗП-2026-015 и ЗП-2026-016, хотя их номера внесены в форму. Нет сведений об утверждении аттестатов и паспортов; составление паспорта Ковалевым не заменяет утверждение. Раздел II формы № 2 о СЗИ не заполнен.</w:t>
      </w:r>
    </w:p>
    <w:p>
      <w:r>
        <w:t>Нужно пересмотреть, какие помещения действительно являются защищаемыми помещениями для конфиденциальных переговоров. В плане есть отдельная переговорная, а в форме названы серверная и архив. Само хранение конфиденциальных материалов не превращает архив автоматически в аттестованное помещение для переговоров. Согласовать назначение, план, паспорта и результаты аттестации; не присваивать вымышленные номера аттестатов.</w:t>
      </w:r>
    </w:p>
    <w:p>
      <w:pPr>
        <w:pStyle w:val="Heading2"/>
      </w:pPr>
      <w:r>
        <w:t>2.5. АС, ресурсы и техпроцесс — подпункт «д»</w:t>
      </w:r>
    </w:p>
    <w:p>
      <w:r>
        <w:t>Есть формы № 26–28 и акт № 36. Нет технического паспорта самой АС с приложениями и копии аттестата АС-2026-1145 либо предусмотренного сертификата на АС. Паспорт помещения № 35 не заменяет паспорт АС. План_этажа.png показывает помещения, сейф и камеры, но не размещение сервера, АРМ, МФУ, ИБП, основных и вспомогательных технических средств системы.</w:t>
      </w:r>
    </w:p>
    <w:p>
      <w:r>
        <w:t>Нужно подготовить паспорт и подробный план по фактической конфигурации и получить подтверждение оценки соответствия. Исправить акт классификации до согласования остальных сведений. В № 27 пусты разделы 2.7, 2.8, 3.2; раздел 2.6 описывает печать, но не правила сканирования и копирования. Требуется описать действительные процедуры удаления документов, уничтожения носителей и антивирусной защиты. № 28 содержит перечень ресурсов, но его полноту можно подтвердить только после сверки с паспортом АС.</w:t>
      </w:r>
    </w:p>
    <w:p>
      <w:pPr>
        <w:pStyle w:val="Heading2"/>
      </w:pPr>
      <w:r>
        <w:t>2.6. Права на ПО и базы данных — подпункт «е»</w:t>
      </w:r>
    </w:p>
    <w:p>
      <w:r>
        <w:t>Есть общий договор № 34, но нет идентифицированных лицензий/подтверждений предоставления прав на все экземпляры программ и базы данных. Договор упоминает четыре продукта; Dallas Lock и «Код-Скан» в нём отсутствуют. Для баз данных в № 26 документы о правах не указаны. Договор покупки оборудования не подтверждает автоматически права на любую программу, которую перечислили в справке.</w:t>
      </w:r>
    </w:p>
    <w:p>
      <w:r>
        <w:t>Нужны документы правообладателя/поставщика либо другие надлежащие основания использования, привязанные к версиям и экземплярам; для собственных баз — документы, подтверждающие соответствующее основание прав. Номера лицензий не выдумывать.</w:t>
      </w:r>
    </w:p>
    <w:p>
      <w:pPr>
        <w:pStyle w:val="Heading2"/>
      </w:pPr>
      <w:r>
        <w:t>2.7. Оборудование, метрология и права — подпункт «ж»</w:t>
      </w:r>
    </w:p>
    <w:p>
      <w:r>
        <w:t>Есть № 8, № 9, № 29, № 34 и изображение № 37. Нет самостоятельных документов о поверке/калибровке и маркировании названных приборов, акта передачи оборудования от 28.08.2026, подтверждений прав на все средства. Не заполнены заводские номера, характеристики, годы выпуска и значительная часть реквизитов.</w:t>
      </w:r>
    </w:p>
    <w:p>
      <w:r>
        <w:t xml:space="preserve">Сверять оснащение следует с </w:t>
      </w:r>
      <w:hyperlink r:id="rId11">
        <w:r>
          <w:rPr>
            <w:color w:val="0563C1"/>
          </w:rPr>
          <w:t>перечнем ФСТЭК от 10.08.2026</w:t>
        </w:r>
      </w:hyperlink>
      <w:r>
        <w:t>. В документах названы анализатор спектра и осциллограф; по файлам не подтверждён акустический измерительный комплект и другие функции, необходимые для всего заявленного объёма работ. Общие слова «анализатор трафика, сканеры» не подтверждают требуемые характеристики. Подробности сверки — в «Правовые основания.md».</w:t>
      </w:r>
    </w:p>
    <w:p>
      <w:r>
        <w:t>Необходимо сопоставить каждую применимую строку перечня с конкретным прибором/ПО, характеристиками, поверкой, правами и строкой формы № 6. Отдельно установить применимость условных позиций. Нельзя подменять подтверждённое соответствие совпадением названия прибора.</w:t>
      </w:r>
    </w:p>
    <w:p>
      <w:pPr>
        <w:pStyle w:val="Heading2"/>
      </w:pPr>
      <w:r>
        <w:t>2.8. Техническая документация — подпункт «з»</w:t>
      </w:r>
    </w:p>
    <w:p>
      <w:r>
        <w:t>В № 30 перечислены лишь пять наименований. Самих стандартов и требуемого комплекта технологической документации в исходной папке нет; нет подтверждений законного получения документов ДСП. Номера по перечню ФСТЭК и учётные номера не заполнены.</w:t>
      </w:r>
    </w:p>
    <w:p>
      <w:r>
        <w:t xml:space="preserve">Нужна предметная сверка с </w:t>
      </w:r>
      <w:hyperlink r:id="rId12">
        <w:r>
          <w:rPr>
            <w:color w:val="0563C1"/>
          </w:rPr>
          <w:t>перечнем ФСТЭК от 10.12.2024</w:t>
        </w:r>
      </w:hyperlink>
      <w:r>
        <w:t>, с учётом применимости и последующих изменений нормативных актов. Скачанные в ходе проверки правовые тексты помогают провести сверку, но не подтверждают автоматически наличие полного комплекта эксплуатационных документов, стандартов и законно полученных ДСП.</w:t>
      </w:r>
    </w:p>
    <w:p>
      <w:pPr>
        <w:pStyle w:val="Heading2"/>
      </w:pPr>
      <w:r>
        <w:t>2.9. Производственный контроль — подпункт «и»</w:t>
      </w:r>
    </w:p>
    <w:p>
      <w:r>
        <w:t>Работы по мониторингу «в» не заявлены. Отсутствие специального подтверждения системы производственного контроля по этому подпункту не отмечается как недостающий обязательный документ для нынешнего объёма. При расширении заявления применимость проверяется заново.</w:t>
      </w:r>
    </w:p>
    <w:p>
      <w:pPr>
        <w:pStyle w:val="Heading2"/>
      </w:pPr>
      <w:r>
        <w:t>2.10. Подписи и заверение</w:t>
      </w:r>
    </w:p>
    <w:p>
      <w:r>
        <w:t>В исходных документах оставлены линии подписи. После согласования фактов документы должны быть подписаны, а копии заверены в предусмотренном порядке. Блок приёма в официальной описи заполняет лицензирующий орган. Изображение печати и вписанная фамилия не подменяют подпись или заверение.</w:t>
      </w:r>
    </w:p>
    <w:p>
      <w:pPr>
        <w:pStyle w:val="Heading1"/>
      </w:pPr>
      <w:r>
        <w:t>3. Содержательные ошибки, требующие исправления</w:t>
      </w:r>
    </w:p>
    <w:p>
      <w:pPr>
        <w:pStyle w:val="Heading2"/>
      </w:pPr>
      <w:r>
        <w:t>Реквизиты организации</w:t>
      </w:r>
    </w:p>
    <w:p>
      <w:r>
        <w:t>ИНН 6165012345 не проходит контроль: для первых девяти цифр расчётная последняя цифра — 4, указана 5. ОГРН 1256196012345 также не проходит контроль: расчётная последняя цифра — 6. Это результат арифметической проверки, а не предложение заменить цифры и считать номер зарегистрированным. Нужно взять действительные реквизиты из официальных регистрационных данных и согласовать все файлы.</w:t>
      </w:r>
    </w:p>
    <w:p>
      <w:r>
        <w:t xml:space="preserve">Файл № 20 — редактируемый текст с пустой подписью, а не полученная из ФНС подписанная выписка. Его наличие не подтверждает регистрацию. Свидетельство о постановке на учёт с датой 20.08.2026 в № 1 также требует исправления: ФНС прекратила выдачу таких свидетельств с 01.01.2026; используются выписки. </w:t>
      </w:r>
      <w:hyperlink r:id="rId13">
        <w:r>
          <w:rPr>
            <w:color w:val="0563C1"/>
          </w:rPr>
          <w:t>Разъяснение ФНС</w:t>
        </w:r>
      </w:hyperlink>
      <w:r>
        <w:t>.</w:t>
      </w:r>
    </w:p>
    <w:p>
      <w:r>
        <w:t xml:space="preserve">Адрес ФСТЭК в № 1 — Стромынка, 18, стр. 5 — не соответствует адресу в официальной форме: Старая Басманная, 17, Москва, 105066. Использовать реквизиты официального бланка и проверить канал подачи. </w:t>
      </w:r>
      <w:hyperlink r:id="rId10">
        <w:r>
          <w:rPr>
            <w:color w:val="0563C1"/>
          </w:rPr>
          <w:t>Форма заявления</w:t>
        </w:r>
      </w:hyperlink>
      <w:r>
        <w:t>.</w:t>
      </w:r>
    </w:p>
    <w:p>
      <w:pPr>
        <w:pStyle w:val="Heading2"/>
      </w:pPr>
      <w:r>
        <w:t>Пошлина и порядок подачи</w:t>
      </w:r>
    </w:p>
    <w:p>
      <w:r>
        <w:t xml:space="preserve">В № 0, № 1, № 2 и № 31 указана пошлина 7 500 рублей. Для заявления на ТЗКИ от 01.09.2026 она не требуется: освобождение действует по 31.12.2029. Платёжное поручение не следует включать в обязательный перечень; реальность ранее произведённого платежа отдельно не установлена. </w:t>
      </w:r>
      <w:hyperlink r:id="rId14">
        <w:r>
          <w:rPr>
            <w:color w:val="0563C1"/>
          </w:rPr>
          <w:t>Пункт 9 ПП № 353</w:t>
        </w:r>
      </w:hyperlink>
      <w:r>
        <w:t>.</w:t>
      </w:r>
    </w:p>
    <w:p>
      <w:r>
        <w:t>Срок до 45 рабочих дней в памятке сам по себе верен, но относится к части 1 статьи 14 Закона № 99-ФЗ, а не к указанной там части 5. Электронную подачу через Госуслуги нельзя обещать без подтверждения доступности именно этой услуги; специальный пункт 12(1) предусматривает бумажную подачу или заказную почту.</w:t>
      </w:r>
    </w:p>
    <w:p>
      <w:pPr>
        <w:pStyle w:val="Heading2"/>
      </w:pPr>
      <w:r>
        <w:t>Классификация и аттестация АС</w:t>
      </w:r>
    </w:p>
    <w:p>
      <w:r>
        <w:t xml:space="preserve">В № 36 указано «3Г» и «4-й класс защищённости ИСПДн». В таблице третьей группы РД Гостехкомиссии от 30.03.1992 предусмотрены 3А и 3Б, а не 3Г; автоматически выбирать один из них для многопользовательской системы нельзя. </w:t>
      </w:r>
      <w:hyperlink r:id="rId15">
        <w:r>
          <w:rPr>
            <w:color w:val="0563C1"/>
          </w:rPr>
          <w:t>Таблица первичного РД</w:t>
        </w:r>
      </w:hyperlink>
      <w:r>
        <w:t>.</w:t>
      </w:r>
    </w:p>
    <w:p>
      <w:r>
        <w:t xml:space="preserve">Постановление № 1119 устанавливает уровни защищённости ПДн, а не такую классификацию ИСПДн. Чтобы выбрать уровень, необходимо обосновать категории и число субъектов, тип актуальных угроз и условия обработки; этих обоснований в акте нет. </w:t>
      </w:r>
      <w:hyperlink r:id="rId16">
        <w:r>
          <w:rPr>
            <w:color w:val="0563C1"/>
          </w:rPr>
          <w:t>Пункты 5–12 требований № 1119</w:t>
        </w:r>
      </w:hyperlink>
      <w:r>
        <w:t>.</w:t>
      </w:r>
    </w:p>
    <w:p>
      <w:r>
        <w:t>Фраза в акте «подлежит аттестации» не доказывает её завершение; при этом № 26 уже заявляет наличие аттестата. Нужны сам документ и согласованная последовательность оформления.</w:t>
      </w:r>
    </w:p>
    <w:p>
      <w:pPr>
        <w:pStyle w:val="Heading2"/>
      </w:pPr>
      <w:r>
        <w:t>Методики и средства защиты</w:t>
      </w:r>
    </w:p>
    <w:p>
      <w:r>
        <w:t xml:space="preserve">В № 30 ошибочна дата Методики оценки угроз: правильная дата утверждения — 05.02.2021, а не 18.02.2021. Методика 2008 года больше не применяется для новой оценки угроз после утверждения Методики 2021 года; оговорка о сохранении ранее утверждённых моделей не обосновывает её использование для создаваемой АС 2026 года. Модель нарушителя № 19 не заменяет полную оценку угроз. </w:t>
      </w:r>
      <w:hyperlink r:id="rId17">
        <w:r>
          <w:rPr>
            <w:color w:val="0563C1"/>
          </w:rPr>
          <w:t>Первичный текст Методики, раздел 1</w:t>
        </w:r>
      </w:hyperlink>
      <w:r>
        <w:t>.</w:t>
      </w:r>
    </w:p>
    <w:p>
      <w:r>
        <w:t xml:space="preserve">Документы связывают Astra Linux с Secret Net Studio без уточнения версии и архитектуры. В опубликованных требованиях производителя к Secret Net Studio 8.10 перечислены Windows; для Linux нельзя автоматически считать установленным тот же клиент. Проверить конкретный продукт, версию, документацию совместимости и лицензии. </w:t>
      </w:r>
      <w:hyperlink r:id="rId18">
        <w:r>
          <w:rPr>
            <w:color w:val="0563C1"/>
          </w:rPr>
          <w:t>Требования производителя</w:t>
        </w:r>
      </w:hyperlink>
      <w:r>
        <w:t>.</w:t>
      </w:r>
    </w:p>
    <w:p>
      <w:r>
        <w:t>В № 9 утверждается, что копии сертификатов прилагаются, однако пяти соответствующих копий нет. № 37 относится к другому продукту — «Код-Скан». Перенесённые номера сертификатов не проверены по реестрам и производителям; срок действия сам по себе не подтверждает применимость сертификата к версии и экземпляру. Обозначение органа сертификации и пустая подпись на изображении № 37 не позволяют принять его за подтверждённый оригинал сертификата. Нужны действительные документы и проверка их реквизитов, а не подстановка найденных в интернете сертификатов других исполнений.</w:t>
      </w:r>
    </w:p>
    <w:p>
      <w:pPr>
        <w:pStyle w:val="Heading2"/>
      </w:pPr>
      <w:r>
        <w:t>Устав, договор и организационные акты</w:t>
      </w:r>
    </w:p>
    <w:p>
      <w:r>
        <w:t xml:space="preserve">Устав № 21 не содержит полноценного порядка принятия решений органами общества, хранения документов и предоставления информации. Краткий текст нельзя признать достаточным уставом только по заголовку. </w:t>
      </w:r>
      <w:hyperlink r:id="rId19">
        <w:r>
          <w:rPr>
            <w:color w:val="0563C1"/>
          </w:rPr>
          <w:t>Пункт 2 статьи 12 Закона № 14-ФЗ</w:t>
        </w:r>
      </w:hyperlink>
      <w:r>
        <w:t>.</w:t>
      </w:r>
    </w:p>
    <w:p>
      <w:r>
        <w:t>В преамбуле договора № 22 заявлено действие «на основании ... лицензии», но в скобках приведено заявление, а пункт 1.2 говорит об ожидании лицензии. Убрать утверждение об уже полученной лицензии; согласовать условие начала лицензируемых работ с фактическим предоставлением лицензии. Заявление не является лицензией. Этот договор не закрывает пробелы лицензионного пакета.</w:t>
      </w:r>
    </w:p>
    <w:p>
      <w:r>
        <w:t>В № 19 и № 23 указано утверждение приказами № 4 и № 6 от 01.09.2026, но отдельных таких приказов среди файлов нет. Списки доступа и журналы носителей также упомянуты без самостоятельных документов. Получить/оформить их в составе реальной организационной системы; не выдавать каждый такой документ за отдельный обязательный пункт подачи.</w:t>
      </w:r>
    </w:p>
    <w:p>
      <w:pPr>
        <w:pStyle w:val="Heading1"/>
      </w:pPr>
      <w:r>
        <w:t>4. Что запросить для устранения пробелов</w:t>
      </w:r>
    </w:p>
    <w:p>
      <w:r>
        <w:t>1. Официальные регистрационные сведения и действительный устав; подтверждённые реквизиты вместо исправления контрольных цифр наугад.</w:t>
      </w:r>
    </w:p>
    <w:p>
      <w:r>
        <w:t>2. Дипломы Ковалева, Смирнова и Тарасенко, документ о переподготовке и её аудиторной продолжительности, кадровые основания и подтверждение стажа каждого; сведения о штатном расписании и полномочиях руководителя работ.</w:t>
      </w:r>
    </w:p>
    <w:p>
      <w:r>
        <w:t>3. Подписанный договор аренды и предусмотренный им акт передачи; согласованные паспорта и действительные аттестаты защищаемых помещений.</w:t>
      </w:r>
    </w:p>
    <w:p>
      <w:r>
        <w:t>4. Техпаспорт АС с приложениями, подробный план технических средств, корректный акт классификации, документ об оценке соответствия; завершённый техпроцесс и согласованный перечень ресурсов.</w:t>
      </w:r>
    </w:p>
    <w:p>
      <w:r>
        <w:t>5. Спецификации оборудования, акт передачи, поверки/калибровки и маркирование, документы о правах на весь состав оборудования, ПО и БД, проверяемые сведения о сертификации.</w:t>
      </w:r>
    </w:p>
    <w:p>
      <w:r>
        <w:t>6. Недостающие средства и документацию по применимым строкам перечней ФСТЭК; подтверждения законного получения ДСП, если такие документы требуются.</w:t>
      </w:r>
    </w:p>
    <w:p>
      <w:r>
        <w:t>7. После устранения пробелов — обновлённое заявление, единая согласованная опись, фактические листы, подписи и заверение.</w:t>
      </w:r>
    </w:p>
    <w:p>
      <w:r>
        <w:t>Перечисленные личные дипломы, индивидуальные аттестаты и документы поставщиков нельзя заменить случайными скачанными образцами. Они должны относиться к указанным людям, помещениям, системе и экземплярам оборудования.</w:t>
      </w:r>
    </w:p>
    <w:p>
      <w:pPr>
        <w:pStyle w:val="Heading1"/>
      </w:pPr>
      <w:r>
        <w:t>5. Результат для роли юриста</w:t>
      </w:r>
    </w:p>
    <w:p>
      <w:r>
        <w:t>Подготовлен перечень необходимых групп документов, установлены правовые основания, выполнена сверка наличия и выявлены несоответствия. Формулировка результата: «Представленный комплект проверен. Все восемь форм приложений имеются, однако комплектность и соответствие лицензионным требованиям не подтверждены до предоставления недостающих копий и устранения перечисленных замечаний».</w:t>
      </w:r>
    </w:p>
    <w:p>
      <w:r>
        <w:t>Рабочая памятка № 0 нуждается в актуализации: она смешивает обязательный пакет и хозяйственные документы, указывает устаревшую пошлину и требует повторной проверки порядка подачи и сроков. Проверенные правила приведены в «Правовые основания.md». До завершения корректировок не использовать № 0 и № 2 как окончательный юридический перечень.</w:t>
      </w:r>
    </w:p>
    <w:p>
      <w:r>
        <w:t>Исходные документы в этой проверке не изменялись. Скачать нормативный текст и подтвердить подлинность документов конкретной организации — разные действия. Происхождение скачанных файлов, ограничения доступа и контрольные суммы зафиксированы в каталоге источников.</w:t>
      </w:r>
    </w:p>
    <w:sectPr w:rsidR="00FC693F" w:rsidRPr="0006063C" w:rsidSect="00034616">
      <w:footerReference w:type="default" r:id="rId20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25798/ccb790cdd8f7b463193a94574f58e9df62d94699/" TargetMode="External"/><Relationship Id="rId10" Type="http://schemas.openxmlformats.org/officeDocument/2006/relationships/hyperlink" Target="https://www.consultant.ru/document/cons_doc_LAW_439377/9fd3bf2aa706ce122f1d41921d022368097afabe/" TargetMode="External"/><Relationship Id="rId11" Type="http://schemas.openxmlformats.org/officeDocument/2006/relationships/hyperlink" Target="https://www.consultant.ru/document/cons_doc_LAW_541915/" TargetMode="External"/><Relationship Id="rId12" Type="http://schemas.openxmlformats.org/officeDocument/2006/relationships/hyperlink" Target="https://www.consultant.ru/document/cons_doc_LAW_494779/" TargetMode="External"/><Relationship Id="rId13" Type="http://schemas.openxmlformats.org/officeDocument/2006/relationships/hyperlink" Target="https://www.nalog.gov.ru/rn29/ifns/imns29_83/info/16595497/" TargetMode="External"/><Relationship Id="rId14" Type="http://schemas.openxmlformats.org/officeDocument/2006/relationships/hyperlink" Target="https://www.consultant.ru/document/cons_doc_LAW_411447/92d969e26a4326c5d02fa79b8f9cf4994ee5633b/" TargetMode="External"/><Relationship Id="rId15" Type="http://schemas.openxmlformats.org/officeDocument/2006/relationships/hyperlink" Target="https://dokipedia.ru/paragraph/5182727/49" TargetMode="External"/><Relationship Id="rId16" Type="http://schemas.openxmlformats.org/officeDocument/2006/relationships/hyperlink" Target="https://www.consultant.ru/document/cons_doc_LAW_137356/8c86cf6357879e861790a8a7ca8bea4227d56c72/" TargetMode="External"/><Relationship Id="rId17" Type="http://schemas.openxmlformats.org/officeDocument/2006/relationships/hyperlink" Target="https://pravo.ppt.ru/metodika/246837" TargetMode="External"/><Relationship Id="rId18" Type="http://schemas.openxmlformats.org/officeDocument/2006/relationships/hyperlink" Target="https://www.securitycode.net/products/secret-net-studio/" TargetMode="External"/><Relationship Id="rId19" Type="http://schemas.openxmlformats.org/officeDocument/2006/relationships/hyperlink" Target="https://www.consultant.ru/document/cons_doc_LAW_17819/dd7be15e0bdc4a15af33cdc98ad82e3a2386970f/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