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«ДОНСКОЙ ГОСУДАРСТВЕННЫЙ ТЕХНИЧЕСКИЙ УНИВЕРСИТЕТ»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(ДГТУ)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Факультет «Информатика и вычислительная техника»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«Кибербезопасность информационных систем»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Дисциплина «Техническая защита информации»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30"/>
        </w:rPr>
        <w:t>ЛАБОРАТОРНАЯ РАБОТА № 4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на тему «Расчётный метод оценки защищённости речевой информации от утечки за счёт НЧ акустоэлектрических преобразований»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Вариант № 1 — ALCATEL 4028 IP Touch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Выполнил обучающийся гр. ВКБ53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Ковалев Д.П.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Проверили: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К.т.н., доцент кафедры «КБИС» Короченцев Д.А.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Доцент кафедры «КБИС» Дубровина А.И.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Ростов-на-Дону, 2026</w:t>
      </w:r>
    </w:p>
    <w:p>
      <w:r>
        <w:br w:type="page"/>
      </w:r>
    </w:p>
    <w:p>
      <w:pPr>
        <w:spacing w:line="360" w:lineRule="auto" w:after="120" w:before="80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Веллари).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Δi в каждой из пяти октавных полос. Нормы противодействия: Δн = 0,3; Wн = 0,3.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Порядок обработки результатов измерений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Уровень информативного сигнала: Uс.i = √(U²сшi − U²шi). Если Uсшi − Uшi &lt; 1 дБ, то Uсi[дБ] = Uсшi[дБ] − 7.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Степень превышения давления над нормой: Ki = 10^((Li − Lнi)/20).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Приведённый сигнал: Uс.прив.i = Uсi / Ki.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Нормированный шум Uш.н.окт.i — по табл. 3.4 (вид линии и тип подключения).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Отношение «сигнал/шум»: Δi = Uс.прив.i / Uш.н.окт.i.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При Δi &gt; Δн рассчитывается словесная разборчивость Wc; при Wc ≤ Wн ТС соответствует нормам.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Оценка на границе КЗ: Kл.i = U1i / U2i, Δ*л.i = Δi / Kл.i, затем W*c. Защита эффективна, если W*c ≤ Wн = 0,3.</w:t>
      </w:r>
    </w:p>
    <w:p>
      <w:r>
        <w:br w:type="page"/>
      </w:r>
    </w:p>
    <w:p>
      <w:pPr>
        <w:spacing w:line="360" w:lineRule="auto" w:after="120" w:before="16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Протокол инструментально-расчётной оценки защищённости помещения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контракта № 55/1, заключённого с ООО «Тантал»,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(СИ) ВТСС, предназначенных для эксплуатации в защищаемом помещении (ЗП) — «Зал для переговоров», А-101, г. Ростов-на-Дону, ул. Строителей, д.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СИ — определение соответствия величин «опасных» сигналов, возникающих в ВТСС за счёт эффекта АЭП, заданным нормам. Вид исследований — аттестационные. 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установлен громкоговоритель системы звукоусиления, поэтому нормированные уровни речевого сигнала приняты для случая наличия устройств звукоусиления (Lнi = 80, 80, 75, 70, 67 дБ).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Контрольно-измерительная аппаратура: программно-аппаратный комплекс «Талис-НЧ», зав. № 145ХМ854, свидетельство о поверке № 59 от 29.08.2016.</w:t>
      </w:r>
    </w:p>
    <w:p>
      <w:pPr>
        <w:spacing w:line="360" w:lineRule="auto" w:after="40" w:before="160"/>
        <w:jc w:val="center"/>
      </w:pPr>
      <w:r>
        <w:rPr>
          <w:rFonts w:ascii="Times New Roman" w:hAnsi="Times New Roman" w:cs="Times New Roman"/>
          <w:b/>
          <w:i w:val="0"/>
          <w:sz w:val="26"/>
        </w:rPr>
        <w:t>Результаты специальных исследований телефонного аппарата ALCATEL 4028 IP Touch (зав. № 238549)</w:t>
      </w:r>
    </w:p>
    <w:p>
      <w:pPr>
        <w:spacing w:line="360" w:lineRule="auto" w:after="40" w:before="0"/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Таблица результатов для рабочего режима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Вид линии (линия связи – 1; линия электропитания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Использование средств защиты (Да – 1; Нет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1.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 октавы,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Нормир. уровень звук. давл. Lнi,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Измер. уровень звук. давл. Li,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«сигнал+шум» Uсшi,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шума Uшi,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у точки T1, U1i,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на границе КЗ T2, U2i, мкВ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98,00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125,00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41,20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97,50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98,00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52,40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99,00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220,40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125,10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96,80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115,50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25,20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91,20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186,30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55,10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2. Расчёт уровня информативного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превыш. давл. над нормой Ki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Uс.прив.i, мкВ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1,778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1,122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1,380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7,9433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0,1737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1,585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1,413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0,719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7,4989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0,0958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2,818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1,259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2,522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15,8489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0,1591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3,981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1,122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3,820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21,8776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0,1746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8,913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1,122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8,842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16,2181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0,5452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3. Расчёт отношения «сигнал/шум» и словесной разборчивости речи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несимметр.,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цепи питания,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 для расчёта,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Δi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Wc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3,1579</w:t>
            </w:r>
          </w:p>
        </w:tc>
        <w:tc>
          <w:tcPr>
            <w:tcW w:type="dxa" w:w="1384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0,9763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1,4095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1,9642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1,7816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4,6596</w:t>
            </w:r>
          </w:p>
        </w:tc>
        <w:tc>
          <w:tcPr>
            <w:tcW w:type="dxa" w:w="1384"/>
            <w:vMerge/>
          </w:tcPr>
          <w:p/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4. Оценка на границе контролируемой 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затухания в линии Kл.i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на границе КЗ Δ*л.i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на границе КЗ W*c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3,0340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1,0408</w:t>
            </w:r>
          </w:p>
        </w:tc>
        <w:tc>
          <w:tcPr>
            <w:tcW w:type="dxa" w:w="2422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0,8700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1,8702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0,7537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1,7618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1,1149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4,5833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0,3887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3,3811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1,3781</w:t>
            </w:r>
          </w:p>
        </w:tc>
        <w:tc>
          <w:tcPr>
            <w:tcW w:type="dxa" w:w="2422"/>
            <w:vMerge/>
          </w:tcPr>
          <w:p/>
        </w:tc>
      </w:tr>
    </w:tbl>
    <w:p>
      <w:pPr>
        <w:spacing w:line="360" w:lineRule="auto" w:after="120" w:before="200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Исследование ВТСС «ALCATEL 4028 IP Touch» проведено для типа линии «линия связи», симметричное подключение ТСР, средства защиты не применяются. Отношение «сигнал/шум» превышает норму Δн = 0,3 в октавах 275, 525, 1025, 2025, 4025 Гц (Δmax = 4,660); словесная разборчивость Wc = 0,976 &gt; Wн = 0,3. На границе КЗ с учётом затухания линии Δ*max = 1,378 &gt; 0,3, W*c = 0,870 &gt; Wн = 0,3. ВТСС не соответствует нормам противодействия — существует возможность утечки речевой информации по каналу НЧ АЭП.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Рекомендации: применить фильтры низких частот (ФНЧ) в линии; проводить линейное зашумление сертифицированными генераторами шума; использовать экранированный кабель и надёжное заземление корпусов; установить устройства защиты, не пропускающие информативный сигнал в линию; на время переговоров отключать ВТСС от линии с видимым разрывом либо увеличить радиус КЗ.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 Ковалев Д.П.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23.10.2026</w:t>
      </w:r>
    </w:p>
    <w:p>
      <w:pPr>
        <w:spacing w:line="360" w:lineRule="auto" w:after="120" w:before="20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Контрольные вопросы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1. В чём заключается эффект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2. Какие физические эффекты лежат в основе АЭП исследуемого технического средства?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исследуемого ВТСС (ALCATEL 4028 IP Touch) основными являются электродинамический и электромагнитный эффекты (динамик и электромеханический вызывной узел телефонного аппарата обратимы и работают как микрофон).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3. Какие устройства с акустоэлектрическим эффектом могут входить в состав ВТСС?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акустопреобразовательным эффектом.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4. В чём заключается эффект модуляционного акустоэлектрического преобразования?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составе ряда ТС штатно работают автогенераторы. Акустическое воздействие на их элементы изменяет амплитуду и/или фазу колебаний (модуляция); промодулированные колебания излучаются или распространяются по линиям, образуя модуляционные каналы АЭП.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5. По какому признаку делается вывод о наличии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Эффект АЭП на i-й частоте считается выявленным, если Uсшi − Uшi &gt;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6. Если акустоэлектрические преобразования обнаружены, как оценить их опасность?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Рассчитывается отношение «сигнал/шум» Δi и сравнивается с Δн = 0,3. При невыполнении нормы рассчитывается словесная разборчивость Wc, а с учётом затухания линии — отношение на границе КЗ Δ*л.i и разборчивость W*c. Опасность оценивается по превышению Δн и Wн = 0,3.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7. Как осуществляется перехват речевого сигнала в акустоэлектрическом канале?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Дальность перехвата ограничена только протяжённостью линии.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