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«ДОНСКОЙ ГОСУДАРСТВЕННЫЙ ТЕХНИЧЕСКИЙ УНИВЕРСИТЕТ»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(ДГТУ)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Факультет «Информатика и вычислительная техника»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«Кибербезопасность информационных систем»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Дисциплина «Техническая защита информации»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30"/>
        </w:rPr>
        <w:t>ЛАБОРАТОРНАЯ РАБОТА № 4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на тему «Расчётный метод оценки защищённости речевой информации от утечки за счёт НЧ акустоэлектрических преобразований»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Вариант № 6 — Астра-531АК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Выполнил обучающийся гр. ВКБ53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Ковалев Д.П.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Проверили: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К.т.н., доцент кафедры «КБИС» Короченцев Д.А.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Доцент кафедры «КБИС» Дубровина А.И.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Ростов-на-Дону, 2026</w:t>
      </w:r>
    </w:p>
    <w:p>
      <w:r>
        <w:br w:type="page"/>
      </w:r>
    </w:p>
    <w:p>
      <w:pPr>
        <w:spacing w:line="360" w:lineRule="auto" w:after="120" w:before="80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Веллари).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Δi в каждой из пяти октавных полос. Нормы противодействия: Δн = 0,3; Wн = 0,3.</w:t>
      </w:r>
    </w:p>
    <w:p>
      <w:pPr>
        <w:spacing w:line="360" w:lineRule="auto" w:after="120" w:before="16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Порядок обработки результатов измерений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Уровень информативного сигнала: Uс.i = √(U²сшi − U²шi). Если Uсшi − Uшi &lt; 1 дБ, то Uсi[дБ] = Uсшi[дБ] − 7.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Степень превышения давления над нормой: Ki = 10^((Li − Lнi)/20).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Приведённый сигнал: Uс.прив.i = Uсi / Ki.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Нормированный шум Uш.н.окт.i — по табл. 3.4 (вид линии и тип подключения).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Отношение «сигнал/шум»: Δi = Uс.прив.i / Uш.н.окт.i.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При Δi &gt; Δн рассчитывается словесная разборчивость Wc; при Wc ≤ Wн ТС соответствует нормам.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Оценка на границе КЗ: Kл.i = U1i / U2i, Δ*л.i = Δi / Kл.i, затем W*c. Защита эффективна, если W*c ≤ Wн = 0,3.</w:t>
      </w:r>
    </w:p>
    <w:p>
      <w:r>
        <w:br w:type="page"/>
      </w:r>
    </w:p>
    <w:p>
      <w:pPr>
        <w:spacing w:line="360" w:lineRule="auto" w:after="120" w:before="16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Протокол инструментально-расчётной оценки защищённости помещения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контракта № 55/1, заключённого с ООО «Тантал»,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(СИ) ВТСС, предназначенных для эксплуатации в защищаемом помещении (ЗП) — «Зал для переговоров», А-101, г. Ростов-на-Дону, ул. Строителей, д. 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СИ — определение соответствия величин «опасных» сигналов, возникающих в ВТСС за счёт эффекта АЭП, заданным нормам. Вид исследований — аттестационные. 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установлен громкоговоритель системы звукоусиления, поэтому нормированные уровни речевого сигнала приняты для случая наличия устройств звукоусиления (Lнi = 80, 80, 75, 70, 67 дБ).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Контрольно-измерительная аппаратура: программно-аппаратный комплекс «Талис-НЧ», зав. № 145ХМ854, свидетельство о поверке № 59 от 29.08.2016.</w:t>
      </w:r>
    </w:p>
    <w:p>
      <w:pPr>
        <w:spacing w:line="360" w:lineRule="auto" w:after="40" w:before="160"/>
        <w:jc w:val="center"/>
      </w:pPr>
      <w:r>
        <w:rPr>
          <w:rFonts w:ascii="Times New Roman" w:hAnsi="Times New Roman" w:cs="Times New Roman"/>
          <w:b/>
          <w:i w:val="0"/>
          <w:sz w:val="26"/>
        </w:rPr>
        <w:t>Результаты специальных исследований датчика разбития стекла "Астра-531АК"</w:t>
      </w:r>
    </w:p>
    <w:p>
      <w:pPr>
        <w:spacing w:line="360" w:lineRule="auto" w:after="40" w:before="0"/>
        <w:jc w:val="center"/>
      </w:pPr>
      <w:r>
        <w:rPr>
          <w:rFonts w:ascii="Times New Roman" w:hAnsi="Times New Roman" w:cs="Times New Roman"/>
          <w:b w:val="0"/>
          <w:i/>
          <w:sz w:val="28"/>
        </w:rPr>
        <w:t>Таблица результатов для рабочего режима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Вид линии (линия связи – 1; линия электропитания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Использование средств защиты (Да – 1; Нет – 2)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2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1.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 октавы,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Нормир. уровень звук. давл. Lнi,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Измер. уровень звук. давл. Li,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«сигнал+шум» Uсшi,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Напряжение шума Uшi, дБ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у точки T1, U1i,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Напряж. в линии на границе КЗ T2, U2i, мкВ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92,14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69,70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345,80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12,50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100,20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44,80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14,80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361,22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11,30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95,40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59,70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18,60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435,91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32,10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94,32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55,40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16,90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489,50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11,50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97,21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61,20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12,40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253,11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18,91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2. Расчёт уровня информативного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Uсi, мкВ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превыш. давл. над нормой Ki</w:t>
            </w:r>
          </w:p>
        </w:tc>
        <w:tc>
          <w:tcPr>
            <w:tcW w:type="dxa" w:w="1615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Uс.прив.i, мкВ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3054,921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5,957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3054,915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4,0458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755,0908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173,780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5,495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173,693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10,2329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16,9739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966,051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8,511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966,013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10,4713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92,2536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588,844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6,998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588,802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16,4437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35,8071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1148,154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4,169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1148,146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32,3966</w:t>
            </w:r>
          </w:p>
        </w:tc>
        <w:tc>
          <w:tcPr>
            <w:tcW w:type="dxa" w:w="16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35,4403</w:t>
            </w:r>
          </w:p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3. Расчёт отношения «сигнал/шум» и словесной разборчивости речи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несимметр.,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Uш.н.окт цепи питания,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Uш для расчёта, мкВ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Δi</w:t>
            </w:r>
          </w:p>
        </w:tc>
        <w:tc>
          <w:tcPr>
            <w:tcW w:type="dxa" w:w="1384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Wc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1,200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151,000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5,0006</w:t>
            </w:r>
          </w:p>
        </w:tc>
        <w:tc>
          <w:tcPr>
            <w:tcW w:type="dxa" w:w="1384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0,9924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74,000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0,2294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0,081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1,700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20,500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4,5002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0,098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2,100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7,7842</w:t>
            </w:r>
          </w:p>
        </w:tc>
        <w:tc>
          <w:tcPr>
            <w:tcW w:type="dxa" w:w="1384"/>
            <w:vMerge/>
          </w:tcPr>
          <w:p/>
        </w:tc>
      </w:tr>
      <w:tr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13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35,4403</w:t>
            </w:r>
          </w:p>
        </w:tc>
        <w:tc>
          <w:tcPr>
            <w:tcW w:type="dxa" w:w="1384"/>
            <w:vMerge/>
          </w:tcPr>
          <w:p/>
        </w:tc>
      </w:tr>
    </w:tbl>
    <w:p>
      <w:pPr>
        <w:spacing w:line="360" w:lineRule="auto" w:after="40" w:before="120"/>
        <w:jc w:val="both"/>
      </w:pPr>
      <w:r>
        <w:rPr>
          <w:rFonts w:ascii="Times New Roman" w:hAnsi="Times New Roman" w:cs="Times New Roman"/>
          <w:b w:val="0"/>
          <w:i/>
          <w:sz w:val="28"/>
        </w:rPr>
        <w:t>Таблица 4. Оценка на границе контролируемой 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Среднегеометр. частота, Гц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Коэф. затухания в линии Kл.i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Отношение «сигнал/шум» на границе КЗ Δ*л.i</w:t>
            </w:r>
          </w:p>
        </w:tc>
        <w:tc>
          <w:tcPr>
            <w:tcW w:type="dxa" w:w="2422"/>
            <w:vAlign w:val="center"/>
            <w:shd w:val="clear" w:fill="D9D9D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Словесная разборчивость на границе КЗ W*c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27,6640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0,1808</w:t>
            </w:r>
          </w:p>
        </w:tc>
        <w:tc>
          <w:tcPr>
            <w:tcW w:type="dxa" w:w="2422"/>
            <w:vMerge w:val="restart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0,8349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31,9664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0,0072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13,5798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0,3314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42,5652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0,1829</w:t>
            </w:r>
          </w:p>
        </w:tc>
        <w:tc>
          <w:tcPr>
            <w:tcW w:type="dxa" w:w="2422"/>
            <w:vMerge/>
          </w:tcPr>
          <w:p/>
        </w:tc>
      </w:tr>
      <w:tr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4025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13,3850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2,6478</w:t>
            </w:r>
          </w:p>
        </w:tc>
        <w:tc>
          <w:tcPr>
            <w:tcW w:type="dxa" w:w="2422"/>
            <w:vMerge/>
          </w:tcPr>
          <w:p/>
        </w:tc>
      </w:tr>
    </w:tbl>
    <w:p>
      <w:pPr>
        <w:spacing w:line="360" w:lineRule="auto" w:after="120" w:before="200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Исследование ВТСС «Астра-531АК» проведено для типа линии «линия электропитания», несимметричное подключение ТСР, средства защиты не применяются. Отношение «сигнал/шум» превышает норму Δн = 0,3 в октавах 275, 1025, 2025, 4025 Гц (Δmax = 35,440); словесная разборчивость Wc = 0,992 &gt; Wн = 0,3. На границе КЗ с учётом затухания линии Δ*max = 2,648 &gt; 0,3, W*c = 0,835 &gt; Wн = 0,3. ВТСС не соответствует нормам противодействия — существует возможность утечки речевой информации по каналу НЧ АЭП.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Рекомендации: применить фильтры низких частот (ФНЧ) в линии; проводить линейное зашумление сертифицированными генераторами шума; использовать экранированный кабель и надёжное заземление корпусов; установить устройства защиты, не пропускающие информативный сигнал в линию; на время переговоров отключать ВТСС от линии с видимым разрывом либо увеличить радиус КЗ.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 Ковалев Д.П.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23.10.2026</w:t>
      </w:r>
    </w:p>
    <w:p>
      <w:pPr>
        <w:spacing w:line="360" w:lineRule="auto" w:after="120" w:before="20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Контрольные вопросы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1. В чём заключается эффект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2. Какие физические эффекты лежат в основе АЭП исследуемого технического средства?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исследуемого ВТСС (Астра-531АК) основными являются пьезоэлектрический эффект (акустический датчик разбития стекла содержит пьезоэлемент-микрофон, преобразующий звуковое давление в напряжение).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3. Какие устройства с акустоэлектрическим эффектом могут входить в состав ВТСС?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акустопреобразовательным эффектом.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4. В чём заключается эффект модуляционного акустоэлектрического преобразования?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составе ряда ТС штатно работают автогенераторы. Акустическое воздействие на их элементы изменяет амплитуду и/или фазу колебаний (модуляция); промодулированные колебания излучаются или распространяются по линиям, образуя модуляционные каналы АЭП.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5. По какому признаку делается вывод о наличии акустоэлектрических преобразований?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Эффект АЭП на i-й частоте считается выявленным, если Uсшi − Uшi &gt;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6. Если акустоэлектрические преобразования обнаружены, как оценить их опасность?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Рассчитывается отношение «сигнал/шум» Δi и сравнивается с Δн = 0,3. При невыполнении нормы рассчитывается словесная разборчивость Wc, а с учётом затухания линии — отношение на границе КЗ Δ*л.i и разборчивость W*c. Опасность оценивается по превышению Δн и Wн = 0,3.</w:t>
      </w:r>
    </w:p>
    <w:p>
      <w:pPr>
        <w:spacing w:line="360" w:lineRule="auto" w:after="40" w:before="12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7. Как осуществляется перехват речевого сигнала в акустоэлектрическом канале?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Дальность перехвата ограничена только протяжённостью линии.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