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ОТЧЁТ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Практическая работа № 2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 «Математические методы сокрытия и маскирования информации»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«Встраивание секретного сообщения в текстовый docx-контейнер» (вариант №11)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Выполнил: студент группы ВКБ51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доц. Сафарьян О.А.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1.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Изучить методы встраивания информации в текстовый docx-контейнер для скрытой передачи данных. Реализовать программное средство, которое по заданному cover-тексту, секретному сообщению и выбранным методу форматирования и кодировке формирует новый docx-файл со встроенным сообщением.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2. Теоретическая часть</w:t>
      </w:r>
    </w:p>
    <w:p>
      <w:pPr>
        <w:jc w:val="both"/>
      </w:pPr>
      <w:r>
        <w:rPr>
          <w:rFonts w:ascii="Times New Roman" w:hAnsi="Times New Roman"/>
          <w:sz w:val="28"/>
        </w:rPr>
        <w:t>ПР2 решает обратную задачу относительно ПР1. Секретное сообщение кодируется в битовую строку выбранной кодировкой. Для каждого бита назначается одно из двух значений выбранного параметра форматирования: «незаметное» — для нуля и «слегка изменённое» — для единицы. Каждый символ cover-текста получает соответствующий run в docx с этими значениями, и итоговый документ визуально не отличается от исходного, но корректно декодируется обратно программой ПР1.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3. Задание на выполнение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— программно закодировать секретное сообщение (пословицу) с использованием выбранного метода стеганографического сокрытия и кодировки;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— сохранить полученный контейнер в новый docx-файл для последующего декодирования программой ПР1;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— поддержать форматирующие признаки: цвет символов, цвет фона, размер шрифта, масштаб шрифта, межсимвольный интервал;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— поддержать кодировки: код Бодо (МТК-2), КОИ-8R, cp866, Windows-1251, ASCII;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— уметь использовать в качестве cover-текста как существующий docx, так и произвольную строку.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4. Архитектура решения (Clean Architecture)</w:t>
      </w:r>
    </w:p>
    <w:p>
      <w:pPr>
        <w:jc w:val="both"/>
      </w:pPr>
      <w:r>
        <w:rPr>
          <w:rFonts w:ascii="Times New Roman" w:hAnsi="Times New Roman"/>
          <w:sz w:val="28"/>
        </w:rPr>
        <w:t>Программа симметрична ПР1 по слоям. Кодировки и общий параметр форматирования вынесены в domain/common, поэтому ПР1 и ПР2 делят одно ядро. Запись docx через python-docx + прямые OOXML-элементы позволяет работать с любым из пяти параметров единообразно.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domain/common/encodings/ — общие кодировки с методами encode/decode.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domain/text_format_encode/services/container_plan_builder.py — берёт секретный текст, кодирует его в биты и сопоставляет каждому символу cover значение параметра форматирования.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domain/text_format_encode/services/hiding_value_defaults.py — «незаметные» пары значений по умолчанию для каждого параметра.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domain/text_format_encode/errors/ — ContainerTooSmallError и UnencodableSecretError.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infrastructure/text_format_encode/docx_container_writer.py — пишет docx через python-docx и прямые OOXML-элементы (w:color, w:sz, w:w, w:spacing, ...), воссоздавая исходную разбивку на строки и шрифт контейнера.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infrastructure/text_format_encode/docx_cover_text_reader.py — читает cover-текст из docx с сохранением построчной структуры (абзацы, переводы строк) и базового шрифта.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application/commands/text_format_encode/encode.py — async Command Handler EncodeSecretCommandHandler.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presentation/cli/handlers/text_format_encode.py — click-команда encode с инжектом через dishka.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5. Ключевые фрагменты кода</w:t>
      </w:r>
    </w:p>
    <w:p>
      <w:pPr>
        <w:keepNext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8592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_plan_build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85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построитель плана встраивания</w:t>
      </w:r>
    </w:p>
    <w:p>
      <w:pPr>
        <w:keepNext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36182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2_writ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61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запись docx-результата через OOXML</w:t>
      </w:r>
    </w:p>
    <w:p>
      <w:pPr>
        <w:keepNext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764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3_defaul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76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160" w:line="240" w:lineRule="auto"/>
        <w:ind w:firstLine="0"/>
        <w:jc w:val="center"/>
      </w:pPr>
      <w:r>
        <w:rPr>
          <w:rFonts w:ascii="Times New Roman" w:hAnsi="Times New Roman"/>
          <w:i/>
          <w:sz w:val="24"/>
        </w:rPr>
        <w:t>Листинг 3 — незаметные пары значений форматирования «для 0 / для 1» по каждому параметру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6. Индивидуальный вариант №11</w:t>
      </w:r>
    </w:p>
    <w:p>
      <w:pPr>
        <w:jc w:val="both"/>
      </w:pPr>
      <w:r>
        <w:rPr>
          <w:rFonts w:ascii="Times New Roman" w:hAnsi="Times New Roman"/>
          <w:sz w:val="28"/>
        </w:rPr>
        <w:t>Для варианта 11 требуется встроить пословицу «И мотылек живет целую жизнь.» в стих-контейнер covers/1.docx, используя параметр форматирования «масштаб шрифта» и кодировку «КОИ-8R».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Параметры встраивания для варианта №11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type="dxa" w:w="48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Cover-контейнер</w:t>
            </w:r>
          </w:p>
        </w:tc>
        <w:tc>
          <w:tcPr>
            <w:tcW w:type="dxa" w:w="484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covers/1.docx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Файл-результат</w:t>
            </w:r>
          </w:p>
        </w:tc>
        <w:tc>
          <w:tcPr>
            <w:tcW w:type="dxa" w:w="484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variant11.docx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Сообщение</w:t>
            </w:r>
          </w:p>
        </w:tc>
        <w:tc>
          <w:tcPr>
            <w:tcW w:type="dxa" w:w="484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И мотылек живет целую жизнь.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Кодировка</w:t>
            </w:r>
          </w:p>
        </w:tc>
        <w:tc>
          <w:tcPr>
            <w:tcW w:type="dxa" w:w="484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КОИ-8R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Параметр</w:t>
            </w:r>
          </w:p>
        </w:tc>
        <w:tc>
          <w:tcPr>
            <w:tcW w:type="dxa" w:w="484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масштаб шрифта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Значение для 0</w:t>
            </w:r>
          </w:p>
        </w:tc>
        <w:tc>
          <w:tcPr>
            <w:tcW w:type="dxa" w:w="484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100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Значение для 1</w:t>
            </w:r>
          </w:p>
        </w:tc>
        <w:tc>
          <w:tcPr>
            <w:tcW w:type="dxa" w:w="484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99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Полезных бит</w:t>
            </w:r>
          </w:p>
        </w:tc>
        <w:tc>
          <w:tcPr>
            <w:tcW w:type="dxa" w:w="484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224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Символов в cover</w:t>
            </w:r>
          </w:p>
        </w:tc>
        <w:tc>
          <w:tcPr>
            <w:tcW w:type="dxa" w:w="484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1798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Статус</w:t>
            </w:r>
          </w:p>
        </w:tc>
        <w:tc>
          <w:tcPr>
            <w:tcW w:type="dxa" w:w="4844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успешно</w:t>
            </w:r>
          </w:p>
        </w:tc>
      </w:tr>
    </w:tbl>
    <w:p>
      <w:pPr>
        <w:keepNext/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0624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code_o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06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вывод CLI-программы (встраивание контейнера)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 Проверка результата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Корректность встраивания проверялась вручную двумя способами. Во-первых, полученный файл variant11.docx открывался в MS Word: текст стиха выглядит как обычный контейнер, отличий от исходного covers/1.docx на глаз нет. Наличие сокрытия подтверждается через «Выделить символ → ПКМ → Шрифт → Дополнительно → Масштаб»: у символов, несущих бит «1», масштаб равен 99 %, у остальных — 100 %.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Во-вторых, выполнена сквозная проверка: тот же файл подан на вход детектору из ПР1. Программа независимо определила параметр форматирования «масштаб шрифта», подобрала кодировку КОИ-8R и восстановила исходную пословицу без искажений — цикл «встраивание → извлечение» замыкается без потери данных.</w:t>
      </w:r>
    </w:p>
    <w:p>
      <w:pPr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0143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ode_ou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01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 w:line="240" w:lineRule="auto"/>
        <w:ind w:firstLine="0"/>
        <w:jc w:val="center"/>
      </w:pPr>
      <w:r>
        <w:rPr>
          <w:rFonts w:ascii="Times New Roman" w:hAnsi="Times New Roman"/>
          <w:i/>
          <w:sz w:val="24"/>
        </w:rPr>
        <w:t>Рисунок 1 — обратное декодирование variant11.docx программой ПР1: сообщение восстановлено полностью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8. Вывод</w:t>
      </w:r>
    </w:p>
    <w:p>
      <w:pPr>
        <w:jc w:val="both"/>
      </w:pPr>
      <w:r>
        <w:rPr>
          <w:rFonts w:ascii="Times New Roman" w:hAnsi="Times New Roman"/>
          <w:sz w:val="28"/>
        </w:rPr>
        <w:t>Для индивидуального варианта №11 реализованной программой ПР2 пословица «И мотылек живет целую жизнь.» успешно встроена в стих-контейнер covers/1.docx через «масштаб шрифта» с кодировкой «КОИ-8R» (224 полезных бит на 1798 символов контейнера). Полученный файл variant11.docx может быть расшифрован программой ПР1 без потери данных.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9. Контрольные вопросы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1. Понятие цифровой стеганографии. Цифровая стеганография (ЦС) — направление стеганографии, изучающее методы сокрытия самого факта передачи информации путём встраивания секретного сообщения в цифровой объект-контейнер (текст, изображение, аудио, видео). Сокрытие выполняется за счёт избыточности контейнера, так что его изменение незаметно, а извлечение возможно только при знании метода (и, как правило, стегоключа).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2. Год принятия понятия ЦС. Термин «цифровая стеганография» закрепился в 1996 году — на первой Международной конференции по сокрытию информации (Information Hiding Workshop, Кембридж, 1996), где была принята единая терминология направления (контейнер, стегоключ, стегосистема).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3. Сфера применения. Скрытая передача конфиденциальных данных; цифровые водяные знаки и защита авторских прав; подтверждение подлинности и контроля целостности документов (fingerprinting); маркировка и отслеживание утечек; создание скрытых каналов связи. Часто применяется совместно с криптографией: сначала шифрование, затем сокрытие факта передачи.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4. Схема стеганографического сокрытия информации. Секретное сообщение M, контейнер C и стегоключ K подаются на вход стегокодера, который встраивает M в C и формирует стегоконтейнер C'. По каналу связи C' передаётся получателю; стегодекодер, зная ключ K и метод, извлекает из C' исходное сообщение M. Обобщённая схема приведена ниже.</w:t>
      </w:r>
    </w:p>
    <w:p>
      <w:pPr>
        <w:spacing w:before="12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76289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 w:line="240" w:lineRule="auto"/>
        <w:ind w:firstLine="0"/>
        <w:jc w:val="center"/>
      </w:pPr>
      <w:r>
        <w:rPr>
          <w:rFonts w:ascii="Times New Roman" w:hAnsi="Times New Roman"/>
          <w:i/>
          <w:sz w:val="24"/>
        </w:rPr>
        <w:t>Рисунок 2 — обобщённая схема стеганографического сокрытия и извлечения информации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2025 г.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