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 w:val="0"/>
          <w:sz w:val="28"/>
        </w:rPr>
        <w:t>Общество с ограниченной ответственностью «ТехноЩит»</w:t>
      </w:r>
    </w:p>
    <w:p>
      <w:pPr>
        <w:jc w:val="center"/>
      </w:pPr>
      <w:r>
        <w:rPr>
          <w:b w:val="0"/>
          <w:i w:val="0"/>
          <w:sz w:val="24"/>
        </w:rPr>
        <w:t>ОГРН 1256196012345, ИНН 6165012345, КПП 616501001</w:t>
      </w:r>
    </w:p>
    <w:p>
      <w:pPr>
        <w:jc w:val="center"/>
      </w:pPr>
      <w:r>
        <w:rPr>
          <w:b w:val="0"/>
          <w:i w:val="0"/>
          <w:sz w:val="24"/>
        </w:rPr>
        <w:t>344000, г. Ростов-на-Дону, пр. Стачки, д. 25, офис 301</w:t>
      </w:r>
    </w:p>
    <w:p>
      <w:pPr>
        <w:jc w:val="center"/>
      </w:pPr>
      <w:r>
        <w:rPr>
          <w:b w:val="0"/>
          <w:i w:val="0"/>
          <w:sz w:val="28"/>
        </w:rPr>
        <w:t>____________________________________________________________</w:t>
      </w:r>
    </w:p>
    <w:p>
      <w:pPr>
        <w:jc w:val="right"/>
      </w:pPr>
      <w:r>
        <w:rPr>
          <w:b w:val="0"/>
          <w:i w:val="0"/>
          <w:sz w:val="24"/>
        </w:rPr>
        <w:t>УТВЕРЖДЕНО приказом от 01.09.2026 № 2</w:t>
      </w:r>
    </w:p>
    <w:p>
      <w:pPr>
        <w:jc w:val="both"/>
      </w:pPr>
      <w:r>
        <w:rPr>
          <w:b w:val="0"/>
          <w:i w:val="0"/>
          <w:sz w:val="28"/>
        </w:rPr>
      </w:r>
    </w:p>
    <w:p>
      <w:pPr>
        <w:spacing w:before="120"/>
        <w:jc w:val="center"/>
      </w:pPr>
      <w:r>
        <w:rPr>
          <w:b/>
          <w:i w:val="0"/>
          <w:sz w:val="28"/>
        </w:rPr>
        <w:t>МОДЕЛЬ НАРУШИТЕЛЯ</w:t>
      </w:r>
    </w:p>
    <w:p>
      <w:pPr>
        <w:spacing w:before="120"/>
        <w:jc w:val="center"/>
      </w:pPr>
      <w:r>
        <w:rPr>
          <w:b/>
          <w:i w:val="0"/>
          <w:sz w:val="28"/>
        </w:rPr>
        <w:t>защищённого контура обработки конфиденциальной информации ООО «ТехноЩит»</w:t>
      </w:r>
    </w:p>
    <w:p>
      <w:pPr>
        <w:ind w:firstLine="709"/>
        <w:jc w:val="both"/>
      </w:pPr>
      <w:r>
        <w:rPr>
          <w:b w:val="0"/>
          <w:i w:val="0"/>
          <w:sz w:val="28"/>
        </w:rPr>
        <w:t>Модель нарушителя разработана как организационно-распорядительный документ по методике ФСТЭК России и используется при выполнении работ по технической защите конфиденциальной информации, а также для защиты собственного контура общества.</w:t>
      </w:r>
    </w:p>
    <w:p>
      <w:pPr>
        <w:jc w:val="left"/>
      </w:pPr>
      <w:r>
        <w:rPr>
          <w:b/>
          <w:i w:val="0"/>
          <w:sz w:val="28"/>
        </w:rPr>
        <w:t>1. Категории нарушителей</w:t>
      </w:r>
    </w:p>
    <w:p>
      <w:pPr>
        <w:ind w:firstLine="709"/>
        <w:jc w:val="both"/>
      </w:pPr>
      <w:r>
        <w:rPr>
          <w:b w:val="0"/>
          <w:i w:val="0"/>
          <w:sz w:val="28"/>
        </w:rPr>
        <w:t>1.1. Внутренний нарушитель — работник, имеющий санкционированный доступ к вычислительным ресурсам, но не имеющий допуска к конфиденциальной информации в пределах конкретных задач.</w:t>
      </w:r>
    </w:p>
    <w:p>
      <w:pPr>
        <w:ind w:firstLine="709"/>
        <w:jc w:val="both"/>
      </w:pPr>
      <w:r>
        <w:rPr>
          <w:b w:val="0"/>
          <w:i w:val="0"/>
          <w:sz w:val="28"/>
        </w:rPr>
        <w:t>1.2. Внешний нарушитель — лицо, не имеющее доступа в помещения общества и к его вычислительным ресурсам, действующее через сети общего пользования либо с использованием технических средств (внедрение закладных устройств, ПЭМИН-перехват).</w:t>
      </w:r>
    </w:p>
    <w:p>
      <w:pPr>
        <w:jc w:val="left"/>
      </w:pPr>
      <w:r>
        <w:rPr>
          <w:b/>
          <w:i w:val="0"/>
          <w:sz w:val="28"/>
        </w:rPr>
        <w:t>2. Возможности нарушителей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Категория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Возможности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Times New Roman" w:hAnsi="Times New Roman"/>
                <w:sz w:val="24"/>
              </w:rPr>
              <w:t>Внутренний</w:t>
            </w:r>
          </w:p>
        </w:tc>
        <w:tc>
          <w:tcPr>
            <w:tcW w:type="dxa" w:w="4986"/>
          </w:tcPr>
          <w:p>
            <w:r/>
            <w:r>
              <w:rPr>
                <w:rFonts w:ascii="Times New Roman" w:hAnsi="Times New Roman"/>
                <w:sz w:val="24"/>
              </w:rPr>
              <w:t>доступ к АРМ общего контура; попытки повышения привилегий; копирование данных на съёмные носители; фотографирование экранов; социальная инженерия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Times New Roman" w:hAnsi="Times New Roman"/>
                <w:sz w:val="24"/>
              </w:rPr>
              <w:t>Внешний</w:t>
            </w:r>
          </w:p>
        </w:tc>
        <w:tc>
          <w:tcPr>
            <w:tcW w:type="dxa" w:w="4986"/>
          </w:tcPr>
          <w:p>
            <w:r/>
            <w:r>
              <w:rPr>
                <w:rFonts w:ascii="Times New Roman" w:hAnsi="Times New Roman"/>
                <w:sz w:val="24"/>
              </w:rPr>
              <w:t>атаки из сети Интернет на периметр; вредоносное ПО; фишинг; попытки проникновения в помещения под видом техперсонала</w:t>
            </w:r>
          </w:p>
        </w:tc>
      </w:tr>
    </w:tbl>
    <w:p>
      <w:pPr>
        <w:jc w:val="left"/>
      </w:pPr>
      <w:r>
        <w:rPr>
          <w:b/>
          <w:i w:val="0"/>
          <w:sz w:val="28"/>
        </w:rPr>
        <w:t>3. Актуальные угрозы (по БДУ ФСТЭК России)</w:t>
      </w:r>
    </w:p>
    <w:p>
      <w:pPr>
        <w:ind w:firstLine="709"/>
        <w:jc w:val="both"/>
      </w:pPr>
      <w:r>
        <w:rPr>
          <w:b w:val="0"/>
          <w:i w:val="0"/>
          <w:sz w:val="28"/>
        </w:rPr>
        <w:t>3.1. УБИ.002, УБИ.003 (внедрение вредоносных программ), УБИ.039 (нелегитимный сбор информации), УБИ.056 (нарушение правил контроля съёмных носителей), УБИ.093 (сканирование сети) — при определении актуальных угроз используется Банк данных угроз безопасности информации ФСТЭК России (bdu.fstec.ru).</w:t>
      </w:r>
    </w:p>
    <w:p>
      <w:pPr>
        <w:jc w:val="left"/>
      </w:pPr>
      <w:r>
        <w:rPr>
          <w:b/>
          <w:i w:val="0"/>
          <w:sz w:val="28"/>
        </w:rPr>
        <w:t>4. Выводы</w:t>
      </w:r>
    </w:p>
    <w:p>
      <w:pPr>
        <w:ind w:firstLine="709"/>
        <w:jc w:val="both"/>
      </w:pPr>
      <w:r>
        <w:rPr>
          <w:b w:val="0"/>
          <w:i w:val="0"/>
          <w:sz w:val="28"/>
        </w:rPr>
        <w:t>4.1. Для отражения угроз применяются сертифицированные СЗИ (перечень утверждён отдельным документом), СКУД, видеонаблюдение, пропускной режим в серверную и архив-сейфовую.</w:t>
      </w:r>
    </w:p>
    <w:p>
      <w:pPr>
        <w:jc w:val="both"/>
      </w:pPr>
      <w:r>
        <w:rPr>
          <w:b w:val="0"/>
          <w:i w:val="0"/>
          <w:sz w:val="28"/>
        </w:rPr>
      </w:r>
    </w:p>
    <w:p>
      <w:pPr>
        <w:jc w:val="left"/>
      </w:pPr>
      <w:r>
        <w:rPr>
          <w:b w:val="0"/>
          <w:i w:val="0"/>
          <w:sz w:val="28"/>
        </w:rPr>
        <w:t>Директор _________________________ / Ермолаев Б.Ю. /</w:t>
      </w:r>
    </w:p>
    <w:p>
      <w:pPr>
        <w:jc w:val="left"/>
      </w:pPr>
      <w:r>
        <w:rPr>
          <w:b w:val="0"/>
          <w:i w:val="0"/>
          <w:sz w:val="28"/>
        </w:rPr>
        <w:t>М.П.</w:t>
      </w:r>
    </w:p>
    <w:p>
      <w:pPr>
        <w:jc w:val="right"/>
      </w:pPr>
      <w:r>
        <w:rPr>
          <w:b w:val="0"/>
          <w:i w:val="0"/>
          <w:sz w:val="24"/>
        </w:rPr>
        <w:t>Подготовил: технический специалист Ковалев Данил Петрович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