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header14.xml.rels" ContentType="application/vnd.openxmlformats-package.relationships+xml"/>
  <Override PartName="/word/_rels/header3.xml.rels" ContentType="application/vnd.openxmlformats-package.relationships+xml"/>
  <Override PartName="/word/_rels/header10.xml.rels" ContentType="application/vnd.openxmlformats-package.relationships+xml"/>
  <Override PartName="/word/_rels/document.xml.rels" ContentType="application/vnd.openxmlformats-package.relationships+xml"/>
  <Override PartName="/word/_rels/header18.xml.rels" ContentType="application/vnd.openxmlformats-package.relationships+xml"/>
  <Override PartName="/word/footer13.xml" ContentType="application/vnd.openxmlformats-officedocument.wordprocessingml.footer+xml"/>
  <Override PartName="/word/footer12.xml" ContentType="application/vnd.openxmlformats-officedocument.wordprocessingml.footer+xml"/>
  <Override PartName="/word/footer11.xml" ContentType="application/vnd.openxmlformats-officedocument.wordprocessingml.foot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theme/theme1.xml" ContentType="application/vnd.openxmlformats-officedocument.theme+xml"/>
  <Override PartName="/word/footer8.xml" ContentType="application/vnd.openxmlformats-officedocument.wordprocessingml.footer+xml"/>
  <Override PartName="/word/media/image1.jpeg" ContentType="image/jpeg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header17.xml" ContentType="application/vnd.openxmlformats-officedocument.wordprocessingml.header+xml"/>
  <Override PartName="/word/header1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ntTable.xml" ContentType="application/vnd.openxmlformats-officedocument.wordprocessingml.fontTable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footer18.xml" ContentType="application/vnd.openxmlformats-officedocument.wordprocessingml.footer+xml"/>
  <Override PartName="/word/footer17.xml" ContentType="application/vnd.openxmlformats-officedocument.wordprocessingml.footer+xml"/>
  <Override PartName="/word/header10.xml" ContentType="application/vnd.openxmlformats-officedocument.wordprocessingml.header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header16.xml" ContentType="application/vnd.openxmlformats-officedocument.wordprocessingml.header+xml"/>
  <Override PartName="/word/header1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18.xml" ContentType="application/vnd.openxmlformats-officedocument.wordprocessingml.header+xml"/>
  <Override PartName="/word/header9.xml" ContentType="application/vnd.openxmlformats-officedocument.wordprocessingml.header+xml"/>
  <Override PartName="/word/footer6.xml" ContentType="application/vnd.openxmlformats-officedocument.wordprocessingml.footer+xml"/>
  <Override PartName="/word/header12.xml" ContentType="application/vnd.openxmlformats-officedocument.wordprocessingml.header+xml"/>
  <Override PartName="/word/footer19.xml" ContentType="application/vnd.openxmlformats-officedocument.wordprocessingml.foot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header19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BodyText"/>
        <w:jc w:val="center"/>
        <w:rPr/>
      </w:pPr>
      <w:r>
        <w:rPr/>
        <w:t xml:space="preserve">МИНИСТЕРСТВО НАУКИ И ВЫСШЕГО ОБРАЗОВАНИЯ </w:t>
      </w:r>
    </w:p>
    <w:p>
      <w:pPr>
        <w:pStyle w:val="BodyText"/>
        <w:jc w:val="center"/>
        <w:rPr/>
      </w:pPr>
      <w:r>
        <w:rPr>
          <w:rFonts w:eastAsia="Times New Roman" w:cs="Times New Roman"/>
          <w:szCs w:val="28"/>
        </w:rPr>
        <w:t>РОССИЙСКОЙ ФЕДЕРАЦИИ</w:t>
      </w:r>
      <w:r>
        <w:rPr>
          <w:rFonts w:eastAsia="Times New Roman" w:cs="Times New Roman"/>
          <w:b/>
          <w:bCs/>
          <w:szCs w:val="28"/>
        </w:rPr>
        <w:t xml:space="preserve"> </w:t>
      </w:r>
    </w:p>
    <w:p>
      <w:pPr>
        <w:pStyle w:val="BodyText"/>
        <w:rPr/>
      </w:pPr>
      <w:r>
        <w:rPr/>
      </w:r>
    </w:p>
    <w:p>
      <w:pPr>
        <w:pStyle w:val="BodyText"/>
        <w:jc w:val="center"/>
        <w:rPr/>
      </w:pPr>
      <w:r>
        <w:rPr/>
        <w:t>ФЕДЕРАЛЬНОЕ ГОСУДАРСТВЕННОЕ БЮДЖЕТНОЕ</w:t>
      </w:r>
    </w:p>
    <w:p>
      <w:pPr>
        <w:pStyle w:val="BodyText"/>
        <w:jc w:val="center"/>
        <w:rPr/>
      </w:pPr>
      <w:r>
        <w:rPr/>
        <w:t>ОБРАЗОВАТЕЛЬНОЕ УЧРЕЖДЕНИЕ ВЫСШЕГО ОБРАЗОВАНИЯ</w:t>
        <w:br/>
        <w:t>«ДОНСКОЙ ГОСУДАРСТВЕННЫЙ ТЕХНИЧЕСКИЙ УНИВЕРСИТЕТ»</w:t>
      </w:r>
    </w:p>
    <w:p>
      <w:pPr>
        <w:pStyle w:val="BodyText"/>
        <w:jc w:val="center"/>
        <w:rPr/>
      </w:pPr>
      <w:r>
        <w:rPr/>
        <w:t>(ДГТУ)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rFonts w:eastAsia="Times New Roman" w:cs="Times New Roman"/>
          <w:szCs w:val="28"/>
        </w:rPr>
        <w:t xml:space="preserve">Факультет </w:t>
      </w:r>
      <w:r>
        <w:rPr>
          <w:rFonts w:eastAsia="Calibri" w:cs="Times New Roman"/>
          <w:color w:val="000000"/>
          <w:szCs w:val="28"/>
          <w:lang w:bidi="hi-IN"/>
        </w:rPr>
        <w:t>Информатика и вычислительная техника</w:t>
      </w:r>
    </w:p>
    <w:p>
      <w:pPr>
        <w:pStyle w:val="BodyText"/>
        <w:rPr/>
      </w:pPr>
      <w:r>
        <w:rPr>
          <w:rFonts w:eastAsia="Times New Roman" w:cs="Times New Roman"/>
          <w:szCs w:val="28"/>
        </w:rPr>
        <w:t>Кафедра</w:t>
      </w:r>
      <w:r>
        <w:rPr>
          <w:rFonts w:eastAsia="Calibri" w:cs="Times New Roman"/>
          <w:color w:val="000000"/>
          <w:szCs w:val="28"/>
          <w:lang w:bidi="hi-IN"/>
        </w:rPr>
        <w:t xml:space="preserve"> Кибербезопасность информационных систем</w:t>
      </w:r>
    </w:p>
    <w:p>
      <w:pPr>
        <w:pStyle w:val="BodyText"/>
        <w:rPr/>
      </w:pPr>
      <w:r>
        <w:rPr/>
      </w:r>
    </w:p>
    <w:p>
      <w:pPr>
        <w:pStyle w:val="Normal"/>
        <w:widowControl w:val="false"/>
        <w:rPr>
          <w:rFonts w:eastAsia="Calibri" w:cs="Times New Roman"/>
          <w:szCs w:val="28"/>
          <w:lang w:bidi="hi-IN"/>
        </w:rPr>
      </w:pPr>
      <w:r>
        <w:rPr>
          <w:rFonts w:eastAsia="Calibri" w:cs="Times New Roman"/>
          <w:szCs w:val="28"/>
          <w:lang w:bidi="hi-IN"/>
        </w:rPr>
      </w:r>
    </w:p>
    <w:p>
      <w:pPr>
        <w:pStyle w:val="Normal"/>
        <w:widowControl w:val="false"/>
        <w:rPr>
          <w:rFonts w:eastAsia="Calibri" w:cs="Times New Roman"/>
          <w:szCs w:val="28"/>
          <w:lang w:bidi="hi-IN"/>
        </w:rPr>
      </w:pPr>
      <w:r>
        <w:rPr>
          <w:rFonts w:eastAsia="Calibri" w:cs="Times New Roman"/>
          <w:szCs w:val="28"/>
          <w:lang w:bidi="hi-IN"/>
        </w:rPr>
      </w:r>
    </w:p>
    <w:p>
      <w:pPr>
        <w:pStyle w:val="Normal"/>
        <w:widowControl w:val="false"/>
        <w:rPr>
          <w:rFonts w:eastAsia="Calibri" w:cs="Times New Roman"/>
          <w:szCs w:val="28"/>
          <w:lang w:bidi="hi-IN"/>
        </w:rPr>
      </w:pPr>
      <w:r>
        <w:rPr>
          <w:rFonts w:eastAsia="Calibri" w:cs="Times New Roman"/>
          <w:szCs w:val="28"/>
          <w:lang w:bidi="hi-IN"/>
        </w:rPr>
      </w:r>
    </w:p>
    <w:p>
      <w:pPr>
        <w:pStyle w:val="Normal"/>
        <w:widowControl w:val="false"/>
        <w:rPr>
          <w:rFonts w:eastAsia="Calibri" w:cs="Times New Roman"/>
          <w:szCs w:val="28"/>
          <w:lang w:bidi="hi-IN"/>
        </w:rPr>
      </w:pPr>
      <w:r>
        <w:rPr>
          <w:rFonts w:eastAsia="Calibri" w:cs="Times New Roman"/>
          <w:szCs w:val="28"/>
          <w:lang w:bidi="hi-IN"/>
        </w:rPr>
      </w:r>
    </w:p>
    <w:p>
      <w:pPr>
        <w:pStyle w:val="Normal"/>
        <w:widowControl w:val="false"/>
        <w:rPr>
          <w:rFonts w:eastAsia="Calibri" w:cs="Times New Roman"/>
          <w:szCs w:val="28"/>
          <w:lang w:bidi="hi-IN"/>
        </w:rPr>
      </w:pPr>
      <w:r>
        <w:rPr>
          <w:rFonts w:eastAsia="Calibri" w:cs="Times New Roman"/>
          <w:szCs w:val="28"/>
          <w:lang w:bidi="hi-IN"/>
        </w:rPr>
      </w:r>
    </w:p>
    <w:p>
      <w:pPr>
        <w:pStyle w:val="Normal"/>
        <w:widowControl w:val="false"/>
        <w:rPr>
          <w:rFonts w:eastAsia="Calibri" w:cs="Times New Roman"/>
          <w:szCs w:val="28"/>
          <w:lang w:bidi="hi-IN"/>
        </w:rPr>
      </w:pPr>
      <w:r>
        <w:rPr>
          <w:rFonts w:eastAsia="Calibri" w:cs="Times New Roman"/>
          <w:szCs w:val="28"/>
          <w:lang w:bidi="hi-IN"/>
        </w:rPr>
      </w:r>
    </w:p>
    <w:p>
      <w:pPr>
        <w:pStyle w:val="BodyText"/>
        <w:jc w:val="center"/>
        <w:rPr/>
      </w:pPr>
      <w:r>
        <w:rPr>
          <w:rFonts w:eastAsia="Calibri" w:cs="Times New Roman"/>
          <w:b/>
          <w:color w:val="000000"/>
          <w:szCs w:val="28"/>
          <w:lang w:bidi="hi-IN"/>
        </w:rPr>
        <w:t xml:space="preserve">Практическая работа № </w:t>
      </w:r>
      <w:r>
        <w:rPr>
          <w:rFonts w:eastAsia="Calibri" w:cs="Times New Roman"/>
          <w:b/>
          <w:color w:val="000000"/>
          <w:szCs w:val="28"/>
          <w:lang w:val="ru-RU" w:bidi="hi-IN"/>
        </w:rPr>
        <w:t>4</w:t>
      </w:r>
    </w:p>
    <w:p>
      <w:pPr>
        <w:pStyle w:val="BodyText"/>
        <w:jc w:val="center"/>
        <w:rPr/>
      </w:pPr>
      <w:r>
        <w:rPr>
          <w:rFonts w:eastAsia="Calibri" w:cs="Times New Roman"/>
          <w:color w:val="000000"/>
          <w:szCs w:val="28"/>
          <w:lang w:bidi="hi-IN"/>
        </w:rPr>
        <w:t>на тему «</w:t>
      </w:r>
      <w:r>
        <w:rPr>
          <w:rFonts w:eastAsia="Times New Roman" w:cs="Times New Roman" w:ascii="Times New Roman" w:hAnsi="Times New Roman"/>
          <w:color w:val="000000"/>
          <w:sz w:val="28"/>
          <w:szCs w:val="28"/>
          <w:lang w:bidi="hi-IN"/>
        </w:rPr>
        <w:t>Классическая криптография. Системы шифрования с открытым ключом</w:t>
      </w:r>
      <w:r>
        <w:rPr>
          <w:rFonts w:eastAsia="Calibri" w:cs="Times New Roman"/>
          <w:color w:val="000000"/>
          <w:szCs w:val="28"/>
          <w:lang w:bidi="hi-IN"/>
        </w:rPr>
        <w:t>»</w:t>
      </w:r>
    </w:p>
    <w:p>
      <w:pPr>
        <w:pStyle w:val="Normal"/>
        <w:widowControl w:val="false"/>
        <w:tabs>
          <w:tab w:val="clear" w:pos="720"/>
          <w:tab w:val="left" w:pos="1134" w:leader="none"/>
        </w:tabs>
        <w:rPr>
          <w:rFonts w:eastAsia="Calibri" w:cs="Times New Roman"/>
          <w:color w:val="000000"/>
          <w:szCs w:val="28"/>
          <w:lang w:bidi="hi-IN"/>
        </w:rPr>
      </w:pPr>
      <w:r>
        <w:rPr>
          <w:rFonts w:eastAsia="Calibri" w:cs="Times New Roman"/>
          <w:color w:val="000000"/>
          <w:szCs w:val="28"/>
          <w:lang w:bidi="hi-IN"/>
        </w:rPr>
      </w:r>
    </w:p>
    <w:p>
      <w:pPr>
        <w:pStyle w:val="Normal"/>
        <w:widowControl w:val="false"/>
        <w:tabs>
          <w:tab w:val="clear" w:pos="720"/>
          <w:tab w:val="left" w:pos="1134" w:leader="none"/>
        </w:tabs>
        <w:jc w:val="center"/>
        <w:rPr>
          <w:rFonts w:eastAsia="Calibri" w:cs="Times New Roman"/>
          <w:color w:val="000000"/>
          <w:szCs w:val="28"/>
          <w:lang w:bidi="hi-IN"/>
        </w:rPr>
      </w:pPr>
      <w:r>
        <w:rPr>
          <w:rFonts w:eastAsia="Calibri" w:cs="Times New Roman"/>
          <w:color w:val="000000"/>
          <w:szCs w:val="28"/>
          <w:lang w:bidi="hi-IN"/>
        </w:rPr>
      </w:r>
    </w:p>
    <w:p>
      <w:pPr>
        <w:pStyle w:val="Normal"/>
        <w:widowControl w:val="false"/>
        <w:tabs>
          <w:tab w:val="clear" w:pos="720"/>
          <w:tab w:val="left" w:pos="1134" w:leader="none"/>
        </w:tabs>
        <w:rPr>
          <w:rFonts w:eastAsia="Calibri" w:cs="Times New Roman"/>
          <w:color w:val="000000"/>
          <w:szCs w:val="28"/>
          <w:lang w:bidi="hi-IN"/>
        </w:rPr>
      </w:pPr>
      <w:r>
        <w:rPr>
          <w:rFonts w:eastAsia="Calibri" w:cs="Times New Roman"/>
          <w:color w:val="000000"/>
          <w:szCs w:val="28"/>
          <w:lang w:bidi="hi-IN"/>
        </w:rPr>
      </w:r>
    </w:p>
    <w:p>
      <w:pPr>
        <w:pStyle w:val="Normal"/>
        <w:widowControl w:val="false"/>
        <w:tabs>
          <w:tab w:val="clear" w:pos="720"/>
          <w:tab w:val="left" w:pos="1134" w:leader="none"/>
        </w:tabs>
        <w:jc w:val="center"/>
        <w:rPr>
          <w:rFonts w:eastAsia="Calibri" w:cs="Times New Roman"/>
          <w:color w:val="000000"/>
          <w:szCs w:val="28"/>
          <w:lang w:bidi="hi-IN"/>
        </w:rPr>
      </w:pPr>
      <w:r>
        <w:rPr>
          <w:rFonts w:eastAsia="Calibri" w:cs="Times New Roman"/>
          <w:color w:val="000000"/>
          <w:szCs w:val="28"/>
          <w:lang w:bidi="hi-IN"/>
        </w:rPr>
      </w:r>
    </w:p>
    <w:tbl>
      <w:tblPr>
        <w:tblStyle w:val="ab"/>
        <w:tblW w:w="5103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03"/>
      </w:tblGrid>
      <w:tr>
        <w:trPr>
          <w:trHeight w:val="432" w:hRule="atLeast"/>
        </w:trPr>
        <w:tc>
          <w:tcPr>
            <w:tcW w:w="5103" w:type="dxa"/>
            <w:tcBorders/>
          </w:tcPr>
          <w:p>
            <w:pPr>
              <w:pStyle w:val="BodyText"/>
              <w:rPr/>
            </w:pPr>
            <w:r>
              <w:rPr/>
              <w:t>Выполнили: студенты группы ВКБ51</w:t>
            </w:r>
          </w:p>
        </w:tc>
      </w:tr>
      <w:tr>
        <w:trPr>
          <w:trHeight w:val="300" w:hRule="atLeast"/>
        </w:trPr>
        <w:tc>
          <w:tcPr>
            <w:tcW w:w="5103" w:type="dxa"/>
            <w:tcBorders/>
          </w:tcPr>
          <w:p>
            <w:pPr>
              <w:pStyle w:val="BodyText"/>
              <w:jc w:val="center"/>
              <w:rPr/>
            </w:pPr>
            <w:r>
              <w:rPr/>
              <w:t>Савин Александр</w:t>
            </w:r>
          </w:p>
        </w:tc>
      </w:tr>
      <w:tr>
        <w:trPr>
          <w:trHeight w:val="300" w:hRule="atLeast"/>
        </w:trPr>
        <w:tc>
          <w:tcPr>
            <w:tcW w:w="5103" w:type="dxa"/>
            <w:tcBorders/>
          </w:tcPr>
          <w:p>
            <w:pPr>
              <w:pStyle w:val="BodyText"/>
              <w:jc w:val="center"/>
              <w:rPr/>
            </w:pPr>
            <w:r>
              <w:rPr/>
              <w:t>Сац Никита</w:t>
            </w:r>
          </w:p>
        </w:tc>
      </w:tr>
      <w:tr>
        <w:trPr>
          <w:trHeight w:val="300" w:hRule="atLeast"/>
        </w:trPr>
        <w:tc>
          <w:tcPr>
            <w:tcW w:w="5103" w:type="dxa"/>
            <w:tcBorders/>
          </w:tcPr>
          <w:p>
            <w:pPr>
              <w:pStyle w:val="BodyText"/>
              <w:jc w:val="center"/>
              <w:rPr/>
            </w:pPr>
            <w:r>
              <w:rPr/>
              <w:t>Пересада Никита</w:t>
            </w:r>
          </w:p>
        </w:tc>
      </w:tr>
      <w:tr>
        <w:trPr>
          <w:trHeight w:val="170" w:hRule="atLeast"/>
        </w:trPr>
        <w:tc>
          <w:tcPr>
            <w:tcW w:w="5103" w:type="dxa"/>
            <w:tcBorders/>
          </w:tcPr>
          <w:p>
            <w:pPr>
              <w:pStyle w:val="BodyText"/>
              <w:jc w:val="center"/>
              <w:rPr/>
            </w:pPr>
            <w:r>
              <w:rPr/>
              <w:t>Якушевский Сергей</w:t>
            </w:r>
          </w:p>
        </w:tc>
      </w:tr>
      <w:tr>
        <w:trPr>
          <w:trHeight w:val="422" w:hRule="atLeast"/>
        </w:trPr>
        <w:tc>
          <w:tcPr>
            <w:tcW w:w="5103" w:type="dxa"/>
            <w:tcBorders/>
          </w:tcPr>
          <w:p>
            <w:pPr>
              <w:pStyle w:val="BodyText"/>
              <w:jc w:val="center"/>
              <w:rPr/>
            </w:pPr>
            <w:r>
              <w:rPr/>
              <w:t>(Фамилия, имя, отчество)</w:t>
            </w:r>
          </w:p>
        </w:tc>
      </w:tr>
      <w:tr>
        <w:trPr>
          <w:trHeight w:val="440" w:hRule="atLeast"/>
        </w:trPr>
        <w:tc>
          <w:tcPr>
            <w:tcW w:w="5103" w:type="dxa"/>
            <w:tcBorders/>
          </w:tcPr>
          <w:p>
            <w:pPr>
              <w:pStyle w:val="BodyText"/>
              <w:rPr/>
            </w:pPr>
            <w:r>
              <w:rPr/>
            </w:r>
          </w:p>
          <w:p>
            <w:pPr>
              <w:pStyle w:val="BodyText"/>
              <w:jc w:val="center"/>
              <w:rPr/>
            </w:pPr>
            <w:r>
              <w:rPr/>
              <w:t>Проверил: профессор</w:t>
            </w:r>
          </w:p>
        </w:tc>
      </w:tr>
      <w:tr>
        <w:trPr>
          <w:trHeight w:val="398" w:hRule="atLeast"/>
        </w:trPr>
        <w:tc>
          <w:tcPr>
            <w:tcW w:w="5103" w:type="dxa"/>
            <w:tcBorders/>
          </w:tcPr>
          <w:p>
            <w:pPr>
              <w:pStyle w:val="BodyText"/>
              <w:jc w:val="center"/>
              <w:rPr/>
            </w:pPr>
            <w:r>
              <w:rPr/>
              <w:t>Черкесова Лариса Владимировна</w:t>
            </w:r>
          </w:p>
        </w:tc>
      </w:tr>
      <w:tr>
        <w:trPr>
          <w:trHeight w:val="336" w:hRule="atLeast"/>
        </w:trPr>
        <w:tc>
          <w:tcPr>
            <w:tcW w:w="5103" w:type="dxa"/>
            <w:tcBorders/>
          </w:tcPr>
          <w:p>
            <w:pPr>
              <w:pStyle w:val="Normal"/>
              <w:widowControl/>
              <w:spacing w:before="0" w:after="0"/>
              <w:jc w:val="center"/>
              <w:rPr>
                <w:rFonts w:ascii="TImes new Roman" w:hAnsi="TImes new Roman" w:eastAsia="Cambria" w:cs=""/>
                <w:kern w:val="0"/>
                <w:szCs w:val="22"/>
                <w:lang w:val="ru-RU" w:eastAsia="en-US" w:bidi="ar-SA"/>
              </w:rPr>
            </w:pPr>
            <w:r>
              <w:rPr>
                <w:rFonts w:eastAsia="Cambria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(Фамилия, имя, отчество)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1440" w:top="2013" w:footer="1440" w:bottom="2126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1. Модулярная арифметика. Что означает выражение «два целых числа A и B сравнимы по модулю»? Приведите примеры вычислений.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Модулярная арифметика (или арифметика по модулю) является важным разделом, используемым, в частности, в системах шифрования с открытым ключом, таких как метод RSA.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eastAsia="Arial Unicode MS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Выражение «два целых числа a и b сравнимы по модулю p»: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 xml:space="preserve"> </w:t>
      </w:r>
      <w:r>
        <w:rPr>
          <w:rFonts w:eastAsia="Arial Unicode MS" w:cs="Times New Roman" w:ascii="Times New Roman" w:hAnsi="Times New Roman"/>
          <w:sz w:val="28"/>
          <w:szCs w:val="28"/>
        </w:rPr>
        <w:t>Говорят, что два целых числа a и b сравнимы по модулю p, и это записывается как a ≡ b (mod p), если разность a − b делится на p без остатка, то есть p | (a − b).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Отношение сравнения по модулю p формирует классы эквивалентности, которые называются вычетами. Множество классов вычетов по модулю n &gt; 0 обозначается Zₙ и содержит ровно n элементов: {0, 1, …, n−1}. Над ними можно выполнять операции сложения, вычитания, умножения и возведения в степень.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Пример вычислений: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множестве классов вычетов по модулю n = 7 (в Z₇):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 × 5 = 10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10 mod 7 = 3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Таким образом, 2 × 5 ≡ 3 (mod 7).</w:t>
      </w: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2. Понятия рефлексивности, симметричности и транзитивности отношения сравнения по модулю. Приведите примеры вычислений.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Отношение сравнения по модулю натурального числа обладает тремя ключевыми свойствами, которые делают его отношением эквивалентности: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. </w:t>
      </w:r>
      <w:r>
        <w:rPr>
          <w:rFonts w:cs="Times New Roman" w:ascii="Times New Roman" w:hAnsi="Times New Roman"/>
          <w:sz w:val="28"/>
          <w:szCs w:val="28"/>
        </w:rPr>
        <w:t>Рефлексивность: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Определение: a ≡ a (mod p).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Пример: 12 ≡ 12 (mod 5), так как 12 − 12 = 0, и 5 | 0.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. </w:t>
      </w:r>
      <w:r>
        <w:rPr>
          <w:rFonts w:cs="Times New Roman" w:ascii="Times New Roman" w:hAnsi="Times New Roman"/>
          <w:sz w:val="28"/>
          <w:szCs w:val="28"/>
        </w:rPr>
        <w:t>Симметричность: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Определение: если a ≡ b (mod p), то b ≡ a (mod p).</w:t>
      </w:r>
    </w:p>
    <w:p>
      <w:pPr>
        <w:sectPr>
          <w:headerReference w:type="default" r:id="rId8"/>
          <w:headerReference w:type="first" r:id="rId9"/>
          <w:footerReference w:type="default" r:id="rId10"/>
          <w:footerReference w:type="first" r:id="rId11"/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Пример: 12 ≡ 7 (mod 5), так как 12 − 7 = 5, и 5 | 5. Следовательно, 7 ≡ 12 (mod 5).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Транзитивность: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Определение: если a ≡ b (mod p) и b ≡ c (mod p), то a ≡ c (mod p).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Пример: 12 ≡ 7 (mod 5) и 7 ≡ 2 (mod 5). Следовательно, 12 ≡ 2 (mod 5).</w:t>
      </w: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3. Объясните свойства ассоциативности по сложению, существования нулевого элемента, существования обратного элемента, ассоциативности по умножению и дистрибутивности, определяющие структуру кольца.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Множество классов вычетов по модулю n (Zₙ) образует алгебраическую структуру, которая называется кольцом.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Кольцом K называется непустое множество элементов, на котором определены две арифметические операции (сложение и умножение), относительно которых выполняются следующие свойства: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Ассоциативность по сложению: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 xml:space="preserve">(a + (b + c)) = ((a + b) + c) для любых a, b, c </w:t>
      </w:r>
      <w:r>
        <w:rPr>
          <w:rFonts w:eastAsia="Arial Unicode MS" w:cs="Cambria Math" w:ascii="Cambria Math" w:hAnsi="Cambria Math"/>
          <w:sz w:val="28"/>
          <w:szCs w:val="28"/>
        </w:rPr>
        <w:t>∈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K.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Существование нулевого элемента: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 xml:space="preserve">Существует элемент 0 </w:t>
      </w:r>
      <w:r>
        <w:rPr>
          <w:rFonts w:eastAsia="Arial Unicode MS" w:cs="Cambria Math" w:ascii="Cambria Math" w:hAnsi="Cambria Math"/>
          <w:sz w:val="28"/>
          <w:szCs w:val="28"/>
        </w:rPr>
        <w:t>∈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K, такой что a + 0 = a для любого a </w:t>
      </w:r>
      <w:r>
        <w:rPr>
          <w:rFonts w:eastAsia="Arial Unicode MS" w:cs="Cambria Math" w:ascii="Cambria Math" w:hAnsi="Cambria Math"/>
          <w:sz w:val="28"/>
          <w:szCs w:val="28"/>
        </w:rPr>
        <w:t>∈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K.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3. Существование обратного элемента: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 xml:space="preserve">Для каждого a </w:t>
      </w:r>
      <w:r>
        <w:rPr>
          <w:rFonts w:eastAsia="Arial Unicode MS" w:cs="Cambria Math" w:ascii="Cambria Math" w:hAnsi="Cambria Math"/>
          <w:sz w:val="28"/>
          <w:szCs w:val="28"/>
        </w:rPr>
        <w:t>∈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K существует элемент (−a), такой что a + (−a) = 0.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4. Ассоциативность по умножению: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 xml:space="preserve">a × (b × c) = (a × b) × c для любых a, b, c </w:t>
      </w:r>
      <w:r>
        <w:rPr>
          <w:rFonts w:eastAsia="Arial Unicode MS" w:cs="Cambria Math" w:ascii="Cambria Math" w:hAnsi="Cambria Math"/>
          <w:sz w:val="28"/>
          <w:szCs w:val="28"/>
        </w:rPr>
        <w:t>∈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K.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5. </w:t>
      </w:r>
      <w:r>
        <w:rPr>
          <w:rFonts w:cs="Times New Roman" w:ascii="Times New Roman" w:hAnsi="Times New Roman"/>
          <w:sz w:val="28"/>
          <w:szCs w:val="28"/>
        </w:rPr>
        <w:t>Дистрибутивность</w:t>
      </w:r>
      <w:r>
        <w:rPr>
          <w:rFonts w:cs="Times New Roman" w:ascii="Times New Roman" w:hAnsi="Times New Roman"/>
          <w:sz w:val="28"/>
          <w:szCs w:val="28"/>
          <w:lang w:val="en-US"/>
        </w:rPr>
        <w:t>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a × (b + c) = a × b + a × c </w:t>
      </w:r>
      <w:r>
        <w:rPr>
          <w:rFonts w:cs="Times New Roman" w:ascii="Times New Roman" w:hAnsi="Times New Roman"/>
          <w:sz w:val="28"/>
          <w:szCs w:val="28"/>
        </w:rPr>
        <w:t>и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(b + c) × a = b × a + c × a.</w:t>
      </w:r>
    </w:p>
    <w:p>
      <w:pPr>
        <w:sectPr>
          <w:headerReference w:type="default" r:id="rId12"/>
          <w:headerReference w:type="first" r:id="rId13"/>
          <w:footerReference w:type="default" r:id="rId14"/>
          <w:footerReference w:type="first" r:id="rId15"/>
          <w:type w:val="nextPage"/>
          <w:pgSz w:w="12240" w:h="15840"/>
          <w:pgMar w:left="1440" w:right="1440" w:gutter="0" w:header="1440" w:top="2013" w:footer="1440" w:bottom="2126"/>
          <w:pgNumType w:fmt="decimal"/>
          <w:formProt w:val="false"/>
          <w:textDirection w:val="lrTb"/>
          <w:docGrid w:type="default" w:linePitch="100" w:charSpace="4096"/>
        </w:sect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4. Как вычислить обратный по сложению к a элемент, обозначаемый (–a )?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Обратный по сложению элемент в Zₙ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Определение.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Рассмотрим кольцо вычетов: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Zₙ = {0, 1, 2, …, n-1}.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любого элемента a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Zₙ существует обратный по сложению элемент, который обозначается как (–a) и определяется из условия: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 + (–a) ≡ 0 (mod n)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Иными словами, нужно найти такое число b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Zₙ, что: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 + b ≡ 0 (mod n)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Правила вычисления (–a) в Zₙ: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Если a = 0: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(–a) = 0, так как 0 + 0 ≡ 0 (mod n).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Если a ≠ 0: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(–a) = n – a. Результат всегда находится в интервале [0, n–1].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Пример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кольце Z₇: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Пусть a = 3. Тогда: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(–3) = 7 – 3 = 4.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Проверка: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 + 4 = 7 ≡ 0 (mod 7).</w:t>
      </w: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6d8fvmikiq8l"/>
      <w:bookmarkEnd w:id="0"/>
      <w:r>
        <w:rPr>
          <w:rFonts w:cs="Times New Roman" w:ascii="Times New Roman" w:hAnsi="Times New Roman"/>
          <w:b/>
          <w:sz w:val="28"/>
          <w:szCs w:val="28"/>
        </w:rPr>
        <w:t>5. Какие алгебраические структуры называются полями? Конечными полями? Почему их называют конечными полями Галуа?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Поля, конечные поля и поля Галуа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Что такое поля?</w:t>
      </w:r>
    </w:p>
    <w:p>
      <w:pPr>
        <w:sectPr>
          <w:headerReference w:type="default" r:id="rId16"/>
          <w:headerReference w:type="first" r:id="rId17"/>
          <w:footerReference w:type="default" r:id="rId18"/>
          <w:footerReference w:type="first" r:id="rId19"/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Поле – это алгебраическая структура, которая включает непустое множество элементов (например, K) с двумя определенными арифметическими операциями: сложением (+) и умножением (·). Эти операции должны удовлетворять ряду свойств: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Относительно сложения, множество элементов образует абелеву (коммутативную) группу: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Ассоциативность: a + (b + c) = (a + b) + c для любых a, b, c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K.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Существование нулевого элемента: существует элемент 0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K такой, что a + 0 = 0 + a = a.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Существование обратного элемента по сложению: для каждого a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K существует элемент –a, такой, что a + (–a) = 0.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Коммутативность: a + b = b + a для любых a, b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K.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Относительно умножения, ненулевые элементы поля образуют коммутативную группу: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Ассоциативность: a · (b · c) = (a · b) · c для любых a, b, c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K.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Существование нейтрального элемента: существует элемент 1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K такой, что a · 1 = 1 · a = a.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Существование обратного элемента по умножению: для каждого ненулевого a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K существует a⁻¹ такой, что a · a⁻¹ = 1.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Коммутативность: a · b = b · a для любых a, b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K.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Связь между операциями: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>Дистрибутивность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: a · (b + c) = a · b + a · c </w:t>
      </w:r>
      <w:r>
        <w:rPr>
          <w:rFonts w:cs="Times New Roman" w:ascii="Times New Roman" w:hAnsi="Times New Roman"/>
          <w:sz w:val="28"/>
          <w:szCs w:val="28"/>
        </w:rPr>
        <w:t>и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(b + c) · a = b · a + c · a.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Пример: множество классов вычетов Zₙ (вычетов по модулю n) образует кольцо. Если n является простым числом, то Zₙ становится полем.</w:t>
      </w:r>
    </w:p>
    <w:p>
      <w:pPr>
        <w:sectPr>
          <w:headerReference w:type="default" r:id="rId20"/>
          <w:headerReference w:type="first" r:id="rId21"/>
          <w:footerReference w:type="default" r:id="rId22"/>
          <w:footerReference w:type="first" r:id="rId23"/>
          <w:type w:val="nextPage"/>
          <w:pgSz w:w="12240" w:h="15840"/>
          <w:pgMar w:left="1440" w:right="1440" w:gutter="0" w:header="1440" w:top="2013" w:footer="1440" w:bottom="2126"/>
          <w:pgNumType w:fmt="decimal"/>
          <w:formProt w:val="false"/>
          <w:textDirection w:val="lrTb"/>
          <w:docGrid w:type="default" w:linePitch="100" w:charSpace="4096"/>
        </w:sect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Что такое конечные поля?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Конечными полями называют поля, которые содержат конечное число элементов. Например, множество классов вычетов Zₙ содержит ровно n элементов (при n &gt; 0). Если n — простое число, то Zₙ является конечным полем.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Почему их называют конечными полями Галуа?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Конечные поля называют также полями Галуа по имени французского математика Эвариста Галуа (1811–1832), который исследовал эти структуры. Они обозначаются символом GF(q), где q — количество элементов в поле.</w:t>
      </w: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" w:name="_yaud7r5eo0tf"/>
      <w:bookmarkEnd w:id="1"/>
      <w:r>
        <w:rPr>
          <w:rFonts w:cs="Times New Roman" w:ascii="Times New Roman" w:hAnsi="Times New Roman"/>
          <w:b/>
          <w:sz w:val="28"/>
          <w:szCs w:val="28"/>
        </w:rPr>
        <w:t>6. Дайте определение понятию «порядок элемента a группы G» ordG(a).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Порядок элемента и порядок группы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Понятие «порядок элемента a группы G», обозначаемое ord_G(a), определяется как наименьшее натуральное число k такое, что a^k = 1, где 1 является нейтральным элементом группы относительно заданной операции.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Порядок группы, в свою очередь, — это число её элементов.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Важные аспекты, связанные с порядком элемента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>Теорема Лагранжа: порядок любого элемента конечной группы является делителем порядка самой группы.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 xml:space="preserve">Примитивные элементы (генераторы): элемент a 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Times New Roman" w:ascii="Times New Roman" w:hAnsi="Times New Roman"/>
          <w:sz w:val="28"/>
          <w:szCs w:val="28"/>
        </w:rPr>
        <w:t xml:space="preserve"> G называется примитивным элементом или генератором группы, если его порядок ord_G(a) равен порядку группы. Группа, порождаемая одним таким элементом, называется циклической.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• </w:t>
      </w:r>
      <w:r>
        <w:rPr>
          <w:rFonts w:cs="Times New Roman" w:ascii="Times New Roman" w:hAnsi="Times New Roman"/>
          <w:sz w:val="28"/>
          <w:szCs w:val="28"/>
        </w:rPr>
        <w:t>Малая теорема Ферма: для простого числа p и любого натурального числа a, не кратного p, выполняется a^(p−1) ≡ 1 (mod p). Эта теорема является прямым следствием теоремы Лагранжа для мультипликативной группы ненулевых элементов кольца вычетов Z</w:t>
      </w:r>
      <w:r>
        <w:rPr>
          <w:rFonts w:cs="Times New Roman" w:ascii="Times New Roman" w:hAnsi="Times New Roman"/>
          <w:sz w:val="28"/>
          <w:szCs w:val="28"/>
          <w:vertAlign w:val="subscript"/>
        </w:rPr>
        <w:t>p</w:t>
      </w:r>
      <w:r>
        <w:rPr>
          <w:rFonts w:cs="Times New Roman" w:ascii="Times New Roman" w:hAnsi="Times New Roman"/>
          <w:sz w:val="28"/>
          <w:szCs w:val="28"/>
        </w:rPr>
        <w:t>*.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Использование в криптографии</w:t>
      </w:r>
    </w:p>
    <w:p>
      <w:pPr>
        <w:sectPr>
          <w:headerReference w:type="default" r:id="rId24"/>
          <w:headerReference w:type="first" r:id="rId25"/>
          <w:footerReference w:type="default" r:id="rId26"/>
          <w:footerReference w:type="first" r:id="rId27"/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Понятие порядка элемента является ф</w:t>
      </w:r>
      <w:bookmarkStart w:id="2" w:name="_GoBack"/>
      <w:bookmarkEnd w:id="2"/>
      <w:r>
        <w:rPr>
          <w:rFonts w:cs="Times New Roman" w:ascii="Times New Roman" w:hAnsi="Times New Roman"/>
          <w:sz w:val="28"/>
          <w:szCs w:val="28"/>
        </w:rPr>
        <w:t xml:space="preserve">ундаментальным в криптографии и используется в различных алгоритмах, таких как протокол Диффи-Хеллмана, алгоритмы электронной цифровой подписи (например, ECDSA) и тесты простоты 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(например, тест Поклингтона). В этих применениях важность порядка элемента связана со сложностью вычислительных проблем, на которых строятся криптографические схемы.</w:t>
      </w: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3" w:name="_9qyh6fxh1rtx"/>
      <w:bookmarkEnd w:id="3"/>
      <w:r>
        <w:rPr>
          <w:rFonts w:cs="Times New Roman" w:ascii="Times New Roman" w:hAnsi="Times New Roman"/>
          <w:b/>
          <w:sz w:val="28"/>
          <w:szCs w:val="28"/>
        </w:rPr>
        <w:t>7. Какое свойство связывает порядки элементов с порядками группы?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Свойство, связывающее порядки элементов с порядком группы, называется Теоремой Лагранжа.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Формулировка Теоремы Лагранжа: порядок любого элемента конечной группы является делителем порядка группы.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 xml:space="preserve">Обоснование: если элемент a конечной группы &lt;G, </w:t>
      </w:r>
      <w:r>
        <w:rPr>
          <w:rFonts w:eastAsia="Arial Unicode MS" w:cs="Cambria Math" w:ascii="Cambria Math" w:hAnsi="Cambria Math"/>
          <w:sz w:val="28"/>
          <w:szCs w:val="28"/>
        </w:rPr>
        <w:t>⋅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&gt; имеет порядок k &gt; 1, то элементы a, a², …, a^(k−1), a^k = 1 различны и сами образуют подгруппу A из k элементов. Различные смежные классы b </w:t>
      </w:r>
      <w:r>
        <w:rPr>
          <w:rFonts w:eastAsia="Arial Unicode MS" w:cs="Cambria Math" w:ascii="Cambria Math" w:hAnsi="Cambria Math"/>
          <w:sz w:val="28"/>
          <w:szCs w:val="28"/>
        </w:rPr>
        <w:t>⋅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A (для b </w:t>
      </w:r>
      <w:r>
        <w:rPr>
          <w:rFonts w:eastAsia="Arial Unicode MS" w:cs="Cambria Math" w:ascii="Cambria Math" w:hAnsi="Cambria Math"/>
          <w:sz w:val="28"/>
          <w:szCs w:val="28"/>
        </w:rPr>
        <w:t>∈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G) также имеют мощность k, а их объединение дает всю группу G. Следовательно, число элементов в G равно k </w:t>
      </w:r>
      <w:r>
        <w:rPr>
          <w:rFonts w:eastAsia="Arial Unicode MS" w:cs="Cambria Math" w:ascii="Cambria Math" w:hAnsi="Cambria Math"/>
          <w:sz w:val="28"/>
          <w:szCs w:val="28"/>
        </w:rPr>
        <w:t>⋅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m, где m — число смежных классов.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Пример (модулярная арифметика):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Множество ненулевых элементов кольца Z₂₉ образует группу по умножению с порядком 28. По теореме Лагранжа порядок любого элемента должен быть делителем числа 28. Возможные порядки элементов: 1, 2, 4, 7, 14, 28.</w:t>
      </w: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8. Расскажите о понятиях модулярной арифметики «группа», «Абелева группа».</w:t>
      </w:r>
    </w:p>
    <w:p>
      <w:pPr>
        <w:sectPr>
          <w:headerReference w:type="default" r:id="rId28"/>
          <w:headerReference w:type="first" r:id="rId29"/>
          <w:footerReference w:type="default" r:id="rId30"/>
          <w:footerReference w:type="first" r:id="rId31"/>
          <w:type w:val="nextPage"/>
          <w:pgSz w:w="12240" w:h="15840"/>
          <w:pgMar w:left="1440" w:right="1440" w:gutter="0" w:header="1440" w:top="2013" w:footer="1440" w:bottom="2126"/>
          <w:pgNumType w:fmt="decimal"/>
          <w:formProt w:val="false"/>
          <w:textDirection w:val="lrTb"/>
          <w:docGrid w:type="default" w:linePitch="100" w:charSpace="4096"/>
        </w:sect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контексте модулярной арифметики множество классов вычетов по модулю n (Zₙ) обладает структурой кольца. Рассмотрим определения группы и Абелевой группы: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Группа (Group):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eastAsia="Arial Unicode MS" w:cs="Times New Roman"/>
          <w:sz w:val="28"/>
          <w:szCs w:val="28"/>
          <w:lang w:val="ru-RU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Непустое множество K с операцией сложения (+) является группой, если выполняются свойства: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eastAsia="Arial Unicode MS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1) Ассоциативность: a + (b + c) = (a + b) + c.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eastAsia="Arial Unicode MS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2) Существование нулевого элемента: a + 0 = a.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>3) Существование обратного элемента: a + (−a) = 0.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Абелева группа (Abelian Group):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в группе дополнительно выполняется коммутативность (a + b = b + a), то группа называется Абелевой.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Пример: группа по сложению в Zₙ является Абелевой.</w:t>
      </w: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9. Что представляет собой понятие «коммутативная группа по умножению»?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Понятие «коммутативная группа по умножению» связано с множеством ненулевых элементов кольца Zₙ (обозначается Zₙ*).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Если n — простое число, то Zₙ* образует коммутативную группу по умножению. Она обладает свойствами: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Существование нейтрального элемента (1).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 xml:space="preserve">2) Существование обратного элемента для каждого a </w:t>
      </w:r>
      <w:r>
        <w:rPr>
          <w:rFonts w:eastAsia="Arial Unicode MS" w:cs="Cambria Math" w:ascii="Cambria Math" w:hAnsi="Cambria Math"/>
          <w:sz w:val="28"/>
          <w:szCs w:val="28"/>
        </w:rPr>
        <w:t>∈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Zₙ*.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Ассоциативность и коммутативность по умножению.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Такая структура вместе с Абелевой группой по сложению образует поле. Конечные поля называются полями Галуа (GF(q)).</w:t>
      </w:r>
    </w:p>
    <w:p>
      <w:pPr>
        <w:pStyle w:val="Normal"/>
        <w:numPr>
          <w:ilvl w:val="0"/>
          <w:numId w:val="0"/>
        </w:numPr>
        <w:spacing w:lineRule="auto" w:line="360"/>
        <w:ind w:firstLine="720" w:left="0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10. Расскажите об особенностях систем шифрования с открытым ключом и о криптосистеме RSA (предложенной авторами: Rivest, Shamir, Adleman).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Системы шифрования с открытым ключом (например, RSA) появились в 1970-х годах.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Их основные особенности: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1) Используются два различных ключа — открытый и закрытый.</w:t>
      </w:r>
    </w:p>
    <w:p>
      <w:pPr>
        <w:sectPr>
          <w:headerReference w:type="default" r:id="rId32"/>
          <w:headerReference w:type="first" r:id="rId33"/>
          <w:footerReference w:type="default" r:id="rId34"/>
          <w:footerReference w:type="first" r:id="rId35"/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2) Открытый ключ можно свободно передавать.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3) Закрытый ключ хранится в секрете.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4) Свободный обмен ключами возможен по открытым сетям.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Arial Unicode MS" w:cs="Times New Roman" w:ascii="Times New Roman" w:hAnsi="Times New Roman"/>
          <w:sz w:val="28"/>
          <w:szCs w:val="28"/>
        </w:rPr>
        <w:t xml:space="preserve">5) Безопасность RSA основана на сложности факторизации числа n = p </w:t>
      </w:r>
      <w:r>
        <w:rPr>
          <w:rFonts w:eastAsia="Arial Unicode MS" w:cs="Cambria Math" w:ascii="Cambria Math" w:hAnsi="Cambria Math"/>
          <w:sz w:val="28"/>
          <w:szCs w:val="28"/>
        </w:rPr>
        <w:t>⋅</w:t>
      </w:r>
      <w:r>
        <w:rPr>
          <w:rFonts w:eastAsia="Arial Unicode MS" w:cs="Times New Roman" w:ascii="Times New Roman" w:hAnsi="Times New Roman"/>
          <w:sz w:val="28"/>
          <w:szCs w:val="28"/>
        </w:rPr>
        <w:t xml:space="preserve"> q, где p и q — большие простые числа.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Системы с открытым ключом применяются не только для шифрования, но и для построения электронных цифровых подписей (например, алгоритм Эль-Гамаля, криптография на эллиптических кривых).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11. Самостоятельное изучение самой свежей научной литературы (научных статей, монографий, учебников 2020 – 2023 годов издания) по тематике практического занятия (современные модификации криптосистемы RSA и других систем шифрования с открытым ключом).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sectPr>
      <w:headerReference w:type="default" r:id="rId36"/>
      <w:headerReference w:type="first" r:id="rId37"/>
      <w:footerReference w:type="default" r:id="rId38"/>
      <w:footerReference w:type="first" r:id="rId39"/>
      <w:type w:val="nextPage"/>
      <w:pgSz w:w="12240" w:h="15840"/>
      <w:pgMar w:left="1440" w:right="1440" w:gutter="0" w:header="1440" w:top="2013" w:footer="1440" w:bottom="2126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variable"/>
  </w:font>
  <w:font w:name="Cambria Math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  <w:sz w:val="26"/>
        <w:szCs w:val="26"/>
      </w:rPr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Ростов-на-Дону</w:t>
    </w:r>
  </w:p>
  <w:p>
    <w:pPr>
      <w:pStyle w:val="Foot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t>2025</w:t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6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1" name="Рисунок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6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2" name="Рисунок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0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3" name="Изображение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1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4" name="Изображение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1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1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2780665</wp:posOffset>
          </wp:positionH>
          <wp:positionV relativeFrom="margin">
            <wp:posOffset>-624840</wp:posOffset>
          </wp:positionV>
          <wp:extent cx="586740" cy="586740"/>
          <wp:effectExtent l="0" t="0" r="0" b="0"/>
          <wp:wrapNone/>
          <wp:docPr id="5" name="Изображение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Изображение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1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40" w:before="0" w:after="0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Style1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header" Target="header6.xml"/><Relationship Id="rId13" Type="http://schemas.openxmlformats.org/officeDocument/2006/relationships/header" Target="header7.xml"/><Relationship Id="rId14" Type="http://schemas.openxmlformats.org/officeDocument/2006/relationships/footer" Target="footer6.xml"/><Relationship Id="rId15" Type="http://schemas.openxmlformats.org/officeDocument/2006/relationships/footer" Target="foot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footer" Target="footer8.xml"/><Relationship Id="rId19" Type="http://schemas.openxmlformats.org/officeDocument/2006/relationships/footer" Target="footer9.xml"/><Relationship Id="rId20" Type="http://schemas.openxmlformats.org/officeDocument/2006/relationships/header" Target="header10.xml"/><Relationship Id="rId21" Type="http://schemas.openxmlformats.org/officeDocument/2006/relationships/header" Target="header11.xml"/><Relationship Id="rId22" Type="http://schemas.openxmlformats.org/officeDocument/2006/relationships/footer" Target="footer10.xml"/><Relationship Id="rId23" Type="http://schemas.openxmlformats.org/officeDocument/2006/relationships/footer" Target="footer11.xml"/><Relationship Id="rId24" Type="http://schemas.openxmlformats.org/officeDocument/2006/relationships/header" Target="header12.xml"/><Relationship Id="rId25" Type="http://schemas.openxmlformats.org/officeDocument/2006/relationships/header" Target="header13.xml"/><Relationship Id="rId26" Type="http://schemas.openxmlformats.org/officeDocument/2006/relationships/footer" Target="footer12.xml"/><Relationship Id="rId27" Type="http://schemas.openxmlformats.org/officeDocument/2006/relationships/footer" Target="footer13.xml"/><Relationship Id="rId28" Type="http://schemas.openxmlformats.org/officeDocument/2006/relationships/header" Target="header14.xml"/><Relationship Id="rId29" Type="http://schemas.openxmlformats.org/officeDocument/2006/relationships/header" Target="header15.xml"/><Relationship Id="rId30" Type="http://schemas.openxmlformats.org/officeDocument/2006/relationships/footer" Target="footer14.xml"/><Relationship Id="rId31" Type="http://schemas.openxmlformats.org/officeDocument/2006/relationships/footer" Target="footer15.xml"/><Relationship Id="rId32" Type="http://schemas.openxmlformats.org/officeDocument/2006/relationships/header" Target="header16.xml"/><Relationship Id="rId33" Type="http://schemas.openxmlformats.org/officeDocument/2006/relationships/header" Target="header17.xml"/><Relationship Id="rId34" Type="http://schemas.openxmlformats.org/officeDocument/2006/relationships/footer" Target="footer16.xml"/><Relationship Id="rId35" Type="http://schemas.openxmlformats.org/officeDocument/2006/relationships/footer" Target="footer17.xml"/><Relationship Id="rId36" Type="http://schemas.openxmlformats.org/officeDocument/2006/relationships/header" Target="header18.xml"/><Relationship Id="rId37" Type="http://schemas.openxmlformats.org/officeDocument/2006/relationships/header" Target="header19.xml"/><Relationship Id="rId38" Type="http://schemas.openxmlformats.org/officeDocument/2006/relationships/footer" Target="footer18.xml"/><Relationship Id="rId39" Type="http://schemas.openxmlformats.org/officeDocument/2006/relationships/footer" Target="footer19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10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14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18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Application>LibreOffice/24.2.7.2$Linux_X86_64 LibreOffice_project/420$Build-2</Application>
  <AppVersion>15.0000</AppVersion>
  <Pages>12</Pages>
  <Words>1655</Words>
  <Characters>8590</Characters>
  <CharactersWithSpaces>10096</CharactersWithSpaces>
  <Paragraphs>147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2025-09-30T15:15:00Z</dcterms:created>
  <dc:creator/>
  <dc:description/>
  <dc:language>ru-RU</dc:language>
  <cp:lastModifiedBy/>
  <dcterms:modified xsi:type="dcterms:W3CDTF">2025-10-21T18:40:14Z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