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ПРАКТИЧЕСКАЯ РАБОТА № 2 · УЧЕБНАЯ МОДЕЛЬ</w:t>
      </w:r>
    </w:p>
    <w:p>
      <w:pPr>
        <w:pStyle w:val="Heading1"/>
        <w:jc w:val="center"/>
      </w:pPr>
      <w:r>
        <w:t>АКТ УЧЕБНОЙ ДОКУМЕНТАРНОЙ ПРОВЕРКИ</w:t>
      </w:r>
    </w:p>
    <w:p>
      <w:r>
        <w:t>10.09.2026   № УА-02   г. Ростов-на-Дону</w:t>
      </w:r>
    </w:p>
    <w:p>
      <w:r>
        <w:t>Объект: ООО «ТехноЩит», г. Ростов-на-Дону, пр. Стачки, д. 25, офис 301. Основание — задание ПЗ № 2. Документ не является официальным актом ФСТЭК России.</w:t>
      </w:r>
    </w:p>
    <w:p>
      <w:r>
        <w:t>Учебная роль инспектора: Деревянченко Владислав Павлович (по исходному плану занятия). Представитель организации по технической части: Ковалев Данил Петрович. Эти роли не удостоверяют должности в государственных органах.</w:t>
      </w:r>
    </w:p>
    <w:p>
      <w:r>
        <w:t>Форма работы — анализ документов. Осмотр объекта, измерения, проверка подлинности оригиналов и реестров в рамках данного комплекта не выполнялись. Проверяется 37 файлов DOCX: 29 организационных и технических документов и 8 учебных форм проверки.</w:t>
      </w:r>
    </w:p>
    <w:p>
      <w:r>
        <w:t>Проверка выполнена по плану УПЛ-02. Основания выводов — содержание представленных файлов; результаты реального обследования в акт не включены.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680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061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Область и доказательства</w:t>
            </w:r>
          </w:p>
        </w:tc>
        <w:tc>
          <w:tcPr>
            <w:tcW w:type="dxa" w:w="5613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Установленный результат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Н1</w:t>
            </w:r>
          </w:p>
        </w:tc>
        <w:tc>
          <w:tcPr>
            <w:tcW w:type="dxa" w:w="3061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Лицензионный статус и реквизиты; Заявление № 1 и выписка № 20</w:t>
            </w:r>
          </w:p>
        </w:tc>
        <w:tc>
          <w:tcPr>
            <w:tcW w:type="dxa" w:w="5613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Лицензия документально не подтверждена; дата регистрации 20.08.2026 расходится с трёхлетней историей по заданию. ИНН 6165012345 и ОГРН 1256196012345 не проходят проверку контрольных цифр.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Н2</w:t>
            </w:r>
          </w:p>
        </w:tc>
        <w:tc>
          <w:tcPr>
            <w:tcW w:type="dxa" w:w="3061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Оценка соответствия АС и помещений; № 25, 26, 35, 39</w:t>
            </w:r>
          </w:p>
        </w:tc>
        <w:tc>
          <w:tcPr>
            <w:tcW w:type="dxa" w:w="5613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№ 26 прямо указано отсутствие оформленного аттестата. Паспорта описывают объекты, но не удостоверяют проведение испытаний.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Н3</w:t>
            </w:r>
          </w:p>
        </w:tc>
        <w:tc>
          <w:tcPr>
            <w:tcW w:type="dxa" w:w="3061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Кадровые доказательства; № 6, 24</w:t>
            </w:r>
          </w:p>
        </w:tc>
        <w:tc>
          <w:tcPr>
            <w:tcW w:type="dxa" w:w="5613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Работники перечислены, но первичные документы о работе, образовании и стаже в комплекте отсутствуют.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Н4</w:t>
            </w:r>
          </w:p>
        </w:tc>
        <w:tc>
          <w:tcPr>
            <w:tcW w:type="dxa" w:w="3061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Идентификация оборудования; № 8, 9, 29, 34, 44, 45</w:t>
            </w:r>
          </w:p>
        </w:tc>
        <w:tc>
          <w:tcPr>
            <w:tcW w:type="dxa" w:w="5613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Функциональные коды KI-01/KI-02/AZ-01 не заменяют модель, заводской номер, поверку и документы конкретного исполнения.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Н5</w:t>
            </w:r>
          </w:p>
        </w:tc>
        <w:tc>
          <w:tcPr>
            <w:tcW w:type="dxa" w:w="3061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Согласованность комплекта; Формы проверки; № 40, 41</w:t>
            </w:r>
          </w:p>
        </w:tc>
        <w:tc>
          <w:tcPr>
            <w:tcW w:type="dxa" w:w="5613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Исходные формы содержали пустые реквизиты и неподтверждённые выводы; № 40 и № 41 отсутствовали в основной папке.</w:t>
            </w:r>
          </w:p>
        </w:tc>
      </w:tr>
    </w:tbl>
    <w:p>
      <w:r>
        <w:t>Итог: полное соответствие по представленному комплекту не подтверждено. Н1–Н4 требуют дополнительных сведений и доказательств. Н5 устранено в части комплектности и согласованности учебных форм. Квалификация грубого нарушения и административное наказание не устанавливаются.</w:t>
      </w:r>
    </w:p>
    <w:p>
      <w:r>
        <w:t>Связанные документы от 10.09.2026: оценочный лист УОЛ-02, протокол замечаний УПЗ-02, учебное предписание УПР-02, заключение УЗ-02. Подписи должностных лиц ФСТЭК России в рамках учебного моделирования не воспроизводятся.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Ковалев Данил Петрович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