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ПРАКТИЧЕСКАЯ РАБОТА № 2 · УЧЕБНАЯ МОДЕЛЬ</w:t>
      </w:r>
    </w:p>
    <w:p>
      <w:pPr>
        <w:pStyle w:val="Heading1"/>
        <w:jc w:val="center"/>
      </w:pPr>
      <w:r>
        <w:t>ЗАКЛЮЧЕНИЕ ПО УЧЕБНОЙ ПРОВЕРКЕ</w:t>
      </w:r>
    </w:p>
    <w:p>
      <w:r>
        <w:t>10.09.2026   № УЗ-02   г. Ростов-на-Дону</w:t>
      </w:r>
    </w:p>
    <w:p>
      <w:r>
        <w:t>Объект: ООО «ТехноЩит», г. Ростов-на-Дону, пр. Стачки, д. 25, офис 301. Основание — задание ПЗ № 2. Документ не является официальным актом ФСТЭК России.</w:t>
      </w:r>
    </w:p>
    <w:p>
      <w:r>
        <w:t>Учебная роль инспектора: Деревянченко Владислав Павлович (по исходному плану занятия). Представитель организации по технической части: Ковалев Данил Петрович. Эти роли не удостоверяют должности в государственных органах.</w:t>
      </w:r>
    </w:p>
    <w:p>
      <w:r>
        <w:t>Форма работы — анализ документов. Осмотр объекта, измерения, проверка подлинности оригиналов и реестров в рамках данного комплекта не выполнялись. Проверяется 37 файлов DOCX: 29 организационных и технических документов и 8 учебных форм проверки.</w:t>
      </w:r>
    </w:p>
    <w:p>
      <w:pPr>
        <w:pStyle w:val="Heading2"/>
      </w:pPr>
      <w:r>
        <w:t>Установлено</w:t>
      </w:r>
    </w:p>
    <w:p>
      <w:r>
        <w:t>Представлены описания помещений, оборудования и АС, меры разграничения доступа, учёта носителей и резервного копирования. Доказательства действующей лицензии, завершённой аттестации, кадровой квалификации и соответствия конкретных экземпляров оборудования остаются неполными.</w:t>
      </w:r>
    </w:p>
    <w:p>
      <w:r>
        <w:t>Положительные строки исходного шаблона о полном соответствии, действующих сертификатах и исполнении предыдущих предписаний не подтверждались материалами. Они исключены. Предыдущие официальные предписания в комплекте не представлены.</w:t>
      </w:r>
    </w:p>
    <w:p>
      <w:pPr>
        <w:pStyle w:val="Heading2"/>
      </w:pPr>
      <w:r>
        <w:t>Результат исправления</w:t>
      </w:r>
    </w:p>
    <w:p>
      <w:r>
        <w:t>Н5 закрыто: в основную папку добавлены № 40 и № 41; согласованы восемь учебных форм. Н1–Н4 остаются открытыми. Условия ролевой задачи отделены от результатов анализа документов; вымышленные номера лицензии и аттестата не добавлены.</w:t>
      </w:r>
    </w:p>
    <w:p>
      <w:pPr>
        <w:pStyle w:val="Heading2"/>
      </w:pPr>
      <w:r>
        <w:t>Вывод</w:t>
      </w:r>
    </w:p>
    <w:p>
      <w:r>
        <w:t>Итог: полное соответствие по представленному комплекту не подтверждено. Н1–Н4 требуют дополнительных сведений и доказательств. Н5 устранено в части комплектности и согласованности учебных форм. Квалификация грубого нарушения и административное наказание не устанавливаются.</w:t>
      </w:r>
    </w:p>
    <w:p>
      <w:pPr>
        <w:pStyle w:val="Heading2"/>
      </w:pPr>
      <w:r>
        <w:t>Дальнейшие действия</w:t>
      </w:r>
    </w:p>
    <w:p>
      <w:r>
        <w:t>Исполнить мероприятия УПР-02. Провести повторную проверку доказательств по Н1–Н4. Результаты зафиксировать по каждому коду. Сильные стороны модели — разделение контуров, персональный допуск, учёт носителей и процедура восстановления данных.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Ковалев Данил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