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ПРАКТИЧЕСКАЯ РАБОТА № 2 · УЧЕБНАЯ МОДЕЛЬ</w:t>
      </w:r>
    </w:p>
    <w:p>
      <w:pPr>
        <w:pStyle w:val="Heading1"/>
        <w:jc w:val="center"/>
      </w:pPr>
      <w:r>
        <w:t>УЧЕБНЫЙ ОЦЕНОЧНЫЙ ЛИСТ</w:t>
      </w:r>
    </w:p>
    <w:p>
      <w:r>
        <w:t>10.09.2026   № УОЛ-02   г. Ростов-на-Дону</w:t>
      </w:r>
    </w:p>
    <w:p>
      <w:r>
        <w:t>Объект: ООО «ТехноЩит», г. Ростов-на-Дону, пр. Стачки, д. 25, офис 301. Основание — задание ПЗ № 2. Документ не является официальным актом ФСТЭК России.</w:t>
      </w:r>
    </w:p>
    <w:p>
      <w:r>
        <w:t>Форма работы — анализ документов. Осмотр объекта, измерения, проверка подлинности оригиналов и реестров в рамках данного комплекта не выполнялись. Проверяется 37 файлов DOCX: 29 организационных и технических документов и 8 учебных форм проверки.</w:t>
      </w:r>
    </w:p>
    <w:p>
      <w:r>
        <w:t>Рабочая матрица ПЗ № 2. Это не заполненный официальный оценочный лист по статье 19.1 Закона № 99-ФЗ. Для учебной проверки лицензиата применены критерии пункта 6 Положения № 79.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28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70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Материалы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Оценка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Право на работы и реквизиты</w:t>
            </w:r>
          </w:p>
        </w:tc>
        <w:tc>
          <w:tcPr>
            <w:tcW w:type="dxa" w:w="170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1, 20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 подтверждено — Н1.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Кадры: п. 6 «а», «б»</w:t>
            </w:r>
          </w:p>
        </w:tc>
        <w:tc>
          <w:tcPr>
            <w:tcW w:type="dxa" w:w="170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6, 24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Частично: сведения есть, первичные доказательства не представлены — Н3.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Помещения: п. 6 «в»</w:t>
            </w:r>
          </w:p>
        </w:tc>
        <w:tc>
          <w:tcPr>
            <w:tcW w:type="dxa" w:w="170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10, 25, 35, 40, 41, 46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Имущественные и организационные сведения представлены; результаты оценки соответствия требуют подтверждения — Н2.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Оборудование: п. 6 «г»</w:t>
            </w:r>
          </w:p>
        </w:tc>
        <w:tc>
          <w:tcPr>
            <w:tcW w:type="dxa" w:w="170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8, 9, 29, 34, 44, 45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Частично: договоры и функциональная спецификация представлены — Н4.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АС: п. 6 «д»</w:t>
            </w:r>
          </w:p>
        </w:tc>
        <w:tc>
          <w:tcPr>
            <w:tcW w:type="dxa" w:w="170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26, 36, 39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Оформленный аттестат отсутствует по тексту № 26 — Н2.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Документация: п. 6 «е»</w:t>
            </w:r>
          </w:p>
        </w:tc>
        <w:tc>
          <w:tcPr>
            <w:tcW w:type="dxa" w:w="170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№ 27, 28, 30, 38, 42, 43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Технология и процедуры описаны. Наличие полного комплекта применяемых методик проверяется отдельно.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Согласованность материалов</w:t>
            </w:r>
          </w:p>
        </w:tc>
        <w:tc>
          <w:tcPr>
            <w:tcW w:type="dxa" w:w="170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форм; № 40, 41</w:t>
            </w:r>
          </w:p>
        </w:tc>
        <w:tc>
          <w:tcPr>
            <w:tcW w:type="dxa" w:w="4819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Н5: исправлено 10.09.2026; документы восстановлены, выводы согласованы.</w:t>
            </w:r>
          </w:p>
        </w:tc>
      </w:tr>
    </w:tbl>
    <w:p>
      <w:r>
        <w:t>Итог: полное соответствие по представленному комплекту не подтверждено. Н1–Н4 требуют дополнительных сведений и доказательств. Н5 устранено в части комплектности и согласованности учебных форм. Квалификация грубого нарушения и административное наказание не устанавливаются.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 Данил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