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ПРАКТИЧЕСКАЯ РАБОТА № 2 · УЧЕБНАЯ МОДЕЛЬ</w:t>
      </w:r>
    </w:p>
    <w:p>
      <w:pPr>
        <w:pStyle w:val="Heading1"/>
        <w:jc w:val="center"/>
      </w:pPr>
      <w:r>
        <w:t>УЧЕБНОЕ ПРЕДПИСАНИЕ</w:t>
        <w:br/>
        <w:t>ПЛАН УСТРАНЕНИЯ ЗАМЕЧАНИЙ</w:t>
      </w:r>
    </w:p>
    <w:p>
      <w:r>
        <w:t>10.09.2026   № УПР-02   г. Ростов-на-Дону</w:t>
      </w:r>
    </w:p>
    <w:p>
      <w:r>
        <w:t>Объект: ООО «ТехноЩит», г. Ростов-на-Дону, пр. Стачки, д. 25, офис 301. Основание — задание ПЗ № 2. Документ не является официальным актом ФСТЭК России.</w:t>
      </w:r>
    </w:p>
    <w:p>
      <w:r>
        <w:t>Составлено по акту УА-02 и протоколу УПЗ-02 от 10.09.2026. Адресовано директору ООО «ТехноЩит» Ермолаеву Б. Ю. Сроки являются предложением учебной рабочей группы.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5443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Мера и критерий закрытия</w:t>
            </w:r>
          </w:p>
        </w:tc>
        <w:tc>
          <w:tcPr>
            <w:tcW w:type="dxa" w:w="323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Ответственный / срок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Н1</w:t>
            </w:r>
          </w:p>
        </w:tc>
        <w:tc>
          <w:tcPr>
            <w:tcW w:type="dxa" w:w="5443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Согласовать учебную легенду и реквизиты; при реальной проверке получить сведения реестров.</w:t>
            </w:r>
          </w:p>
        </w:tc>
        <w:tc>
          <w:tcPr>
            <w:tcW w:type="dxa" w:w="323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Ермолаев Б. Ю., Голованов Ф. А. / 3 рабочих дня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Н2</w:t>
            </w:r>
          </w:p>
        </w:tc>
        <w:tc>
          <w:tcPr>
            <w:tcW w:type="dxa" w:w="5443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Установить состав объектов и получить документы проведённой оценки соответствия; если процедура не проведена — организовать её.</w:t>
            </w:r>
          </w:p>
        </w:tc>
        <w:tc>
          <w:tcPr>
            <w:tcW w:type="dxa" w:w="323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Ковалев Д. П. / План за 5 рабочих дней; завершение по программе испытаний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Н3</w:t>
            </w:r>
          </w:p>
        </w:tc>
        <w:tc>
          <w:tcPr>
            <w:tcW w:type="dxa" w:w="5443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Собрать и сверить кадровое досье, включая дополнительное образование и повышение квалификации.</w:t>
            </w:r>
          </w:p>
        </w:tc>
        <w:tc>
          <w:tcPr>
            <w:tcW w:type="dxa" w:w="323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Голованов Ф. А. / 5 рабочих дней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Н4</w:t>
            </w:r>
          </w:p>
        </w:tc>
        <w:tc>
          <w:tcPr>
            <w:tcW w:type="dxa" w:w="5443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Подготовить поэкземплярную ведомость и подтверждающие документы на оборудование, СЗИ и ПО.</w:t>
            </w:r>
          </w:p>
        </w:tc>
        <w:tc>
          <w:tcPr>
            <w:tcW w:type="dxa" w:w="323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Ковалев Д. П., Смирнов А. В. / 5 рабочих дней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Н5</w:t>
            </w:r>
          </w:p>
        </w:tc>
        <w:tc>
          <w:tcPr>
            <w:tcW w:type="dxa" w:w="5443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Исправлено при подготовке: восстановлены № 40 и № 41; восемь форм согласованы по предмету, дате и выводам.</w:t>
            </w:r>
          </w:p>
        </w:tc>
        <w:tc>
          <w:tcPr>
            <w:tcW w:type="dxa" w:w="3231"/>
          </w:tcPr>
          <w:p>
            <w:pPr>
              <w:spacing w:line="240" w:lineRule="auto" w:after="80" w:before="8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Ковалев Д. П. / Выполнено 10.09.2026</w:t>
            </w:r>
          </w:p>
        </w:tc>
      </w:tr>
    </w:tbl>
    <w:p>
      <w:r>
        <w:t>Н1–Н4 закрываются после проверки дополнительных материалов. Н5 закрыто в части редактирования и комплектности учебного пакета. Ответ о выполнении должен указывать проверенный документ и его связь с конкретным замечанием.</w:t>
      </w:r>
    </w:p>
    <w:p>
      <w:r>
        <w:t>Предписание не устанавливает административное наказание, не приостанавливает лицензию и не удостоверяет фактическое проведение аттестации.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Ковалев Данил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