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ПРАКТИЧЕСКАЯ РАБОТА № 2 · УЧЕБНАЯ МОДЕЛЬ</w:t>
      </w:r>
    </w:p>
    <w:p>
      <w:pPr>
        <w:pStyle w:val="Heading1"/>
        <w:jc w:val="center"/>
      </w:pPr>
      <w:r>
        <w:t>ПРОТОКОЛ ЗАМЕЧАНИЙ УЧЕБНОЙ ПРОВЕРКИ</w:t>
      </w:r>
    </w:p>
    <w:p>
      <w:r>
        <w:t>10.09.2026   № УПЗ-02   г. Ростов-на-Дону</w:t>
      </w:r>
    </w:p>
    <w:p>
      <w:r>
        <w:t>Объект: ООО «ТехноЩит», г. Ростов-на-Дону, пр. Стачки, д. 25, офис 301. Основание — задание ПЗ № 2. Документ не является официальным актом ФСТЭК России.</w:t>
      </w:r>
    </w:p>
    <w:p>
      <w:r>
        <w:t>Основание: акт УА-02 от 10.09.2026. Документ фиксирует недостатки доказательств и несогласованность учебного пакета, а не состав административного правонарушения.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59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Факт и источник</w:t>
            </w:r>
          </w:p>
        </w:tc>
        <w:tc>
          <w:tcPr>
            <w:tcW w:type="dxa" w:w="408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Мера / статус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Н1</w:t>
            </w:r>
          </w:p>
        </w:tc>
        <w:tc>
          <w:tcPr>
            <w:tcW w:type="dxa" w:w="459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Заявление № 1 и выписка № 20. Лицензия документально не подтверждена; дата регистрации 20.08.2026 расходится с трёхлетней историей по заданию. ИНН 6165012345 и ОГРН 1256196012345 не проходят проверку контрольных цифр.</w:t>
            </w:r>
          </w:p>
        </w:tc>
        <w:tc>
          <w:tcPr>
            <w:tcW w:type="dxa" w:w="408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Согласовать учебную легенду и реквизиты; при реальной проверке получить сведения реестров.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Н2</w:t>
            </w:r>
          </w:p>
        </w:tc>
        <w:tc>
          <w:tcPr>
            <w:tcW w:type="dxa" w:w="459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25, 26, 35, 39. В № 26 прямо указано отсутствие оформленного аттестата. Паспорта описывают объекты, но не удостоверяют проведение испытаний.</w:t>
            </w:r>
          </w:p>
        </w:tc>
        <w:tc>
          <w:tcPr>
            <w:tcW w:type="dxa" w:w="408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Установить состав объектов и получить документы проведённой оценки соответствия; если процедура не проведена — организовать её.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Н3</w:t>
            </w:r>
          </w:p>
        </w:tc>
        <w:tc>
          <w:tcPr>
            <w:tcW w:type="dxa" w:w="459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6, 24. Работники перечислены, но первичные документы о работе, образовании и стаже в комплекте отсутствуют.</w:t>
            </w:r>
          </w:p>
        </w:tc>
        <w:tc>
          <w:tcPr>
            <w:tcW w:type="dxa" w:w="408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Собрать и сверить кадровое досье, включая дополнительное образование и повышение квалификации.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Н4</w:t>
            </w:r>
          </w:p>
        </w:tc>
        <w:tc>
          <w:tcPr>
            <w:tcW w:type="dxa" w:w="459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8, 9, 29, 34, 44, 45. Функциональные коды KI-01/KI-02/AZ-01 не заменяют модель, заводской номер, поверку и документы конкретного исполнения.</w:t>
            </w:r>
          </w:p>
        </w:tc>
        <w:tc>
          <w:tcPr>
            <w:tcW w:type="dxa" w:w="408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Подготовить поэкземплярную ведомость и подтверждающие документы на оборудование, СЗИ и ПО.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Н5</w:t>
            </w:r>
          </w:p>
        </w:tc>
        <w:tc>
          <w:tcPr>
            <w:tcW w:type="dxa" w:w="459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Формы проверки; № 40, 41. Исходные формы содержали пустые реквизиты и неподтверждённые выводы; № 40 и № 41 отсутствовали в основной папке.</w:t>
            </w:r>
          </w:p>
        </w:tc>
        <w:tc>
          <w:tcPr>
            <w:tcW w:type="dxa" w:w="4082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Исправлено при подготовке: восстановлены № 40 и № 41; восемь форм согласованы по предмету, дате и выводам.</w:t>
            </w:r>
          </w:p>
        </w:tc>
      </w:tr>
    </w:tbl>
    <w:p>
      <w:r>
        <w:t>Из исходного шаблона исключены неподтверждённые утверждения об отсутствии антивирусной политики, необходимости бумажного дубликата журнала, журнала СКЗИ-ключей и обязательности банковского стандарта. Антивирусные процедуры и сетевые связи уже описаны в паспорте АС № 39.</w:t>
      </w:r>
    </w:p>
    <w:p>
      <w:r>
        <w:t>Итог: полное соответствие по представленному комплекту не подтверждено. Н1–Н4 требуют дополнительных сведений и доказательств. Н5 устранено в части комплектности и согласованности учебных форм. Квалификация грубого нарушения и административное наказание не устанавливаются.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