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firstLine="0"/>
        <w:jc w:val="center"/>
      </w:pPr>
      <w:r>
        <w:rPr>
          <w:b/>
        </w:rPr>
        <w:t>Общество с ограниченной ответственностью «ТехноЩит»</w:t>
      </w:r>
    </w:p>
    <w:p>
      <w:pPr>
        <w:ind w:firstLine="0"/>
        <w:jc w:val="center"/>
      </w:pPr>
      <w:r>
        <w:rPr>
          <w:b/>
        </w:rPr>
        <w:t>ПРИКАЗ О ДОПУСКЕ В ПОМЕЩЕНИЯ И К РЕСУРСАМ АС</w:t>
      </w:r>
    </w:p>
    <w:p>
      <w:pPr>
        <w:ind w:firstLine="0"/>
      </w:pPr>
      <w:r>
        <w:t>01.09.2026 № 7</w:t>
        <w:br/>
        <w:t>г. Ростов-на-Дону</w:t>
      </w:r>
    </w:p>
    <w:p>
      <w:pPr>
        <w:jc w:val="both"/>
      </w:pPr>
      <w:r>
        <w:t>В целях организации доступа к помещениям и информационным ресурсам приказываю:</w:t>
      </w:r>
    </w:p>
    <w:p>
      <w:pPr>
        <w:jc w:val="both"/>
      </w:pPr>
      <w:r>
        <w:t>1. Утвердить приведённый ниже список доступа. 2. Назначить Ковалева Д. П. ответственным за выдачу идентификаторов, ключей и изменение прав. 3. Посетителей допускать только в сопровождении; самостоятельный доступ посетителей в помещения 04–06 запрещён. 4. При прекращении полномочий доступ блокируется в тот же рабочий день. 5. В нерабочее время проход в ограниченную зону согласуется с директором и регистрируется. 6. При аварии выход из помещения обеспечивается без предъявления идентификатора.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cantSplit/>
          <w:tblHeader/>
        </w:trPr>
        <w:tc>
          <w:tcPr>
            <w:tcW w:type="dxa" w:w="3118"/>
          </w:tcPr>
          <w:p>
            <w:pPr>
              <w:spacing w:after="40" w:line="240" w:lineRule="auto"/>
              <w:ind w:firstLine="0"/>
            </w:pPr>
            <w:r>
              <w:rPr>
                <w:sz w:val="22"/>
              </w:rPr>
              <w:t>Работник</w:t>
            </w:r>
          </w:p>
        </w:tc>
        <w:tc>
          <w:tcPr>
            <w:tcW w:type="dxa" w:w="3118"/>
          </w:tcPr>
          <w:p>
            <w:pPr>
              <w:spacing w:after="40" w:line="240" w:lineRule="auto"/>
              <w:ind w:firstLine="0"/>
            </w:pPr>
            <w:r>
              <w:rPr>
                <w:sz w:val="22"/>
              </w:rPr>
              <w:t>Помещения</w:t>
            </w:r>
          </w:p>
        </w:tc>
        <w:tc>
          <w:tcPr>
            <w:tcW w:type="dxa" w:w="3118"/>
          </w:tcPr>
          <w:p>
            <w:pPr>
              <w:spacing w:after="40" w:line="240" w:lineRule="auto"/>
              <w:ind w:firstLine="0"/>
            </w:pPr>
            <w:r>
              <w:rPr>
                <w:sz w:val="22"/>
              </w:rPr>
              <w:t>Ресурсы / полномочия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spacing w:after="40" w:line="240" w:lineRule="auto"/>
              <w:ind w:firstLine="0"/>
            </w:pPr>
            <w:r>
              <w:rPr>
                <w:sz w:val="22"/>
              </w:rPr>
              <w:t>Ермолаев Б. Ю.</w:t>
            </w:r>
          </w:p>
        </w:tc>
        <w:tc>
          <w:tcPr>
            <w:tcW w:type="dxa" w:w="3118"/>
          </w:tcPr>
          <w:p>
            <w:pPr>
              <w:spacing w:after="40" w:line="240" w:lineRule="auto"/>
              <w:ind w:firstLine="0"/>
            </w:pPr>
            <w:r>
              <w:rPr>
                <w:sz w:val="22"/>
              </w:rPr>
              <w:t>01–08</w:t>
            </w:r>
          </w:p>
        </w:tc>
        <w:tc>
          <w:tcPr>
            <w:tcW w:type="dxa" w:w="3118"/>
          </w:tcPr>
          <w:p>
            <w:pPr>
              <w:spacing w:after="40" w:line="240" w:lineRule="auto"/>
              <w:ind w:firstLine="0"/>
            </w:pPr>
            <w:r>
              <w:rPr>
                <w:sz w:val="22"/>
              </w:rPr>
              <w:t>R1/R2/R3/R4: просмотр и утверждение; без администрирования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spacing w:after="40" w:line="240" w:lineRule="auto"/>
              <w:ind w:firstLine="0"/>
            </w:pPr>
            <w:r>
              <w:rPr>
                <w:sz w:val="22"/>
              </w:rPr>
              <w:t>Ковалев Д. П.</w:t>
            </w:r>
          </w:p>
        </w:tc>
        <w:tc>
          <w:tcPr>
            <w:tcW w:type="dxa" w:w="3118"/>
          </w:tcPr>
          <w:p>
            <w:pPr>
              <w:spacing w:after="40" w:line="240" w:lineRule="auto"/>
              <w:ind w:firstLine="0"/>
            </w:pPr>
            <w:r>
              <w:rPr>
                <w:sz w:val="22"/>
              </w:rPr>
              <w:t>01–08</w:t>
            </w:r>
          </w:p>
        </w:tc>
        <w:tc>
          <w:tcPr>
            <w:tcW w:type="dxa" w:w="3118"/>
          </w:tcPr>
          <w:p>
            <w:pPr>
              <w:spacing w:after="40" w:line="240" w:lineRule="auto"/>
              <w:ind w:firstLine="0"/>
            </w:pPr>
            <w:r>
              <w:rPr>
                <w:sz w:val="22"/>
              </w:rPr>
              <w:t>R1/R4/R5; отдельная запись администратора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spacing w:after="40" w:line="240" w:lineRule="auto"/>
              <w:ind w:firstLine="0"/>
            </w:pPr>
            <w:r>
              <w:rPr>
                <w:sz w:val="22"/>
              </w:rPr>
              <w:t>Голованов Ф. А.</w:t>
            </w:r>
          </w:p>
        </w:tc>
        <w:tc>
          <w:tcPr>
            <w:tcW w:type="dxa" w:w="3118"/>
          </w:tcPr>
          <w:p>
            <w:pPr>
              <w:spacing w:after="40" w:line="240" w:lineRule="auto"/>
              <w:ind w:firstLine="0"/>
            </w:pPr>
            <w:r>
              <w:rPr>
                <w:sz w:val="22"/>
              </w:rPr>
              <w:t>01–03, 04–07 по рабочей необходимости</w:t>
            </w:r>
          </w:p>
        </w:tc>
        <w:tc>
          <w:tcPr>
            <w:tcW w:type="dxa" w:w="3118"/>
          </w:tcPr>
          <w:p>
            <w:pPr>
              <w:spacing w:after="40" w:line="240" w:lineRule="auto"/>
              <w:ind w:firstLine="0"/>
            </w:pPr>
            <w:r>
              <w:rPr>
                <w:sz w:val="22"/>
              </w:rPr>
              <w:t>R2/R3/R4; обработка договоров и кадровых сведений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spacing w:after="40" w:line="240" w:lineRule="auto"/>
              <w:ind w:firstLine="0"/>
            </w:pPr>
            <w:r>
              <w:rPr>
                <w:sz w:val="22"/>
              </w:rPr>
              <w:t>Смирнов А. В.</w:t>
            </w:r>
          </w:p>
        </w:tc>
        <w:tc>
          <w:tcPr>
            <w:tcW w:type="dxa" w:w="3118"/>
          </w:tcPr>
          <w:p>
            <w:pPr>
              <w:spacing w:after="40" w:line="240" w:lineRule="auto"/>
              <w:ind w:firstLine="0"/>
            </w:pPr>
            <w:r>
              <w:rPr>
                <w:sz w:val="22"/>
              </w:rPr>
              <w:t>01–04, 06, 08; архив с Ковалевым</w:t>
            </w:r>
          </w:p>
        </w:tc>
        <w:tc>
          <w:tcPr>
            <w:tcW w:type="dxa" w:w="3118"/>
          </w:tcPr>
          <w:p>
            <w:pPr>
              <w:spacing w:after="40" w:line="240" w:lineRule="auto"/>
              <w:ind w:firstLine="0"/>
            </w:pPr>
            <w:r>
              <w:rPr>
                <w:sz w:val="22"/>
              </w:rPr>
              <w:t>R1 по назначенным заказам, R4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spacing w:after="40" w:line="240" w:lineRule="auto"/>
              <w:ind w:firstLine="0"/>
            </w:pPr>
            <w:r>
              <w:rPr>
                <w:sz w:val="22"/>
              </w:rPr>
              <w:t>Тарасенко И. Н.</w:t>
            </w:r>
          </w:p>
        </w:tc>
        <w:tc>
          <w:tcPr>
            <w:tcW w:type="dxa" w:w="3118"/>
          </w:tcPr>
          <w:p>
            <w:pPr>
              <w:spacing w:after="40" w:line="240" w:lineRule="auto"/>
              <w:ind w:firstLine="0"/>
            </w:pPr>
            <w:r>
              <w:rPr>
                <w:sz w:val="22"/>
              </w:rPr>
              <w:t>01–04, 06, 08; архив с Ковалевым</w:t>
            </w:r>
          </w:p>
        </w:tc>
        <w:tc>
          <w:tcPr>
            <w:tcW w:type="dxa" w:w="3118"/>
          </w:tcPr>
          <w:p>
            <w:pPr>
              <w:spacing w:after="40" w:line="240" w:lineRule="auto"/>
              <w:ind w:firstLine="0"/>
            </w:pPr>
            <w:r>
              <w:rPr>
                <w:sz w:val="22"/>
              </w:rPr>
              <w:t>R1 по назначенным заказам, R4</w:t>
            </w:r>
          </w:p>
        </w:tc>
      </w:tr>
    </w:tbl>
    <w:p>
      <w:pPr>
        <w:jc w:val="both"/>
      </w:pPr>
      <w:r>
        <w:t>Остальные работники используют общий контур и посетительскую зону по обязанностям. Предоставление им доступа к защищённым ресурсам требует изменения списка. Информационные права действуют независимо от права физического входа; доступ в комнату не даёт доступ ко всем файлам.</w:t>
      </w:r>
    </w:p>
    <w:p>
      <w:pPr>
        <w:ind w:firstLine="0"/>
      </w:pPr>
      <w:r>
        <w:t>Директор ________________ Ермолаев Б. Ю.</w:t>
        <w:br/>
        <w:t>С приказом ознакомлены: Ковалев Д. П. __________; Голованов Ф. А. __________; Смирнов А. В. __________; Тарасенко И. Н. __________.</w:t>
      </w:r>
    </w:p>
    <w:sectPr w:rsidR="00FC693F" w:rsidRPr="0006063C" w:rsidSect="00034616">
      <w:headerReference w:type="default" r:id="rId9"/>
      <w:pgSz w:w="11906" w:h="16838"/>
      <w:pgMar w:top="1134" w:right="850" w:bottom="1134" w:left="1701" w:header="567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fldSimple w:instr="PAGE"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  <w:ind w:firstLine="709"/>
    </w:pPr>
    <w:rPr>
      <w:rFonts w:ascii="Times New Roman" w:hAnsi="Times New Roman" w:eastAsia="Times New Roman" w:cs="Times New Roman"/>
      <w:color w:val="000000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eastAsia="Times New Roman" w:cs="Times New Roman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eastAsia="Times New Roman" w:cs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eastAsia="Times New Roman" w:cs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eastAsia="Times New Roman" w:cs="Times New Roman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eastAsia="Times New Roman" w:cs="Times New Roman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eastAsia="Times New Roman" w:cs="Times New Roman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eastAsia="Times New Roman" w:cs="Times New Roman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eastAsia="Times New Roman" w:cs="Times New Roman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eastAsia="Times New Roman" w:cs="Times New Roman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eastAsia="Times New Roman" w:cs="Times New Roman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eastAsia="Times New Roman" w:cs="Times New Roman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eastAsia="Times New Roman" w:cs="Times New Roman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eastAsia="Times New Roman" w:cs="Times New Roman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eastAsia="Times New Roman" w:cs="Times New Roman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eastAsia="Times New Roman" w:cs="Times New Roman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eastAsia="Times New Roman" w:cs="Times New Roman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eastAsia="Times New Roman" w:cs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eastAsia="Times New Roman" w:cs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eastAsia="Times New Roman" w:cs="Times New Roman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eastAsia="Times New Roman" w:cs="Times New Roman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eastAsia="Times New Roman" w:cs="Times New Roman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eastAsia="Times New Roman" w:cs="Times New Roman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eastAsia="Times New Roman" w:cs="Times New Roman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eastAsia="Times New Roman" w:cs="Times New Roman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