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/>
          <w:i w:val="0"/>
          <w:sz w:val="24"/>
        </w:rPr>
        <w:t>МИНИСТЕРСТВО НАУКИ И ВЫСШЕГО ОБРАЗОВАНИЯ РОССИЙСКОЙ ФЕДЕРАЦИИ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/>
          <w:i w:val="0"/>
          <w:sz w:val="24"/>
        </w:rPr>
        <w:t>ФЕДЕРАЛЬНОЕ ГОСУДАРСТВЕННОЕ БЮДЖЕТНОЕ ОБРАЗОВАТЕЛЬНОЕ УЧРЕЖДЕНИЕ ВЫСШЕГО ОБРАЗОВАНИЯ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/>
          <w:i w:val="0"/>
          <w:sz w:val="24"/>
        </w:rPr>
        <w:t>«ДОНСКОЙ ГОСУДАРСТВЕННЫЙ ТЕХНИЧЕСКИЙ УНИВЕРСИТЕТ»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/>
          <w:i w:val="0"/>
          <w:sz w:val="24"/>
        </w:rPr>
        <w:t>(ДГТУ)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Факультет «Информатика и вычислительная техника»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Кафедра «Кибербезопасность информационных систем»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/>
          <w:i w:val="0"/>
          <w:sz w:val="28"/>
        </w:rPr>
        <w:t>Дисциплина «Техническая защита информации»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/>
          <w:i w:val="0"/>
          <w:sz w:val="30"/>
        </w:rPr>
        <w:t>ЛАБОРАТОРНАЯ РАБОТА № 4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/>
          <w:i w:val="0"/>
          <w:sz w:val="28"/>
        </w:rPr>
        <w:t>на тему «Расчётный метод оценки защищённости речевой информации от утечки за счёт НЧ акустоэлектрических преобразований»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/>
          <w:i w:val="0"/>
          <w:sz w:val="28"/>
        </w:rPr>
        <w:t>Вариант № 2 — Рубин-2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Выполнил обучающийся гр. ВКБ53</w:t>
      </w: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Ковалев Д.П.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Проверили:</w:t>
      </w: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К.т.н., доцент кафедры «КБИС» Короченцев Д.А.</w:t>
      </w: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Доцент кафедры «КБИС» Дубровина А.И.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Ростов-на-Дону, 2026</w:t>
      </w:r>
    </w:p>
    <w:p>
      <w:r>
        <w:br w:type="page"/>
      </w:r>
    </w:p>
    <w:p>
      <w:pPr>
        <w:spacing w:line="360" w:lineRule="auto" w:after="120" w:before="80"/>
        <w:jc w:val="left"/>
      </w:pPr>
      <w:r>
        <w:rPr>
          <w:rFonts w:ascii="Times New Roman" w:hAnsi="Times New Roman" w:cs="Times New Roman"/>
          <w:b/>
          <w:i w:val="0"/>
          <w:sz w:val="28"/>
        </w:rPr>
        <w:t>Цель работы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Изучить методику применения технических средств и комплексов при оценке защищённости помещения от утечки речевой информации по каналам акустоэлектрических преобразований (АЭП) в ВТСС; изучить методику расчёта словесной разборчивости речи и научиться интерпретировать результаты измерений.</w:t>
      </w:r>
    </w:p>
    <w:p>
      <w:pPr>
        <w:spacing w:line="360" w:lineRule="auto" w:after="120" w:before="160"/>
        <w:jc w:val="left"/>
      </w:pPr>
      <w:r>
        <w:rPr>
          <w:rFonts w:ascii="Times New Roman" w:hAnsi="Times New Roman" w:cs="Times New Roman"/>
          <w:b/>
          <w:i w:val="0"/>
          <w:sz w:val="28"/>
        </w:rPr>
        <w:t>Краткие теоретические сведения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нормальном режиме работы технические средства (ТС) могут образовывать каналы утечки речевой информации за счёт явления акустоэлектрических преобразований. Акустоэлектрический преобразователь — устройство, преобразующее акустическую энергию в электромагнитную энергию в схемах устройств. В основе явления лежат электродинамический, электромагнитный, электростатический, пьезоэлектрический, тензорезистивный эффекты и обратный эффект магнитострикции (эффект Веллари).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Для перехвата речевой информации по отходящим проводным линиям злоумышленник подключает малошумящий усилитель низкой частоты (техническое средство разведки, ТСР). Нормируемым показателем является отношение «сигнал/шум» Δi в каждой из пяти октавных полос. Нормы противодействия: Δн = 0,3; Wн = 0,3.</w:t>
      </w:r>
    </w:p>
    <w:p>
      <w:pPr>
        <w:spacing w:line="360" w:lineRule="auto" w:after="120" w:before="160"/>
        <w:jc w:val="left"/>
      </w:pPr>
      <w:r>
        <w:rPr>
          <w:rFonts w:ascii="Times New Roman" w:hAnsi="Times New Roman" w:cs="Times New Roman"/>
          <w:b/>
          <w:i w:val="0"/>
          <w:sz w:val="28"/>
        </w:rPr>
        <w:t>Порядок обработки результатов измерений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1. Уровень информативного сигнала: Uс.i = √(U²сшi − U²шi). Если Uсшi − Uшi &lt; 1 дБ, то Uсi[дБ] = Uсшi[дБ] − 7.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2. Степень превышения давления над нормой: Ki = 10^((Li − Lнi)/20).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3. Приведённый сигнал: Uс.прив.i = Uсi / Ki.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4. Нормированный шум Uш.н.окт.i — по табл. 3.4 (вид линии и тип подключения).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5. Отношение «сигнал/шум»: Δi = Uс.прив.i / Uш.н.окт.i.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6. При Δi &gt; Δн рассчитывается словесная разборчивость Wc; при Wc ≤ Wн ТС соответствует нормам.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7. Оценка на границе КЗ: Kл.i = U1i / U2i, Δ*л.i = Δi / Kл.i, затем W*c. Защита эффективна, если W*c ≤ Wн = 0,3.</w:t>
      </w:r>
    </w:p>
    <w:p>
      <w:r>
        <w:br w:type="page"/>
      </w:r>
    </w:p>
    <w:p>
      <w:pPr>
        <w:spacing w:line="360" w:lineRule="auto" w:after="120" w:before="160"/>
        <w:jc w:val="center"/>
      </w:pPr>
      <w:r>
        <w:rPr>
          <w:rFonts w:ascii="Times New Roman" w:hAnsi="Times New Roman" w:cs="Times New Roman"/>
          <w:b/>
          <w:i w:val="0"/>
          <w:sz w:val="28"/>
        </w:rPr>
        <w:t>Протокол инструментально-расчётной оценки защищённости помещения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На основании контракта № 55/1, заключённого с ООО «Тантал», и действующей лицензии ФСТЭК России № 23658/45-1 специалистами ООО «Центр безопасности информационных технологий» проведены лабораторные специальные исследования (СИ) ВТСС, предназначенных для эксплуатации в защищаемом помещении (ЗП) — «Зал для переговоров», А-101, г. Ростов-на-Дону, ул. Строителей, д. 2.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Цель СИ — определение соответствия величин «опасных» сигналов, возникающих в ВТСС за счёт эффекта АЭП, заданным нормам. Вид исследований — аттестационные. Электропитание ТС — по однофазной линии; шина заземления отсутствует; фильтры в сети питания отсутствуют; средства активной/пассивной акустической защиты отсутствуют. В ЗП установлен громкоговоритель системы звукоусиления, поэтому нормированные уровни речевого сигнала приняты для случая наличия устройств звукоусиления (Lнi = 80, 80, 75, 70, 67 дБ).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Контрольно-измерительная аппаратура: программно-аппаратный комплекс «Талис-НЧ», зав. № 145ХМ854, свидетельство о поверке № 59 от 29.08.2016.</w:t>
      </w:r>
    </w:p>
    <w:p>
      <w:pPr>
        <w:spacing w:line="360" w:lineRule="auto" w:after="40" w:before="160"/>
        <w:jc w:val="center"/>
      </w:pPr>
      <w:r>
        <w:rPr>
          <w:rFonts w:ascii="Times New Roman" w:hAnsi="Times New Roman" w:cs="Times New Roman"/>
          <w:b/>
          <w:i w:val="0"/>
          <w:sz w:val="26"/>
        </w:rPr>
        <w:t>Результаты специальных исследований телефонного аппарата Рубин-2 (зав. № 2564ВВ4)</w:t>
      </w:r>
    </w:p>
    <w:p>
      <w:pPr>
        <w:spacing w:line="360" w:lineRule="auto" w:after="40" w:before="0"/>
        <w:jc w:val="center"/>
      </w:pPr>
      <w:r>
        <w:rPr>
          <w:rFonts w:ascii="Times New Roman" w:hAnsi="Times New Roman" w:cs="Times New Roman"/>
          <w:b w:val="0"/>
          <w:i/>
          <w:sz w:val="28"/>
        </w:rPr>
        <w:t>Таблица результатов для рабочего режима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793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Вид линии (линия связи – 1; линия электропитания – 2)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1</w:t>
            </w:r>
          </w:p>
        </w:tc>
      </w:tr>
      <w:tr>
        <w:tc>
          <w:tcPr>
            <w:tcW w:type="dxa" w:w="793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Тип подключения (симметричное – 1; несимметричное – 2)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2</w:t>
            </w:r>
          </w:p>
        </w:tc>
      </w:tr>
      <w:tr>
        <w:tc>
          <w:tcPr>
            <w:tcW w:type="dxa" w:w="793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Использование средств защиты (Да – 1; Нет – 2)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2</w:t>
            </w:r>
          </w:p>
        </w:tc>
      </w:tr>
    </w:tbl>
    <w:p>
      <w:pPr>
        <w:spacing w:line="360" w:lineRule="auto" w:after="40" w:before="120"/>
        <w:jc w:val="both"/>
      </w:pPr>
      <w:r>
        <w:rPr>
          <w:rFonts w:ascii="Times New Roman" w:hAnsi="Times New Roman" w:cs="Times New Roman"/>
          <w:b w:val="0"/>
          <w:i/>
          <w:sz w:val="28"/>
        </w:rPr>
        <w:t>Таблица 1. Результаты измерений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Среднегеометр. частота октавы, Гц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Нормир. уровень звук. давл. Lнi, дБ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Измер. уровень звук. давл. Li, дБ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Напряжение «сигнал+шум» Uсшi, дБ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Напряжение шума Uшi, дБ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Напряж. в линии у точки T1, U1i, мкВ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Напряж. в линии на границе КЗ T2, U2i, мкВ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275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80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99,52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61,58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57,51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341,50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12,50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525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80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100,03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67,60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56,25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365,10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11,30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1025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100,85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67,60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47,96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435,01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32,10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2025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95,56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65,44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44,61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499,60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9,41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4025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67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92,80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66,55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43,52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253,01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9,41</w:t>
            </w:r>
          </w:p>
        </w:tc>
      </w:tr>
    </w:tbl>
    <w:p>
      <w:pPr>
        <w:spacing w:line="360" w:lineRule="auto" w:after="40" w:before="120"/>
        <w:jc w:val="both"/>
      </w:pPr>
      <w:r>
        <w:rPr>
          <w:rFonts w:ascii="Times New Roman" w:hAnsi="Times New Roman" w:cs="Times New Roman"/>
          <w:b w:val="0"/>
          <w:i/>
          <w:sz w:val="28"/>
        </w:rPr>
        <w:t>Таблица 2. Расчёт уровня информативного сигнала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Среднегеометр. частота, Гц</w:t>
            </w:r>
          </w:p>
        </w:tc>
        <w:tc>
          <w:tcPr>
            <w:tcW w:type="dxa" w:w="1615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Uсшi, мкВ</w:t>
            </w:r>
          </w:p>
        </w:tc>
        <w:tc>
          <w:tcPr>
            <w:tcW w:type="dxa" w:w="1615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Uшi, мкВ</w:t>
            </w:r>
          </w:p>
        </w:tc>
        <w:tc>
          <w:tcPr>
            <w:tcW w:type="dxa" w:w="1615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Uсi, мкВ</w:t>
            </w:r>
          </w:p>
        </w:tc>
        <w:tc>
          <w:tcPr>
            <w:tcW w:type="dxa" w:w="1615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Коэф. превыш. давл. над нормой Ki</w:t>
            </w:r>
          </w:p>
        </w:tc>
        <w:tc>
          <w:tcPr>
            <w:tcW w:type="dxa" w:w="1615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Uс.прив.i, мкВ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275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1199,499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750,758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935,500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9,4624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98,8653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525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2398,833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649,382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2309,265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10,0346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230,1302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1025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2398,833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250,035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2385,767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19,6110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121,6544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2025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1870,682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170,020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1862,940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18,9671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98,2198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4025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2125,690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149,968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2120,394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19,4984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108,7468</w:t>
            </w:r>
          </w:p>
        </w:tc>
      </w:tr>
    </w:tbl>
    <w:p>
      <w:pPr>
        <w:spacing w:line="360" w:lineRule="auto" w:after="40" w:before="120"/>
        <w:jc w:val="both"/>
      </w:pPr>
      <w:r>
        <w:rPr>
          <w:rFonts w:ascii="Times New Roman" w:hAnsi="Times New Roman" w:cs="Times New Roman"/>
          <w:b w:val="0"/>
          <w:i/>
          <w:sz w:val="28"/>
        </w:rPr>
        <w:t>Таблица 3. Расчёт отношения «сигнал/шум» и словесной разборчивости речи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Среднегеометр. частота, Гц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Uш.н.окт симметр., мкВ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Uш.н.окт несимметр., мкВ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Uш.н.окт цепи питания, мкВ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Uш для расчёта, мкВ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Отношение «сигнал/шум» Δi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Словесная разборчивость Wc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275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0,055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1,200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151,0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1,200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82,3878</w:t>
            </w:r>
          </w:p>
        </w:tc>
        <w:tc>
          <w:tcPr>
            <w:tcW w:type="dxa" w:w="1384"/>
            <w:vMerge w:val="restart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0,9977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525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0,068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1,500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74,0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1,500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153,4202</w:t>
            </w:r>
          </w:p>
        </w:tc>
        <w:tc>
          <w:tcPr>
            <w:tcW w:type="dxa" w:w="1384"/>
            <w:vMerge/>
          </w:tcPr>
          <w:p/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1025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0,081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1,700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20,5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1,700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71,5614</w:t>
            </w:r>
          </w:p>
        </w:tc>
        <w:tc>
          <w:tcPr>
            <w:tcW w:type="dxa" w:w="1384"/>
            <w:vMerge/>
          </w:tcPr>
          <w:p/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2025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0,098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2,100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4,6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2,100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46,7713</w:t>
            </w:r>
          </w:p>
        </w:tc>
        <w:tc>
          <w:tcPr>
            <w:tcW w:type="dxa" w:w="1384"/>
            <w:vMerge/>
          </w:tcPr>
          <w:p/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4025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0,117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2,600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2,600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41,8257</w:t>
            </w:r>
          </w:p>
        </w:tc>
        <w:tc>
          <w:tcPr>
            <w:tcW w:type="dxa" w:w="1384"/>
            <w:vMerge/>
          </w:tcPr>
          <w:p/>
        </w:tc>
      </w:tr>
    </w:tbl>
    <w:p>
      <w:pPr>
        <w:spacing w:line="360" w:lineRule="auto" w:after="40" w:before="120"/>
        <w:jc w:val="both"/>
      </w:pPr>
      <w:r>
        <w:rPr>
          <w:rFonts w:ascii="Times New Roman" w:hAnsi="Times New Roman" w:cs="Times New Roman"/>
          <w:b w:val="0"/>
          <w:i/>
          <w:sz w:val="28"/>
        </w:rPr>
        <w:t>Таблица 4. Оценка на границе контролируемой зоны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Среднегеометр. частота, Гц</w:t>
            </w:r>
          </w:p>
        </w:tc>
        <w:tc>
          <w:tcPr>
            <w:tcW w:type="dxa" w:w="2422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Коэф. затухания в линии Kл.i</w:t>
            </w:r>
          </w:p>
        </w:tc>
        <w:tc>
          <w:tcPr>
            <w:tcW w:type="dxa" w:w="2422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Отношение «сигнал/шум» на границе КЗ Δ*л.i</w:t>
            </w:r>
          </w:p>
        </w:tc>
        <w:tc>
          <w:tcPr>
            <w:tcW w:type="dxa" w:w="2422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Словесная разборчивость на границе КЗ W*c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275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27,3200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3,0157</w:t>
            </w:r>
          </w:p>
        </w:tc>
        <w:tc>
          <w:tcPr>
            <w:tcW w:type="dxa" w:w="2422"/>
            <w:vMerge w:val="restart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0,9689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525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32,3097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4,7484</w:t>
            </w:r>
          </w:p>
        </w:tc>
        <w:tc>
          <w:tcPr>
            <w:tcW w:type="dxa" w:w="2422"/>
            <w:vMerge/>
          </w:tcPr>
          <w:p/>
        </w:tc>
      </w:tr>
      <w:tr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1025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13,5517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5,2806</w:t>
            </w:r>
          </w:p>
        </w:tc>
        <w:tc>
          <w:tcPr>
            <w:tcW w:type="dxa" w:w="2422"/>
            <w:vMerge/>
          </w:tcPr>
          <w:p/>
        </w:tc>
      </w:tr>
      <w:tr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2025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53,0925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0,8809</w:t>
            </w:r>
          </w:p>
        </w:tc>
        <w:tc>
          <w:tcPr>
            <w:tcW w:type="dxa" w:w="2422"/>
            <w:vMerge/>
          </w:tcPr>
          <w:p/>
        </w:tc>
      </w:tr>
      <w:tr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4025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26,8874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1,5556</w:t>
            </w:r>
          </w:p>
        </w:tc>
        <w:tc>
          <w:tcPr>
            <w:tcW w:type="dxa" w:w="2422"/>
            <w:vMerge/>
          </w:tcPr>
          <w:p/>
        </w:tc>
      </w:tr>
    </w:tbl>
    <w:p>
      <w:pPr>
        <w:spacing w:line="360" w:lineRule="auto" w:after="120" w:before="200"/>
        <w:jc w:val="left"/>
      </w:pPr>
      <w:r>
        <w:rPr>
          <w:rFonts w:ascii="Times New Roman" w:hAnsi="Times New Roman" w:cs="Times New Roman"/>
          <w:b/>
          <w:i w:val="0"/>
          <w:sz w:val="28"/>
        </w:rPr>
        <w:t>Вывод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Исследование ВТСС «Рубин-2» проведено для типа линии «линия связи», несимметричное подключение ТСР, средства защиты не применяются. Отношение «сигнал/шум» превышает норму Δн = 0,3 в октавах 275, 525, 1025, 2025, 4025 Гц (Δmax = 153,420); словесная разборчивость Wc = 0,998 &gt; Wн = 0,3. На границе КЗ с учётом затухания линии Δ*max = 5,281 &gt; 0,3, W*c = 0,969 &gt; Wн = 0,3. ВТСС не соответствует нормам противодействия — существует возможность утечки речевой информации по каналу НЧ АЭП.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Рекомендации: применить фильтры низких частот (ФНЧ) в линии; проводить линейное зашумление сертифицированными генераторами шума; использовать экранированный кабель и надёжное заземление корпусов; установить устройства защиты, не пропускающие информативный сигнал в линию; на время переговоров отключать ВТСС от линии с видимым разрывом либо увеличить радиус КЗ.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___________________ Ковалев Д.П.</w:t>
      </w: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23.10.2026</w:t>
      </w:r>
    </w:p>
    <w:p>
      <w:pPr>
        <w:spacing w:line="360" w:lineRule="auto" w:after="120" w:before="200"/>
        <w:jc w:val="center"/>
      </w:pPr>
      <w:r>
        <w:rPr>
          <w:rFonts w:ascii="Times New Roman" w:hAnsi="Times New Roman" w:cs="Times New Roman"/>
          <w:b/>
          <w:i w:val="0"/>
          <w:sz w:val="28"/>
        </w:rPr>
        <w:t>Контрольные вопросы</w:t>
      </w:r>
    </w:p>
    <w:p>
      <w:pPr>
        <w:spacing w:line="360" w:lineRule="auto" w:after="40" w:before="12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>1. В чём заключается эффект акустоэлектрических преобразований?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Акустоэлектрическое преобразование — преобразование акустической энергии (энергии упругих волн в воздушной среде) в электромагнитную энергию в элементах ТС. Под воздействием речевого акустического сигнала в элементах ТС возникают электрические сигналы, распространяющиеся по отходящим проводным линиям и доступные для перехвата.</w:t>
      </w:r>
    </w:p>
    <w:p>
      <w:pPr>
        <w:spacing w:line="360" w:lineRule="auto" w:after="40" w:before="12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>2. Какие физические эффекты лежат в основе АЭП исследуемого технического средства?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Для исследуемого ВТСС (Рубин-2) основными являются электромагнитный эффект (электромеханический звонок с ферромагнитным сердечником) и электродинамический эффект капсюля телефонного аппарата.</w:t>
      </w:r>
    </w:p>
    <w:p>
      <w:pPr>
        <w:spacing w:line="360" w:lineRule="auto" w:after="40" w:before="12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>3. Какие устройства с акустоэлектрическим эффектом могут входить в состав ВТСС?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Громкоговорители и динамики, электромеханические звонки телефонов, электромагнитные реле, катушки индуктивности и дроссели, конденсаторы, пьезоэлементы датчиков, трансформаторы — элементы, обладающие акустопреобразовательным эффектом.</w:t>
      </w:r>
    </w:p>
    <w:p>
      <w:pPr>
        <w:spacing w:line="360" w:lineRule="auto" w:after="40" w:before="12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>4. В чём заключается эффект модуляционного акустоэлектрического преобразования?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составе ряда ТС штатно работают автогенераторы. Акустическое воздействие на их элементы изменяет амплитуду и/или фазу колебаний (модуляция); промодулированные колебания излучаются или распространяются по линиям, образуя модуляционные каналы АЭП.</w:t>
      </w:r>
    </w:p>
    <w:p>
      <w:pPr>
        <w:spacing w:line="360" w:lineRule="auto" w:after="40" w:before="12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>5. По какому признаку делается вывод о наличии акустоэлектрических преобразований?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Эффект АЭП на i-й частоте считается выявленным, если Uсшi − Uшi &gt; 6 дБ. Дополнительно убеждаются, что сигнал обусловлен именно акустическим воздействием (при закрытии колонки диэлектриком напряжение и звуковое давление уменьшаются одинаково).</w:t>
      </w:r>
    </w:p>
    <w:p>
      <w:pPr>
        <w:spacing w:line="360" w:lineRule="auto" w:after="40" w:before="12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>6. Если акустоэлектрические преобразования обнаружены, как оценить их опасность?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Рассчитывается отношение «сигнал/шум» Δi и сравнивается с Δн = 0,3. При невыполнении нормы рассчитывается словесная разборчивость Wc, а с учётом затухания линии — отношение на границе КЗ Δ*л.i и разборчивость W*c. Опасность оценивается по превышению Δн и Wн = 0,3.</w:t>
      </w:r>
    </w:p>
    <w:p>
      <w:pPr>
        <w:spacing w:line="360" w:lineRule="auto" w:after="40" w:before="12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>7. Как осуществляется перехват речевого сигнала в акустоэлектрическом канале?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Злоумышленник за пределами КЗ подключает к отходящим проводным линиям ТС малошумящий УНЧ (симметрично, несимметрично, по цепи Пикара или по цепям электропитания). Дальность перехвата ограничена только протяжённостью линии.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