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«ДОНСКОЙ ГОСУДАРСТВЕННЫЙ ТЕХНИЧЕСКИЙ УНИВЕРСИТЕТ»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(ДГТУ)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Факультет «Информатика и вычислительная техника»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«Кибербезопасность информационных систем»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Дисциплина «Техническая защита информации»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30"/>
        </w:rPr>
        <w:t>ЛАБОРАТОРНАЯ РАБОТА № 4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на тему «Расчётный метод оценки защищённости речевой информации от утечки за счёт НЧ акустоэлектрических преобразований»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Вариант № 3 — 10ГР-5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Выполнил обучающийся гр. ВКБ53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Ковалев Д.П.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Проверили: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К.т.н., доцент кафедры «КБИС» Короченцев Д.А.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Доцент кафедры «КБИС» Дубровина А.И.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Ростов-на-Дону, 2026</w:t>
      </w:r>
    </w:p>
    <w:p>
      <w:r>
        <w:br w:type="page"/>
      </w:r>
    </w:p>
    <w:p>
      <w:pPr>
        <w:spacing w:line="360" w:lineRule="auto" w:after="120" w:before="80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Изучить методику применения технических средств и комплексов при оценке защищённости помещения от утечки речевой информации по каналам акустоэлектрических преобразований (АЭП) в ВТСС; изучить методику расчёта словесной разборчивости речи и научиться интерпретировать результаты измерений.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нормальном режиме работы технические средства (ТС) могут образовывать каналы утечки речевой информации за счёт явления акустоэлектрических преобразований. Акустоэлектрический преобразователь — устройство, преобразующее акустическую энергию в электромагнитную энергию в схемах устройств. В основе явления лежат электродинамический, электромагнитный, электростатический, пьезоэлектрический, тензорезистивный эффекты и обратный эффект магнитострикции (эффект Веллари).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перехвата речевой информации по отходящим проводным линиям злоумышленник подключает малошумящий усилитель низкой частоты (техническое средство разведки, ТСР). Нормируемым показателем является отношение «сигнал/шум» Δi в каждой из пяти октавных полос. Нормы противодействия: Δн = 0,3; Wн = 0,3.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Порядок обработки результатов измерений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Уровень информативного сигнала: Uс.i = √(U²сшi − U²шi). Если Uсшi − Uшi &lt; 1 дБ, то Uсi[дБ] = Uсшi[дБ] − 7.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Степень превышения давления над нормой: Ki = 10^((Li − Lнi)/20).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Приведённый сигнал: Uс.прив.i = Uсi / Ki.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Нормированный шум Uш.н.окт.i — по табл. 3.4 (вид линии и тип подключения).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Отношение «сигнал/шум»: Δi = Uс.прив.i / Uш.н.окт.i.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При Δi &gt; Δн рассчитывается словесная разборчивость Wc; при Wc ≤ Wн ТС соответствует нормам.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Оценка на границе КЗ: Kл.i = U1i / U2i, Δ*л.i = Δi / Kл.i, затем W*c. Защита эффективна, если W*c ≤ Wн = 0,3.</w:t>
      </w:r>
    </w:p>
    <w:p>
      <w:r>
        <w:br w:type="page"/>
      </w:r>
    </w:p>
    <w:p>
      <w:pPr>
        <w:spacing w:line="360" w:lineRule="auto" w:after="120" w:before="16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Протокол инструментально-расчётной оценки защищённости помещения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контракта № 55/1, заключённого с ООО «Тантал»,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(СИ) ВТСС, предназначенных для эксплуатации в защищаемом помещении (ЗП) — «Зал для переговоров», А-101, г. Ростов-на-Дону, ул. Строителей, д. 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СИ — определение соответствия величин «опасных» сигналов, возникающих в ВТСС за счёт эффекта АЭП, заданным нормам. Вид исследований — аттестационные. Электропитание ТС — по однофазной линии; шина заземления отсутствует; фильтры в сети питания отсутствуют; средства активной/пассивной акустической защиты отсутствуют. В ЗП установлен громкоговоритель системы звукоусиления, поэтому нормированные уровни речевого сигнала приняты для случая наличия устройств звукоусиления (Lнi = 80, 80, 75, 70, 67 дБ).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Контрольно-измерительная аппаратура: программно-аппаратный комплекс «Талис-НЧ», зав. № 145ХМ854, свидетельство о поверке № 59 от 29.08.2016.</w:t>
      </w:r>
    </w:p>
    <w:p>
      <w:pPr>
        <w:spacing w:line="360" w:lineRule="auto" w:after="40" w:before="160"/>
        <w:jc w:val="center"/>
      </w:pPr>
      <w:r>
        <w:rPr>
          <w:rFonts w:ascii="Times New Roman" w:hAnsi="Times New Roman" w:cs="Times New Roman"/>
          <w:b/>
          <w:i w:val="0"/>
          <w:sz w:val="26"/>
        </w:rPr>
        <w:t>Результаты специальных исследований громкоговорителя системы звукоусиления 10ГР-5 (зав. № АВ584)</w:t>
      </w:r>
    </w:p>
    <w:p>
      <w:pPr>
        <w:spacing w:line="360" w:lineRule="auto" w:after="40" w:before="0"/>
        <w:jc w:val="center"/>
      </w:pPr>
      <w:r>
        <w:rPr>
          <w:rFonts w:ascii="Times New Roman" w:hAnsi="Times New Roman" w:cs="Times New Roman"/>
          <w:b w:val="0"/>
          <w:i/>
          <w:sz w:val="28"/>
        </w:rPr>
        <w:t>Таблица результатов для рабочего режима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Вид линии (линия связи – 1; линия электропитания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1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Тип подключения (симметричное – 1; несимметричное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Использование средств защиты (Да – 1; Нет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1. Результаты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 октавы,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Нормир. уровень звук. давл. Lнi,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Измер. уровень звук. давл. Li,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«сигнал+шум» Uсшi,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шума Uшi,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у точки T1, U1i,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на границе КЗ T2, U2i, мкВ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118,50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49,50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48,42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124,21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41,20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110,70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44,20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43,14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97,83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52,40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108,40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46,70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44,60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221,44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126,10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107,50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48,10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45,81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117,41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27,20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110,50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50,10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44,91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186,30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55,12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2. Расчёт уровня информативного 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превыш. давл. над нормой Ki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Uс.прив.i, мкВ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298,538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263,633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140,081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84,1395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1,6649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162,181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143,549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75,474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34,2768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2,2019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216,272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169,824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133,915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46,7735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2,8630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254,097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195,209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162,662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74,9894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2,1691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319,890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175,995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267,124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149,6236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1,7853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3. Расчёт отношения «сигнал/шум» и словесной разборчивости речи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несимметр.,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цепи питания,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 для расчёта,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Δi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Wc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0,055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1,200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1,200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1,3874</w:t>
            </w:r>
          </w:p>
        </w:tc>
        <w:tc>
          <w:tcPr>
            <w:tcW w:type="dxa" w:w="1384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0,9106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0,068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74,0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1,4679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0,081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20,5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1,6841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0,098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2,100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4,6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2,100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1,0329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0,117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2,600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2,600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0,6867</w:t>
            </w:r>
          </w:p>
        </w:tc>
        <w:tc>
          <w:tcPr>
            <w:tcW w:type="dxa" w:w="1384"/>
            <w:vMerge/>
          </w:tcPr>
          <w:p/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4. Оценка на границе контролируемой зоны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затухания в линии Kл.i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на границе КЗ Δ*л.i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на границе КЗ W*c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3,0148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0,4602</w:t>
            </w:r>
          </w:p>
        </w:tc>
        <w:tc>
          <w:tcPr>
            <w:tcW w:type="dxa" w:w="2422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0,5425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1,8670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0,7863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1,7561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0,9590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4,3165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0,2393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3,3799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0,2032</w:t>
            </w:r>
          </w:p>
        </w:tc>
        <w:tc>
          <w:tcPr>
            <w:tcW w:type="dxa" w:w="2422"/>
            <w:vMerge/>
          </w:tcPr>
          <w:p/>
        </w:tc>
      </w:tr>
    </w:tbl>
    <w:p>
      <w:pPr>
        <w:spacing w:line="360" w:lineRule="auto" w:after="120" w:before="200"/>
        <w:jc w:val="left"/>
      </w:pPr>
      <w:r>
        <w:rPr>
          <w:rFonts w:ascii="Times New Roman" w:hAnsi="Times New Roman" w:cs="Times New Roman"/>
          <w:b/>
          <w:i w:val="0"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Исследование ВТСС «10ГР-5» проведено для типа линии «линия связи», несимметричное подключение ТСР, средства защиты не применяются. Отношение «сигнал/шум» превышает норму Δн = 0,3 в октавах 275, 525, 1025, 2025, 4025 Гц (Δmax = 1,684); словесная разборчивость Wc = 0,911 &gt; Wн = 0,3. На границе КЗ с учётом затухания линии Δ*max = 0,959 &gt; 0,3, W*c = 0,543 &gt; Wн = 0,3. ВТСС не соответствует нормам противодействия — существует возможность утечки речевой информации по каналу НЧ АЭП.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Рекомендации: применить фильтры низких частот (ФНЧ) в линии; проводить линейное зашумление сертифицированными генераторами шума; использовать экранированный кабель и надёжное заземление корпусов; установить устройства защиты, не пропускающие информативный сигнал в линию; на время переговоров отключать ВТСС от линии с видимым разрывом либо увеличить радиус КЗ.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___________________ Ковалев Д.П.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23.10.2026</w:t>
      </w:r>
    </w:p>
    <w:p>
      <w:pPr>
        <w:spacing w:line="360" w:lineRule="auto" w:after="120" w:before="20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Контрольные вопросы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1. В чём заключается эффект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Акустоэлектрическое преобразование — преобразование акустической энергии (энергии упругих волн в воздушной среде) в электромагнитную энергию в элементах ТС. Под воздействием речевого акустического сигнала в элементах ТС возникают электрические сигналы, распространяющиеся по отходящим проводным линиям и доступные для перехвата.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2. Какие физические эффекты лежат в основе АЭП исследуемого технического средства?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исследуемого ВТСС (10ГР-5) основными являются электродинамический эффект (диффузор громкоговорителя с подвижной катушкой в магнитном поле обратим и при акустическом воздействии генерирует ЭДС).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3. Какие устройства с акустоэлектрическим эффектом могут входить в состав ВТСС?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Громкоговорители и динамики, электромеханические звонки телефонов, электромагнитные реле, катушки индуктивности и дроссели, конденсаторы, пьезоэлементы датчиков, трансформаторы — элементы, обладающие акустопреобразовательным эффектом.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4. В чём заключается эффект модуляционного акустоэлектрического преобразования?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составе ряда ТС штатно работают автогенераторы. Акустическое воздействие на их элементы изменяет амплитуду и/или фазу колебаний (модуляция); промодулированные колебания излучаются или распространяются по линиям, образуя модуляционные каналы АЭП.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5. По какому признаку делается вывод о наличии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Эффект АЭП на i-й частоте считается выявленным, если Uсшi − Uшi &gt; 6 дБ. Дополнительно убеждаются, что сигнал обусловлен именно акустическим воздействием (при закрытии колонки диэлектриком напряжение и звуковое давление уменьшаются одинаково).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6. Если акустоэлектрические преобразования обнаружены, как оценить их опасность?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Рассчитывается отношение «сигнал/шум» Δi и сравнивается с Δн = 0,3. При невыполнении нормы рассчитывается словесная разборчивость Wc, а с учётом затухания линии — отношение на границе КЗ Δ*л.i и разборчивость W*c. Опасность оценивается по превышению Δн и Wн = 0,3.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7. Как осуществляется перехват речевого сигнала в акустоэлектрическом канале?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Злоумышленник за пределами КЗ подключает к отходящим проводным линиям ТС малошумящий УНЧ (симметрично, несимметрично, по цепи Пикара или по цепям электропитания). Дальность перехвата ограничена только протяжённостью линии.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