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МИНИСТЕРСТВО НАУКИ И ВЫСШЕГО ОБРАЗОВАНИЯ РОССИЙСКОЙ ФЕДЕРАЦИИ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«ДОНСКОЙ ГОСУДАРСТВЕННЫЙ ТЕХНИЧЕСКИЙ УНИВЕРСИТЕТ»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(ДГТУ)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Факультет «Информатика и вычислительная техника»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Кафедра «Кибербезопасность информационных систем»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Дисциплина «Техническая защита информации»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30"/>
        </w:rPr>
        <w:t>ЛАБОРАТОРНАЯ РАБОТА № 4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на тему «Расчётный метод оценки защищённости речевой информации от утечки за счёт НЧ акустоэлектрических преобразований»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Вариант № 4 — ИП212-141 (ДИП-141)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Выполнил обучающийся гр. ВКБ53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Ковалев Д.П.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Проверили: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К.т.н., доцент кафедры «КБИС» Короченцев Д.А.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Доцент кафедры «КБИС» Дубровина А.И.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Ростов-на-Дону, 2026</w:t>
      </w:r>
    </w:p>
    <w:p>
      <w:r>
        <w:br w:type="page"/>
      </w:r>
    </w:p>
    <w:p>
      <w:pPr>
        <w:spacing w:line="360" w:lineRule="auto" w:after="120" w:before="80"/>
        <w:jc w:val="left"/>
      </w:pPr>
      <w:r>
        <w:rPr>
          <w:rFonts w:ascii="Times New Roman" w:hAnsi="Times New Roman" w:cs="Times New Roman"/>
          <w:b/>
          <w:i w:val="0"/>
          <w:sz w:val="28"/>
        </w:rPr>
        <w:t>Цель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Изучить методику применения технических средств и комплексов при оценке защищённости помещения от утечки речевой информации по каналам акустоэлектрических преобразований (АЭП) в ВТСС; изучить методику расчёта словесной разборчивости речи и научиться интерпретировать результаты измерений.</w:t>
      </w:r>
    </w:p>
    <w:p>
      <w:pPr>
        <w:spacing w:line="360" w:lineRule="auto" w:after="120" w:before="160"/>
        <w:jc w:val="left"/>
      </w:pPr>
      <w:r>
        <w:rPr>
          <w:rFonts w:ascii="Times New Roman" w:hAnsi="Times New Roman" w:cs="Times New Roman"/>
          <w:b/>
          <w:i w:val="0"/>
          <w:sz w:val="28"/>
        </w:rPr>
        <w:t>Краткие теоретические сведения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нормальном режиме работы технические средства (ТС) могут образовывать каналы утечки речевой информации за счёт явления акустоэлектрических преобразований. Акустоэлектрический преобразователь — устройство, преобразующее акустическую энергию в электромагнитную энергию в схемах устройств. В основе явления лежат электродинамический, электромагнитный, электростатический, пьезоэлектрический, тензорезистивный эффекты и обратный эффект магнитострикции (эффект Веллари).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перехвата речевой информации по отходящим проводным линиям злоумышленник подключает малошумящий усилитель низкой частоты (техническое средство разведки, ТСР). Нормируемым показателем является отношение «сигнал/шум» Δi в каждой из пяти октавных полос. Нормы противодействия: Δн = 0,3; Wн = 0,3.</w:t>
      </w:r>
    </w:p>
    <w:p>
      <w:pPr>
        <w:spacing w:line="360" w:lineRule="auto" w:after="120" w:before="160"/>
        <w:jc w:val="left"/>
      </w:pPr>
      <w:r>
        <w:rPr>
          <w:rFonts w:ascii="Times New Roman" w:hAnsi="Times New Roman" w:cs="Times New Roman"/>
          <w:b/>
          <w:i w:val="0"/>
          <w:sz w:val="28"/>
        </w:rPr>
        <w:t>Порядок обработки результатов измерений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1. Уровень информативного сигнала: Uс.i = √(U²сшi − U²шi). Если Uсшi − Uшi &lt; 1 дБ, то Uсi[дБ] = Uсшi[дБ] − 7.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2. Степень превышения давления над нормой: Ki = 10^((Li − Lнi)/20).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3. Приведённый сигнал: Uс.прив.i = Uсi / Ki.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4. Нормированный шум Uш.н.окт.i — по табл. 3.4 (вид линии и тип подключения).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5. Отношение «сигнал/шум»: Δi = Uс.прив.i / Uш.н.окт.i.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6. При Δi &gt; Δн рассчитывается словесная разборчивость Wc; при Wc ≤ Wн ТС соответствует нормам.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7. Оценка на границе КЗ: Kл.i = U1i / U2i, Δ*л.i = Δi / Kл.i, затем W*c. Защита эффективна, если W*c ≤ Wн = 0,3.</w:t>
      </w:r>
    </w:p>
    <w:p>
      <w:r>
        <w:br w:type="page"/>
      </w:r>
    </w:p>
    <w:p>
      <w:pPr>
        <w:spacing w:line="360" w:lineRule="auto" w:after="120" w:before="16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Протокол инструментально-расчётной оценки защищённости помещения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На основании контракта № 55/1, заключённого с ООО «Тантал», и действующей лицензии ФСТЭК России № 23658/45-1 специалистами ООО «Центр безопасности информационных технологий» проведены лабораторные специальные исследования (СИ) ВТСС, предназначенных для эксплуатации в защищаемом помещении (ЗП) — «Зал для переговоров», А-101, г. Ростов-на-Дону, ул. Строителей, д. 2.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Цель СИ — определение соответствия величин «опасных» сигналов, возникающих в ВТСС за счёт эффекта АЭП, заданным нормам. Вид исследований — аттестационные. Электропитание ТС — по однофазной линии; шина заземления отсутствует; фильтры в сети питания отсутствуют; средства активной/пассивной акустической защиты отсутствуют. В ЗП установлен громкоговоритель системы звукоусиления, поэтому нормированные уровни речевого сигнала приняты для случая наличия устройств звукоусиления (Lнi = 80, 80, 75, 70, 67 дБ).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Контрольно-измерительная аппаратура: программно-аппаратный комплекс «Талис-НЧ», зав. № 145ХМ854, свидетельство о поверке № 59 от 29.08.2016.</w:t>
      </w:r>
    </w:p>
    <w:p>
      <w:pPr>
        <w:spacing w:line="360" w:lineRule="auto" w:after="40" w:before="160"/>
        <w:jc w:val="center"/>
      </w:pPr>
      <w:r>
        <w:rPr>
          <w:rFonts w:ascii="Times New Roman" w:hAnsi="Times New Roman" w:cs="Times New Roman"/>
          <w:b/>
          <w:i w:val="0"/>
          <w:sz w:val="26"/>
        </w:rPr>
        <w:t>Результаты специальных исследований датчика пожарной сигнализации ИП212-141 (ДИП-141)</w:t>
      </w:r>
    </w:p>
    <w:p>
      <w:pPr>
        <w:spacing w:line="360" w:lineRule="auto" w:after="40" w:before="0"/>
        <w:jc w:val="center"/>
      </w:pPr>
      <w:r>
        <w:rPr>
          <w:rFonts w:ascii="Times New Roman" w:hAnsi="Times New Roman" w:cs="Times New Roman"/>
          <w:b w:val="0"/>
          <w:i/>
          <w:sz w:val="28"/>
        </w:rPr>
        <w:t>Таблица результатов для рабочего режима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793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Вид линии (линия связи – 1; линия электропитания – 2)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1</w:t>
            </w:r>
          </w:p>
        </w:tc>
      </w:tr>
      <w:tr>
        <w:tc>
          <w:tcPr>
            <w:tcW w:type="dxa" w:w="793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Тип подключения (симметричное – 1; несимметричное – 2)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1</w:t>
            </w:r>
          </w:p>
        </w:tc>
      </w:tr>
      <w:tr>
        <w:tc>
          <w:tcPr>
            <w:tcW w:type="dxa" w:w="793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Использование средств защиты (Да – 1; Нет – 2)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2</w:t>
            </w:r>
          </w:p>
        </w:tc>
      </w:tr>
    </w:tbl>
    <w:p>
      <w:pPr>
        <w:spacing w:line="360" w:lineRule="auto" w:after="40" w:before="120"/>
        <w:jc w:val="both"/>
      </w:pPr>
      <w:r>
        <w:rPr>
          <w:rFonts w:ascii="Times New Roman" w:hAnsi="Times New Roman" w:cs="Times New Roman"/>
          <w:b w:val="0"/>
          <w:i/>
          <w:sz w:val="28"/>
        </w:rPr>
        <w:t>Таблица 1. Результаты измерений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Среднегеометр. частота октавы, Гц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Нормир. уровень звук. давл. Lнi, дБ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Измер. уровень звук. давл. Li, дБ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Напряжение «сигнал+шум» Uсшi, дБ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Напряжение шума Uшi, дБ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Напряж. в линии у точки T1, U1i, мкВ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Напряж. в линии на границе КЗ T2, U2i, мкВ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88,15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16,11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6,26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341,50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12,50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100,69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18,23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7,12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365,10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11,30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89,13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15,60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5,42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435,01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32,10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87,98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17,81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7,60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499,60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9,41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4025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67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88,24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19,50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5,98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253,01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9,41</w:t>
            </w:r>
          </w:p>
        </w:tc>
      </w:tr>
    </w:tbl>
    <w:p>
      <w:pPr>
        <w:spacing w:line="360" w:lineRule="auto" w:after="40" w:before="120"/>
        <w:jc w:val="both"/>
      </w:pPr>
      <w:r>
        <w:rPr>
          <w:rFonts w:ascii="Times New Roman" w:hAnsi="Times New Roman" w:cs="Times New Roman"/>
          <w:b w:val="0"/>
          <w:i/>
          <w:sz w:val="28"/>
        </w:rPr>
        <w:t>Таблица 2. Расчёт уровня информативного сигнала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Среднегеометр. частота, Гц</w:t>
            </w:r>
          </w:p>
        </w:tc>
        <w:tc>
          <w:tcPr>
            <w:tcW w:type="dxa" w:w="1615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Uсшi, мкВ</w:t>
            </w:r>
          </w:p>
        </w:tc>
        <w:tc>
          <w:tcPr>
            <w:tcW w:type="dxa" w:w="1615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Uшi, мкВ</w:t>
            </w:r>
          </w:p>
        </w:tc>
        <w:tc>
          <w:tcPr>
            <w:tcW w:type="dxa" w:w="1615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Uсi, мкВ</w:t>
            </w:r>
          </w:p>
        </w:tc>
        <w:tc>
          <w:tcPr>
            <w:tcW w:type="dxa" w:w="1615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Коэф. превыш. давл. над нормой Ki</w:t>
            </w:r>
          </w:p>
        </w:tc>
        <w:tc>
          <w:tcPr>
            <w:tcW w:type="dxa" w:w="1615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Uс.прив.i, мкВ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275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6,390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2,056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6,050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2,5556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2,3674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525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8,156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2,270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7,834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10,8268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0,7236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1025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6,026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1,866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5,729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5,0874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1,1262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2025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7,771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2,399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7,392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7,9250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0,9327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4025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9,441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1,991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9,228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11,5345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0,8001</w:t>
            </w:r>
          </w:p>
        </w:tc>
      </w:tr>
    </w:tbl>
    <w:p>
      <w:pPr>
        <w:spacing w:line="360" w:lineRule="auto" w:after="40" w:before="120"/>
        <w:jc w:val="both"/>
      </w:pPr>
      <w:r>
        <w:rPr>
          <w:rFonts w:ascii="Times New Roman" w:hAnsi="Times New Roman" w:cs="Times New Roman"/>
          <w:b w:val="0"/>
          <w:i/>
          <w:sz w:val="28"/>
        </w:rPr>
        <w:t>Таблица 3. Расчёт отношения «сигнал/шум» и словесной разборчивости речи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Среднегеометр. частота, Гц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Uш.н.окт симметр., мкВ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Uш.н.окт несимметр., мкВ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Uш.н.окт цепи питания, мкВ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Uш для расчёта, мкВ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Отношение «сигнал/шум» Δi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Словесная разборчивость Wc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0,055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1,200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151,0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0,055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43,0436</w:t>
            </w:r>
          </w:p>
        </w:tc>
        <w:tc>
          <w:tcPr>
            <w:tcW w:type="dxa" w:w="1384"/>
            <w:vMerge w:val="restart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0,9957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0,068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1,500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74,0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0,068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10,6411</w:t>
            </w:r>
          </w:p>
        </w:tc>
        <w:tc>
          <w:tcPr>
            <w:tcW w:type="dxa" w:w="1384"/>
            <w:vMerge/>
          </w:tcPr>
          <w:p/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0,081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1,700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20,5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0,081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13,9032</w:t>
            </w:r>
          </w:p>
        </w:tc>
        <w:tc>
          <w:tcPr>
            <w:tcW w:type="dxa" w:w="1384"/>
            <w:vMerge/>
          </w:tcPr>
          <w:p/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0,098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2,100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4,6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0,098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9,5177</w:t>
            </w:r>
          </w:p>
        </w:tc>
        <w:tc>
          <w:tcPr>
            <w:tcW w:type="dxa" w:w="1384"/>
            <w:vMerge/>
          </w:tcPr>
          <w:p/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4025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0,117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2,600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0,117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6,8381</w:t>
            </w:r>
          </w:p>
        </w:tc>
        <w:tc>
          <w:tcPr>
            <w:tcW w:type="dxa" w:w="1384"/>
            <w:vMerge/>
          </w:tcPr>
          <w:p/>
        </w:tc>
      </w:tr>
    </w:tbl>
    <w:p>
      <w:pPr>
        <w:spacing w:line="360" w:lineRule="auto" w:after="40" w:before="120"/>
        <w:jc w:val="both"/>
      </w:pPr>
      <w:r>
        <w:rPr>
          <w:rFonts w:ascii="Times New Roman" w:hAnsi="Times New Roman" w:cs="Times New Roman"/>
          <w:b w:val="0"/>
          <w:i/>
          <w:sz w:val="28"/>
        </w:rPr>
        <w:t>Таблица 4. Оценка на границе контролируемой зоны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Среднегеометр. частота, Гц</w:t>
            </w:r>
          </w:p>
        </w:tc>
        <w:tc>
          <w:tcPr>
            <w:tcW w:type="dxa" w:w="2422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Коэф. затухания в линии Kл.i</w:t>
            </w:r>
          </w:p>
        </w:tc>
        <w:tc>
          <w:tcPr>
            <w:tcW w:type="dxa" w:w="2422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Отношение «сигнал/шум» на границе КЗ Δ*л.i</w:t>
            </w:r>
          </w:p>
        </w:tc>
        <w:tc>
          <w:tcPr>
            <w:tcW w:type="dxa" w:w="2422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Словесная разборчивость на границе КЗ W*c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275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27,3200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1,5755</w:t>
            </w:r>
          </w:p>
        </w:tc>
        <w:tc>
          <w:tcPr>
            <w:tcW w:type="dxa" w:w="2422"/>
            <w:vMerge w:val="restart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0,5259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525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32,3097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0,3293</w:t>
            </w:r>
          </w:p>
        </w:tc>
        <w:tc>
          <w:tcPr>
            <w:tcW w:type="dxa" w:w="2422"/>
            <w:vMerge/>
          </w:tcPr>
          <w:p/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1025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13,5517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1,0259</w:t>
            </w:r>
          </w:p>
        </w:tc>
        <w:tc>
          <w:tcPr>
            <w:tcW w:type="dxa" w:w="2422"/>
            <w:vMerge/>
          </w:tcPr>
          <w:p/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2025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53,0925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0,1793</w:t>
            </w:r>
          </w:p>
        </w:tc>
        <w:tc>
          <w:tcPr>
            <w:tcW w:type="dxa" w:w="2422"/>
            <w:vMerge/>
          </w:tcPr>
          <w:p/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4025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26,8874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0,2543</w:t>
            </w:r>
          </w:p>
        </w:tc>
        <w:tc>
          <w:tcPr>
            <w:tcW w:type="dxa" w:w="2422"/>
            <w:vMerge/>
          </w:tcPr>
          <w:p/>
        </w:tc>
      </w:tr>
    </w:tbl>
    <w:p>
      <w:pPr>
        <w:spacing w:line="360" w:lineRule="auto" w:after="120" w:before="200"/>
        <w:jc w:val="left"/>
      </w:pPr>
      <w:r>
        <w:rPr>
          <w:rFonts w:ascii="Times New Roman" w:hAnsi="Times New Roman" w:cs="Times New Roman"/>
          <w:b/>
          <w:i w:val="0"/>
          <w:sz w:val="28"/>
        </w:rPr>
        <w:t>Вывод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Исследование ВТСС «ИП212-141 (ДИП-141)» проведено для типа линии «линия связи», симметричное подключение ТСР, средства защиты не применяются. Отношение «сигнал/шум» превышает норму Δн = 0,3 в октавах 275, 525, 1025, 2025, 4025 Гц (Δmax = 43,044); словесная разборчивость Wc = 0,996 &gt; Wн = 0,3. На границе КЗ с учётом затухания линии Δ*max = 1,576 &gt; 0,3, W*c = 0,526 &gt; Wн = 0,3. ВТСС не соответствует нормам противодействия — существует возможность утечки речевой информации по каналу НЧ АЭП.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Рекомендации: применить фильтры низких частот (ФНЧ) в линии; проводить линейное зашумление сертифицированными генераторами шума; использовать экранированный кабель и надёжное заземление корпусов; установить устройства защиты, не пропускающие информативный сигнал в линию; на время переговоров отключать ВТСС от линии с видимым разрывом либо увеличить радиус КЗ.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___________________ Ковалев Д.П.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23.10.2026</w:t>
      </w:r>
    </w:p>
    <w:p>
      <w:pPr>
        <w:spacing w:line="360" w:lineRule="auto" w:after="120" w:before="20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Контрольные вопросы</w:t>
      </w:r>
    </w:p>
    <w:p>
      <w:pPr>
        <w:spacing w:line="360" w:lineRule="auto" w:after="40" w:before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1. В чём заключается эффект акустоэлектрических преобразований?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Акустоэлектрическое преобразование — преобразование акустической энергии (энергии упругих волн в воздушной среде) в электромагнитную энергию в элементах ТС. Под воздействием речевого акустического сигнала в элементах ТС возникают электрические сигналы, распространяющиеся по отходящим проводным линиям и доступные для перехвата.</w:t>
      </w:r>
    </w:p>
    <w:p>
      <w:pPr>
        <w:spacing w:line="360" w:lineRule="auto" w:after="40" w:before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2. Какие физические эффекты лежат в основе АЭП исследуемого технического средства?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исследуемого ВТСС (ИП212-141 (ДИП-141)) основными являются электростатический и тензорезистивный эффекты (конденсаторные элементы дымовой камеры и полупроводниковые приборы извещателя).</w:t>
      </w:r>
    </w:p>
    <w:p>
      <w:pPr>
        <w:spacing w:line="360" w:lineRule="auto" w:after="40" w:before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3. Какие устройства с акустоэлектрическим эффектом могут входить в состав ВТСС?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Громкоговорители и динамики, электромеханические звонки телефонов, электромагнитные реле, катушки индуктивности и дроссели, конденсаторы, пьезоэлементы датчиков, трансформаторы — элементы, обладающие акустопреобразовательным эффектом.</w:t>
      </w:r>
    </w:p>
    <w:p>
      <w:pPr>
        <w:spacing w:line="360" w:lineRule="auto" w:after="40" w:before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4. В чём заключается эффект модуляционного акустоэлектрического преобразования?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составе ряда ТС штатно работают автогенераторы. Акустическое воздействие на их элементы изменяет амплитуду и/или фазу колебаний (модуляция); промодулированные колебания излучаются или распространяются по линиям, образуя модуляционные каналы АЭП.</w:t>
      </w:r>
    </w:p>
    <w:p>
      <w:pPr>
        <w:spacing w:line="360" w:lineRule="auto" w:after="40" w:before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5. По какому признаку делается вывод о наличии акустоэлектрических преобразований?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Эффект АЭП на i-й частоте считается выявленным, если Uсшi − Uшi &gt; 6 дБ. Дополнительно убеждаются, что сигнал обусловлен именно акустическим воздействием (при закрытии колонки диэлектриком напряжение и звуковое давление уменьшаются одинаково).</w:t>
      </w:r>
    </w:p>
    <w:p>
      <w:pPr>
        <w:spacing w:line="360" w:lineRule="auto" w:after="40" w:before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6. Если акустоэлектрические преобразования обнаружены, как оценить их опасность?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Рассчитывается отношение «сигнал/шум» Δi и сравнивается с Δн = 0,3. При невыполнении нормы рассчитывается словесная разборчивость Wc, а с учётом затухания линии — отношение на границе КЗ Δ*л.i и разборчивость W*c. Опасность оценивается по превышению Δн и Wн = 0,3.</w:t>
      </w:r>
    </w:p>
    <w:p>
      <w:pPr>
        <w:spacing w:line="360" w:lineRule="auto" w:after="40" w:before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7. Как осуществляется перехват речевого сигнала в акустоэлектрическом канале?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Злоумышленник за пределами КЗ подключает к отходящим проводным линиям ТС малошумящий УНЧ (симметрично, несимметрично, по цепи Пикара или по цепям электропитания). Дальность перехвата ограничена только протяжённостью линии.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