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461D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МИНИСТЕРСТВО НАУКИ И ВЫСШЕГО ОБРАЗОВАНИЯ</w:t>
      </w:r>
    </w:p>
    <w:p w14:paraId="2214AFC6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РОССИЙСКОЙ ФЕДЕРАЦИИ</w:t>
      </w:r>
    </w:p>
    <w:p w14:paraId="0EA80A03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ФЕДЕРАЛЬНОЕ ГОСУДАРСТВЕННОЕ БЮДЖЕТНОЕ</w:t>
      </w:r>
    </w:p>
    <w:p w14:paraId="5F94C8B7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ОБРАЗОВАТЕЛЬНОЕ УЧРЕЖДЕНИЕ ВЫСШЕГО ОБРАЗОВАНИЯ</w:t>
      </w:r>
    </w:p>
    <w:p w14:paraId="69E4F416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«ДОНСКОЙ ГОСУДАРСТВЕННЫЙ ТЕХНИЧЕСКИЙ УНИВЕРСИТЕТ»</w:t>
      </w:r>
    </w:p>
    <w:p w14:paraId="0F74E782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(ДГТУ)</w:t>
      </w:r>
    </w:p>
    <w:p w14:paraId="12E20ED7" w14:textId="77777777" w:rsidR="00B53D53" w:rsidRDefault="00B53D53">
      <w:pPr>
        <w:spacing w:after="0" w:line="360" w:lineRule="auto"/>
      </w:pPr>
    </w:p>
    <w:p w14:paraId="056012D2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0DFA0B37" w14:textId="24FEC405" w:rsidR="00B53D53" w:rsidRDefault="00000000" w:rsidP="00CF0F75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4C8CF46D" w14:textId="77777777" w:rsidR="00B53D53" w:rsidRDefault="00B53D53">
      <w:pPr>
        <w:spacing w:after="0" w:line="360" w:lineRule="auto"/>
      </w:pPr>
    </w:p>
    <w:p w14:paraId="5689E352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ОТЧЁТ</w:t>
      </w:r>
    </w:p>
    <w:p w14:paraId="02E2A5F2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практическому занятию № 12</w:t>
      </w:r>
    </w:p>
    <w:p w14:paraId="4C04F0A2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дисциплине «Организационное и правовое обеспечение</w:t>
      </w:r>
    </w:p>
    <w:p w14:paraId="749047C6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информационной безопасности»</w:t>
      </w:r>
    </w:p>
    <w:p w14:paraId="5E1E6E5D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 тему: «Изучение руководящего документа «Средства вычислительной</w:t>
      </w:r>
    </w:p>
    <w:p w14:paraId="507CD44E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техники. Защита от несанкционированного доступа к информации.</w:t>
      </w:r>
    </w:p>
    <w:p w14:paraId="5FE98B1A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Показатели защищенности от несанкционированного доступа</w:t>
      </w:r>
    </w:p>
    <w:p w14:paraId="70AE522A" w14:textId="19A689BC" w:rsidR="00B53D53" w:rsidRDefault="00000000" w:rsidP="00CF0F75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 информации»»</w:t>
      </w:r>
    </w:p>
    <w:p w14:paraId="6A92FE4E" w14:textId="77777777" w:rsidR="00B53D53" w:rsidRDefault="00B53D53">
      <w:pPr>
        <w:spacing w:after="0" w:line="360" w:lineRule="auto"/>
      </w:pPr>
    </w:p>
    <w:p w14:paraId="2432E9A7" w14:textId="77777777" w:rsidR="00B53D53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студент группы ВКБ53</w:t>
      </w:r>
    </w:p>
    <w:p w14:paraId="503A740C" w14:textId="77777777" w:rsidR="00B53D53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Ковалев Данил Петрович</w:t>
      </w:r>
    </w:p>
    <w:p w14:paraId="6D82DC07" w14:textId="77777777" w:rsidR="00B53D53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Проверил: ____________________</w:t>
      </w:r>
    </w:p>
    <w:p w14:paraId="503FF96B" w14:textId="77777777" w:rsidR="00B53D53" w:rsidRDefault="00B53D53">
      <w:pPr>
        <w:spacing w:after="0" w:line="360" w:lineRule="auto"/>
      </w:pPr>
    </w:p>
    <w:p w14:paraId="415067E5" w14:textId="77777777" w:rsidR="00B53D53" w:rsidRDefault="00B53D53">
      <w:pPr>
        <w:spacing w:after="0" w:line="360" w:lineRule="auto"/>
      </w:pPr>
    </w:p>
    <w:p w14:paraId="44AE96DB" w14:textId="77777777" w:rsidR="00B53D53" w:rsidRDefault="00B53D53">
      <w:pPr>
        <w:spacing w:after="0" w:line="360" w:lineRule="auto"/>
      </w:pPr>
    </w:p>
    <w:p w14:paraId="78DE2127" w14:textId="77777777" w:rsidR="00B53D53" w:rsidRDefault="00B53D53">
      <w:pPr>
        <w:spacing w:after="0" w:line="360" w:lineRule="auto"/>
      </w:pPr>
    </w:p>
    <w:p w14:paraId="7CAACDF3" w14:textId="77777777" w:rsidR="00B53D53" w:rsidRDefault="00B53D53">
      <w:pPr>
        <w:spacing w:after="0" w:line="360" w:lineRule="auto"/>
      </w:pPr>
    </w:p>
    <w:p w14:paraId="3FABDBFD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47027A41" w14:textId="5CB2BBAC" w:rsidR="00B53D53" w:rsidRDefault="00000000" w:rsidP="00CF0F75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2026</w:t>
      </w:r>
      <w:r>
        <w:br w:type="page"/>
      </w:r>
    </w:p>
    <w:p w14:paraId="4518DA9E" w14:textId="77777777" w:rsidR="00B53D53" w:rsidRDefault="00000000" w:rsidP="00CF0F75">
      <w:pPr>
        <w:spacing w:after="0" w:line="360" w:lineRule="auto"/>
        <w:ind w:firstLine="708"/>
        <w:jc w:val="both"/>
      </w:pPr>
      <w:r w:rsidRPr="00CF0F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изучить 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информации», утверждённый решением Государственной технической комиссии при Президенте Российской Федерации от 30 марта 1992 г., как руководящий документ в области технической защиты информации, устанавливающий классификацию средств вычислительной техники по уровню защищенности от несанкционированного доступа к информации; получить теоретическую и практическую подготовку по вопросам общих положений РД, требований к показателям защищенности СВТ от НСД к информации, классов защищенности СВТ и оценки класса защищенности СВТ (сертификации СВТ); выработать навыки работы с руководящими документами и открытыми источниками сети Интернет в области технической защиты информации.</w:t>
      </w:r>
    </w:p>
    <w:p w14:paraId="6587B26B" w14:textId="77777777" w:rsidR="00B53D53" w:rsidRDefault="00000000" w:rsidP="008A55D0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работы решаются следующие задачи:</w:t>
      </w:r>
    </w:p>
    <w:p w14:paraId="21D4969A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1) изучить 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</w:t>
      </w:r>
    </w:p>
    <w:p w14:paraId="73A262B7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2) изучить общие положения РД: назначение документа, определение СВТ, область применения показателей защищенности;</w:t>
      </w:r>
    </w:p>
    <w:p w14:paraId="37B1FF57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3) изучить классификацию СВТ от НСД к информации: семь классов защищенности и их подразделение на четыре группы;</w:t>
      </w:r>
    </w:p>
    <w:p w14:paraId="429D85FF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4) изучить перечень показателей защищенности СВТ от НСД к информации и требования к показателям по классам защищенности;</w:t>
      </w:r>
    </w:p>
    <w:p w14:paraId="302A55D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5) провести сравнительный анализ требований к 3 и 4 классам защищенности СВТ;</w:t>
      </w:r>
    </w:p>
    <w:p w14:paraId="632CCB0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6) изучить порядок оценки класса защищенности СВТ (сертификацию СВТ);</w:t>
      </w:r>
    </w:p>
    <w:p w14:paraId="48760A9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7) проанализировать открытые источники сети Интернет (сайт ФСТЭК России, сайт Роскомнадзора, иные источники);</w:t>
      </w:r>
    </w:p>
    <w:p w14:paraId="7381E38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8) дать краткие ответы на контрольные вопросы практического занятия.</w:t>
      </w:r>
    </w:p>
    <w:p w14:paraId="5903931B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КРАТКИЕ ТЕОРЕТИЧЕСКИЕ СВЕДЕНИЯ</w:t>
      </w:r>
    </w:p>
    <w:p w14:paraId="792F4873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(далее — РД) утверждён решением Государственной технической комиссии при Президенте Российской Федерации от 30 марта 1992 г. РД разработан в развитие «Концепции защиты средств вычислительной техники и автоматизированных систем от несанкционированного доступа к информации» и вместе с руководящими документами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и «Защита от несанкционированного доступа к информации. Термины и определения», утверждёнными тем же решением, образует нормативно-методическую базу для выработки требований по защите СВТ и АС от НСД к информации, создания защищённых СВТ и АС и их сертификации.</w:t>
      </w:r>
    </w:p>
    <w:p w14:paraId="25FB553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РД устанавливает классификацию средств вычислительной техники по уровню защищенности от несанкционированного доступа к информации на базе перечня показателей защищенности и совокупности описывающих их требований. Под СВТ понимается 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</w:r>
    </w:p>
    <w:p w14:paraId="36011F7C" w14:textId="5AEFB547" w:rsidR="00B53D53" w:rsidRDefault="00000000">
      <w:pPr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5D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 ОБЩИЕ ПОЛОЖЕНИЯ</w:t>
      </w:r>
    </w:p>
    <w:p w14:paraId="64219F3A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Показатели защищенности содержат требования защищенности СВТ от НСД к информации. Показатели защищенности СВТ применяются к общесистемным программным средствам и операционным системам (с учётом архитектуры ЭВМ). Конкретные перечни показателей определяют классы защищенности СВТ; уменьшение или изменение перечня показателей, соответствующего конкретному классу защищенности СВТ, не допускается. Каждый показатель описывается совокупностью требований; дополнительные </w:t>
      </w:r>
      <w:r>
        <w:rPr>
          <w:rFonts w:ascii="Times New Roman" w:hAnsi="Times New Roman" w:cs="Times New Roman"/>
          <w:sz w:val="28"/>
          <w:szCs w:val="28"/>
        </w:rPr>
        <w:lastRenderedPageBreak/>
        <w:t>требования к показателю защищенности СВТ и соответствие этим дополнительным требованиям оговариваются особо.</w:t>
      </w:r>
    </w:p>
    <w:p w14:paraId="78E66356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Требования к показателям реализуются с помощью программно-технических средств. Совокупность всех средств защиты составляет комплекс средств защиты (КСЗ); документация КСЗ должна быть неотъемлемой частью конструкторской документации на СВТ.</w:t>
      </w:r>
    </w:p>
    <w:p w14:paraId="397DD054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соответствии с п. 1.4 РД устанавливается семь классов защищенности СВТ от НСД к информации. Самый низкий класс — седьмой, самый высокий — первый. Классы подразделяются на четыре группы, отличающиеся качественным уровнем защиты: первая группа содержит только один седьмой класс; вторая группа характеризуется дискреционной защитой и содержит шестой и пятый классы; третья группа характеризуется мандатной защитой и содержит четвёртый, третий и второй классы; четвёртая группа характеризуется верифицированной защитой и содержит только первый класс.</w:t>
      </w:r>
    </w:p>
    <w:p w14:paraId="2AAE0A8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Седьмой класс присваивают СВТ, к которым предъявлялись требования по защите от НСД к информации, но при оценке защищенность СВТ оказалась ниже уровня требований шестого класса (п. 2.1.3 РД).</w:t>
      </w:r>
    </w:p>
    <w:p w14:paraId="71D76324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соответствии с п. 1.5 РД выбор класса защищенности СВТ для автоматизированных систем, создаваемых на базе защищённых СВТ, зависит от грифа секретности обрабатываемой в АС информации, условий эксплуатации и расположения объектов системы. Применение в комплекте СВТ средств криптографической защиты информации по ГОСТ 28147-89 может быть использовано для повышения гарантий качества защиты (п. 1.6 РД).</w:t>
      </w:r>
    </w:p>
    <w:p w14:paraId="6F034473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Несанкционированный доступ к информации в соответствии с РД «Защита от несанкционированного доступа к информации. Термины и определения» определяется как доступ к информации, нарушающий правила разграничения доступа с использованием штатных средств, предоставляемых средствами вычислительной техники или автоматизированными системами; под штатными средствами понимается совокупность программного, </w:t>
      </w:r>
      <w:r>
        <w:rPr>
          <w:rFonts w:ascii="Times New Roman" w:hAnsi="Times New Roman" w:cs="Times New Roman"/>
          <w:sz w:val="28"/>
          <w:szCs w:val="28"/>
        </w:rPr>
        <w:lastRenderedPageBreak/>
        <w:t>микропрограммного и технического обеспечения средств вычислительной техники или автоматизированных систем.</w:t>
      </w:r>
    </w:p>
    <w:p w14:paraId="6B65F107" w14:textId="77777777" w:rsidR="00B53D53" w:rsidRDefault="00000000" w:rsidP="008A55D0">
      <w:pPr>
        <w:spacing w:after="0" w:line="360" w:lineRule="auto"/>
        <w:ind w:firstLine="708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2 ТРЕБОВАНИЯ К ПОКАЗАТЕЛЯМ ЗАЩИЩЕННОСТИ</w:t>
      </w:r>
    </w:p>
    <w:p w14:paraId="40DC801F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Перечень показателей защищенности по классам защищенности СВТ приведён в таблице 2.1.1 РД (таблица 1 отчёта). Обозначения: «−» — нет требований к данному классу; «+» — новые или дополнительные требования; «=» — требования совпадают с требованиями к СВТ предыдущего класса.</w:t>
      </w:r>
    </w:p>
    <w:p w14:paraId="662BF25C" w14:textId="77777777" w:rsidR="00B53D53" w:rsidRDefault="00000000" w:rsidP="008A55D0">
      <w:pPr>
        <w:spacing w:after="0" w:line="360" w:lineRule="auto"/>
        <w:jc w:val="right"/>
      </w:pPr>
      <w:r>
        <w:rPr>
          <w:rFonts w:ascii="Times New Roman" w:hAnsi="Times New Roman" w:cs="Times New Roman"/>
          <w:b/>
          <w:bCs/>
        </w:rPr>
        <w:t xml:space="preserve"> Таблица 1 — Перечень показателей защищенности по классам защищенности СВТ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9"/>
        <w:gridCol w:w="709"/>
        <w:gridCol w:w="709"/>
        <w:gridCol w:w="709"/>
        <w:gridCol w:w="709"/>
      </w:tblGrid>
      <w:tr w:rsidR="00B53D53" w14:paraId="7E1644A2" w14:textId="77777777">
        <w:tc>
          <w:tcPr>
            <w:tcW w:w="5387" w:type="dxa"/>
            <w:shd w:val="clear" w:color="auto" w:fill="D9D9D9"/>
            <w:vAlign w:val="center"/>
          </w:tcPr>
          <w:p w14:paraId="3EFDB01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показателя</w:t>
            </w:r>
          </w:p>
        </w:tc>
        <w:tc>
          <w:tcPr>
            <w:tcW w:w="4254" w:type="dxa"/>
            <w:gridSpan w:val="6"/>
            <w:shd w:val="clear" w:color="auto" w:fill="D9D9D9"/>
            <w:vAlign w:val="center"/>
          </w:tcPr>
          <w:p w14:paraId="2559B8E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Класс защищенности</w:t>
            </w:r>
          </w:p>
        </w:tc>
      </w:tr>
      <w:tr w:rsidR="00B53D53" w14:paraId="53DD2046" w14:textId="77777777">
        <w:tc>
          <w:tcPr>
            <w:tcW w:w="5387" w:type="dxa"/>
            <w:shd w:val="clear" w:color="auto" w:fill="D9D9D9"/>
            <w:vAlign w:val="center"/>
          </w:tcPr>
          <w:p w14:paraId="3754043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D31CA0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A21576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C22B58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A99DA5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B5A62E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591C27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B53D53" w14:paraId="423F7F5E" w14:textId="77777777">
        <w:tc>
          <w:tcPr>
            <w:tcW w:w="5387" w:type="dxa"/>
            <w:vAlign w:val="center"/>
          </w:tcPr>
          <w:p w14:paraId="652BF23F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Дискреционный принцип контроля доступа</w:t>
            </w:r>
          </w:p>
        </w:tc>
        <w:tc>
          <w:tcPr>
            <w:tcW w:w="709" w:type="dxa"/>
            <w:vAlign w:val="center"/>
          </w:tcPr>
          <w:p w14:paraId="61F94C67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3F4EC6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561CFA5D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0BD934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73C90926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0270F3A4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7027A7F0" w14:textId="77777777">
        <w:tc>
          <w:tcPr>
            <w:tcW w:w="5387" w:type="dxa"/>
            <w:vAlign w:val="center"/>
          </w:tcPr>
          <w:p w14:paraId="19061A1C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Мандатный принцип контроля доступа</w:t>
            </w:r>
          </w:p>
        </w:tc>
        <w:tc>
          <w:tcPr>
            <w:tcW w:w="709" w:type="dxa"/>
            <w:vAlign w:val="center"/>
          </w:tcPr>
          <w:p w14:paraId="1A24704D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2F5026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C6B023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0041B48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73B8869D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09111A3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6D147C5F" w14:textId="77777777">
        <w:tc>
          <w:tcPr>
            <w:tcW w:w="5387" w:type="dxa"/>
            <w:vAlign w:val="center"/>
          </w:tcPr>
          <w:p w14:paraId="3C629AF9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Очистка памяти</w:t>
            </w:r>
          </w:p>
        </w:tc>
        <w:tc>
          <w:tcPr>
            <w:tcW w:w="709" w:type="dxa"/>
            <w:vAlign w:val="center"/>
          </w:tcPr>
          <w:p w14:paraId="2DE014C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88AEE3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54E1837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6A7DD4C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859DBD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2A53D4B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7395D366" w14:textId="77777777">
        <w:tc>
          <w:tcPr>
            <w:tcW w:w="5387" w:type="dxa"/>
            <w:vAlign w:val="center"/>
          </w:tcPr>
          <w:p w14:paraId="45F42712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Изоляция модулей</w:t>
            </w:r>
          </w:p>
        </w:tc>
        <w:tc>
          <w:tcPr>
            <w:tcW w:w="709" w:type="dxa"/>
            <w:vAlign w:val="center"/>
          </w:tcPr>
          <w:p w14:paraId="428BC05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65FC66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34AC7E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06E430D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7B32002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483D5294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7B6E694D" w14:textId="77777777">
        <w:tc>
          <w:tcPr>
            <w:tcW w:w="5387" w:type="dxa"/>
            <w:vAlign w:val="center"/>
          </w:tcPr>
          <w:p w14:paraId="55DBF5E0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 документов</w:t>
            </w:r>
          </w:p>
        </w:tc>
        <w:tc>
          <w:tcPr>
            <w:tcW w:w="709" w:type="dxa"/>
            <w:vAlign w:val="center"/>
          </w:tcPr>
          <w:p w14:paraId="72747C1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79C9B03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97AD007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078B7B7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0D0CD67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408CFA6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798A6BAD" w14:textId="77777777">
        <w:tc>
          <w:tcPr>
            <w:tcW w:w="5387" w:type="dxa"/>
            <w:vAlign w:val="center"/>
          </w:tcPr>
          <w:p w14:paraId="55CA97CC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Защита ввода и вывода на отчуждаемый физический носитель информации</w:t>
            </w:r>
          </w:p>
        </w:tc>
        <w:tc>
          <w:tcPr>
            <w:tcW w:w="709" w:type="dxa"/>
            <w:vAlign w:val="center"/>
          </w:tcPr>
          <w:p w14:paraId="582E4B7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311223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3597A1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5AAE4283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6A3A913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63E23EA7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155614B0" w14:textId="77777777">
        <w:tc>
          <w:tcPr>
            <w:tcW w:w="5387" w:type="dxa"/>
            <w:vAlign w:val="center"/>
          </w:tcPr>
          <w:p w14:paraId="4E51B1F9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Сопоставление пользователя с устройством</w:t>
            </w:r>
          </w:p>
        </w:tc>
        <w:tc>
          <w:tcPr>
            <w:tcW w:w="709" w:type="dxa"/>
            <w:vAlign w:val="center"/>
          </w:tcPr>
          <w:p w14:paraId="2F258D7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EB14A0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270C33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AFCAC1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0A634CF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1E8CA9AD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5D84E16B" w14:textId="77777777">
        <w:tc>
          <w:tcPr>
            <w:tcW w:w="5387" w:type="dxa"/>
            <w:vAlign w:val="center"/>
          </w:tcPr>
          <w:p w14:paraId="22645851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Идентификация и аутентификация</w:t>
            </w:r>
          </w:p>
        </w:tc>
        <w:tc>
          <w:tcPr>
            <w:tcW w:w="709" w:type="dxa"/>
            <w:vAlign w:val="center"/>
          </w:tcPr>
          <w:p w14:paraId="7E9CCDA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608967C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125F832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5384A8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0B9046E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38FD03B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144B3292" w14:textId="77777777">
        <w:tc>
          <w:tcPr>
            <w:tcW w:w="5387" w:type="dxa"/>
            <w:vAlign w:val="center"/>
          </w:tcPr>
          <w:p w14:paraId="4DC8A075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Гарантии проектирования</w:t>
            </w:r>
          </w:p>
        </w:tc>
        <w:tc>
          <w:tcPr>
            <w:tcW w:w="709" w:type="dxa"/>
            <w:vAlign w:val="center"/>
          </w:tcPr>
          <w:p w14:paraId="24C0997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BCD73A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63DBAC2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D6955F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4D14159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168C029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B53D53" w14:paraId="042FB2EE" w14:textId="77777777">
        <w:tc>
          <w:tcPr>
            <w:tcW w:w="5387" w:type="dxa"/>
            <w:vAlign w:val="center"/>
          </w:tcPr>
          <w:p w14:paraId="23DFBFDE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Регистрация</w:t>
            </w:r>
          </w:p>
        </w:tc>
        <w:tc>
          <w:tcPr>
            <w:tcW w:w="709" w:type="dxa"/>
            <w:vAlign w:val="center"/>
          </w:tcPr>
          <w:p w14:paraId="59D05D4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998088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488CB7D4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5975191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C50F98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498165E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5D3D2D68" w14:textId="77777777">
        <w:tc>
          <w:tcPr>
            <w:tcW w:w="5387" w:type="dxa"/>
            <w:vAlign w:val="center"/>
          </w:tcPr>
          <w:p w14:paraId="34EFFDAC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Взаимодействие пользователя с КСЗ</w:t>
            </w:r>
          </w:p>
        </w:tc>
        <w:tc>
          <w:tcPr>
            <w:tcW w:w="709" w:type="dxa"/>
            <w:vAlign w:val="center"/>
          </w:tcPr>
          <w:p w14:paraId="75E38593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34884D4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6C09F78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5569181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BCDC02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5F51B943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23AEC7EB" w14:textId="77777777">
        <w:tc>
          <w:tcPr>
            <w:tcW w:w="5387" w:type="dxa"/>
            <w:vAlign w:val="center"/>
          </w:tcPr>
          <w:p w14:paraId="0F03E878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Надежное восстановление</w:t>
            </w:r>
          </w:p>
        </w:tc>
        <w:tc>
          <w:tcPr>
            <w:tcW w:w="709" w:type="dxa"/>
            <w:vAlign w:val="center"/>
          </w:tcPr>
          <w:p w14:paraId="23F9F67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771403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5EBA84E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34889D5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808877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7A40D16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7A03DE51" w14:textId="77777777">
        <w:tc>
          <w:tcPr>
            <w:tcW w:w="5387" w:type="dxa"/>
            <w:vAlign w:val="center"/>
          </w:tcPr>
          <w:p w14:paraId="03385851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Целостность КСЗ</w:t>
            </w:r>
          </w:p>
        </w:tc>
        <w:tc>
          <w:tcPr>
            <w:tcW w:w="709" w:type="dxa"/>
            <w:vAlign w:val="center"/>
          </w:tcPr>
          <w:p w14:paraId="23A0DC04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6D254EF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4B53051D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4AF809F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28A3402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19E179A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3A1DB320" w14:textId="77777777">
        <w:tc>
          <w:tcPr>
            <w:tcW w:w="5387" w:type="dxa"/>
            <w:vAlign w:val="center"/>
          </w:tcPr>
          <w:p w14:paraId="0174B88C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Контроль модификации</w:t>
            </w:r>
          </w:p>
        </w:tc>
        <w:tc>
          <w:tcPr>
            <w:tcW w:w="709" w:type="dxa"/>
            <w:vAlign w:val="center"/>
          </w:tcPr>
          <w:p w14:paraId="75D894B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10CE4A16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54FCFAF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833DE4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8E3CEE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6685E7E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77AC57D3" w14:textId="77777777">
        <w:tc>
          <w:tcPr>
            <w:tcW w:w="5387" w:type="dxa"/>
            <w:vAlign w:val="center"/>
          </w:tcPr>
          <w:p w14:paraId="206DAD4A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Контроль дистрибуции</w:t>
            </w:r>
          </w:p>
        </w:tc>
        <w:tc>
          <w:tcPr>
            <w:tcW w:w="709" w:type="dxa"/>
            <w:vAlign w:val="center"/>
          </w:tcPr>
          <w:p w14:paraId="2A9DC17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1145E1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56B042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758B3DE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79D2EEA3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2C19DFD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173F476A" w14:textId="77777777">
        <w:tc>
          <w:tcPr>
            <w:tcW w:w="5387" w:type="dxa"/>
            <w:vAlign w:val="center"/>
          </w:tcPr>
          <w:p w14:paraId="29B22002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Гарантии архитектуры</w:t>
            </w:r>
          </w:p>
        </w:tc>
        <w:tc>
          <w:tcPr>
            <w:tcW w:w="709" w:type="dxa"/>
            <w:vAlign w:val="center"/>
          </w:tcPr>
          <w:p w14:paraId="3182A50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7C00B44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21132B4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8D309A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326BCA3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401F990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B53D53" w14:paraId="323BF8F4" w14:textId="77777777">
        <w:tc>
          <w:tcPr>
            <w:tcW w:w="5387" w:type="dxa"/>
            <w:vAlign w:val="center"/>
          </w:tcPr>
          <w:p w14:paraId="71A3701E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Тестирование</w:t>
            </w:r>
          </w:p>
        </w:tc>
        <w:tc>
          <w:tcPr>
            <w:tcW w:w="709" w:type="dxa"/>
            <w:vAlign w:val="center"/>
          </w:tcPr>
          <w:p w14:paraId="26111B1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9494CA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0C0E497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1B25D11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14D45926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16CB3D6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121158F3" w14:textId="77777777">
        <w:tc>
          <w:tcPr>
            <w:tcW w:w="5387" w:type="dxa"/>
            <w:vAlign w:val="center"/>
          </w:tcPr>
          <w:p w14:paraId="41CA64CF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Руководство для пользователя</w:t>
            </w:r>
          </w:p>
        </w:tc>
        <w:tc>
          <w:tcPr>
            <w:tcW w:w="709" w:type="dxa"/>
            <w:vAlign w:val="center"/>
          </w:tcPr>
          <w:p w14:paraId="0C8A2D92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2C0301B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0A66CFB6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253B2BF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6A1395E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0C6B791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43F53A06" w14:textId="77777777">
        <w:tc>
          <w:tcPr>
            <w:tcW w:w="5387" w:type="dxa"/>
            <w:vAlign w:val="center"/>
          </w:tcPr>
          <w:p w14:paraId="3E8E23D7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Руководство по КСЗ</w:t>
            </w:r>
          </w:p>
        </w:tc>
        <w:tc>
          <w:tcPr>
            <w:tcW w:w="709" w:type="dxa"/>
            <w:vAlign w:val="center"/>
          </w:tcPr>
          <w:p w14:paraId="6E01C67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5527E1D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6105690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709" w:type="dxa"/>
            <w:vAlign w:val="center"/>
          </w:tcPr>
          <w:p w14:paraId="6BD5C18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026D60F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92E656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5DD21D6D" w14:textId="77777777">
        <w:tc>
          <w:tcPr>
            <w:tcW w:w="5387" w:type="dxa"/>
            <w:vAlign w:val="center"/>
          </w:tcPr>
          <w:p w14:paraId="31BFD099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Тестовая документация</w:t>
            </w:r>
          </w:p>
        </w:tc>
        <w:tc>
          <w:tcPr>
            <w:tcW w:w="709" w:type="dxa"/>
            <w:vAlign w:val="center"/>
          </w:tcPr>
          <w:p w14:paraId="26B23DF3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1EFF47E1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427549D8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289ECBC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6EFC186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584157CC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B53D53" w14:paraId="0956769A" w14:textId="77777777">
        <w:tc>
          <w:tcPr>
            <w:tcW w:w="5387" w:type="dxa"/>
            <w:vAlign w:val="center"/>
          </w:tcPr>
          <w:p w14:paraId="60BFC326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Конструкторская (проектная) документация</w:t>
            </w:r>
          </w:p>
        </w:tc>
        <w:tc>
          <w:tcPr>
            <w:tcW w:w="709" w:type="dxa"/>
            <w:vAlign w:val="center"/>
          </w:tcPr>
          <w:p w14:paraId="37AE7FD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C6C332D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1DF422C9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9E73FE7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778B544F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709" w:type="dxa"/>
            <w:vAlign w:val="center"/>
          </w:tcPr>
          <w:p w14:paraId="372E6145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</w:tr>
    </w:tbl>
    <w:p w14:paraId="55109FF3" w14:textId="77777777" w:rsidR="00B53D53" w:rsidRDefault="00B53D53">
      <w:pPr>
        <w:spacing w:after="0" w:line="360" w:lineRule="auto"/>
      </w:pPr>
    </w:p>
    <w:p w14:paraId="79D51B58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Приведённые в разделе 2 РД наборы требований к показателям каждого класса являются минимально необходимыми (п. 2.1.2). Требования к показателям защищенности шестого, пятого, четвёртого, третьего, второго и первого классов защищенности изложены соответственно в пп. 2.2–2.7 РД: для каждого показателя описан состав требований, а также состав документации, представляемой при оценке защищенности (руководство для пользователя, руководство по КСЗ, тестовая документация, конструкторская (проектная) документация).</w:t>
      </w:r>
    </w:p>
    <w:p w14:paraId="7F86F8A6" w14:textId="77777777" w:rsidR="00B53D53" w:rsidRDefault="00000000" w:rsidP="008A55D0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3 СРАВНИТЕЛЬНЫЙ АНАЛИЗ ТРЕБОВАНИЙ К 3 И 4 КЛАССАМ ЗАЩИЩЕННОСТИ</w:t>
      </w:r>
    </w:p>
    <w:p w14:paraId="77FDF7E8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Четвёртый и третий классы защищенности СВТ относятся к третьей группе классов, характеризуемой мандатной защитой. Требования к показателям защищенности четвёртого класса изложены в п. 2.4 РД, третьего класса — в п. 2.5 РД.</w:t>
      </w:r>
    </w:p>
    <w:p w14:paraId="651C6602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 таблице 2.1.1 РД набор требований четвёртого класса включает показатели: дискреционный принцип контроля доступа; мандатный принцип контроля доступа; очистка памяти; изоляция модулей; маркировка документов; защита ввода и вывода на отчуждаемый физический носитель информации; сопоставление пользователя с устройством; идентификация и аутентификация; гарантии проектирования; регистрация; целостность КСЗ; тестирование; руководство для пользователя; руководство по КСЗ; тестовая документация; конструкторская (проектная) документация.</w:t>
      </w:r>
    </w:p>
    <w:p w14:paraId="0D8235C5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Набор требований третьего класса включает все показатели четвёртого класса; по большинству показателей требования совпадают с требованиями четвёртого класса (обозначение «=»), а по ряду показателей установлены новые или дополнительные требования (обозначение «+»): очистка памяти; гарантии проектирования; взаимодействие пользователя с КСЗ; надёжное восстановление; целостность КСЗ; руководство по КСЗ; тестирование; тестовая документация; конструкторская (проектная) документация. Сравнительный анализ требований к 3 и 4 классам защищенности приведён в таблице 2 отчёта.</w:t>
      </w:r>
    </w:p>
    <w:p w14:paraId="57556E47" w14:textId="77777777" w:rsidR="00B53D53" w:rsidRDefault="00000000" w:rsidP="008A55D0">
      <w:pPr>
        <w:spacing w:after="0" w:line="360" w:lineRule="auto"/>
        <w:jc w:val="right"/>
      </w:pPr>
      <w:r>
        <w:rPr>
          <w:rFonts w:ascii="Times New Roman" w:hAnsi="Times New Roman" w:cs="Times New Roman"/>
          <w:b/>
          <w:bCs/>
        </w:rPr>
        <w:t xml:space="preserve"> Таблица 2 — Сравнительный анализ требований к 3 и 4 классам защищенности СВТ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3544"/>
        <w:gridCol w:w="3544"/>
      </w:tblGrid>
      <w:tr w:rsidR="00B53D53" w14:paraId="0F7349C0" w14:textId="77777777">
        <w:tc>
          <w:tcPr>
            <w:tcW w:w="2552" w:type="dxa"/>
            <w:shd w:val="clear" w:color="auto" w:fill="D9D9D9"/>
            <w:vAlign w:val="center"/>
          </w:tcPr>
          <w:p w14:paraId="03747DFA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Показатель защищенности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27118DAE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Требования к 4-му классу защищенности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677505FB" w14:textId="77777777" w:rsidR="00B53D53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Требования к 3-му классу защищенности</w:t>
            </w:r>
          </w:p>
        </w:tc>
      </w:tr>
      <w:tr w:rsidR="00B53D53" w14:paraId="4B9FDF15" w14:textId="77777777">
        <w:tc>
          <w:tcPr>
            <w:tcW w:w="2552" w:type="dxa"/>
            <w:vAlign w:val="center"/>
          </w:tcPr>
          <w:p w14:paraId="54E0FCE0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Дискреционный принцип контроля доступа</w:t>
            </w:r>
          </w:p>
        </w:tc>
        <w:tc>
          <w:tcPr>
            <w:tcW w:w="3544" w:type="dxa"/>
            <w:vAlign w:val="center"/>
          </w:tcPr>
          <w:p w14:paraId="56520B12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Реализация дискреционных ПРД для явных и скрытых действий пользователя; дискреционные ПРД дополняют мандатные ПРД</w:t>
            </w:r>
          </w:p>
        </w:tc>
        <w:tc>
          <w:tcPr>
            <w:tcW w:w="3544" w:type="dxa"/>
            <w:vAlign w:val="center"/>
          </w:tcPr>
          <w:p w14:paraId="247F8862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5EBEC58C" w14:textId="77777777">
        <w:tc>
          <w:tcPr>
            <w:tcW w:w="2552" w:type="dxa"/>
            <w:vAlign w:val="center"/>
          </w:tcPr>
          <w:p w14:paraId="4F3E0D68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Мандатный принцип контроля доступа</w:t>
            </w:r>
          </w:p>
        </w:tc>
        <w:tc>
          <w:tcPr>
            <w:tcW w:w="3544" w:type="dxa"/>
            <w:vAlign w:val="center"/>
          </w:tcPr>
          <w:p w14:paraId="1A953463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Классификационные метки субъектов и объектов; диспетчер доступа; контроль единичных актов доступа и потоков информации</w:t>
            </w:r>
          </w:p>
        </w:tc>
        <w:tc>
          <w:tcPr>
            <w:tcW w:w="3544" w:type="dxa"/>
            <w:vAlign w:val="center"/>
          </w:tcPr>
          <w:p w14:paraId="69077921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3FBA0806" w14:textId="77777777">
        <w:tc>
          <w:tcPr>
            <w:tcW w:w="2552" w:type="dxa"/>
            <w:vAlign w:val="center"/>
          </w:tcPr>
          <w:p w14:paraId="57AD6E8A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Очистка памяти</w:t>
            </w:r>
          </w:p>
        </w:tc>
        <w:tc>
          <w:tcPr>
            <w:tcW w:w="3544" w:type="dxa"/>
            <w:vAlign w:val="center"/>
          </w:tcPr>
          <w:p w14:paraId="33768671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Затруднение доступа к остаточной информации при назначении или перераспределении внешней памяти; очистка оперативной памяти при её перераспределении</w:t>
            </w:r>
          </w:p>
        </w:tc>
        <w:tc>
          <w:tcPr>
            <w:tcW w:w="3544" w:type="dxa"/>
            <w:vAlign w:val="center"/>
          </w:tcPr>
          <w:p w14:paraId="65105C83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Очистка оперативной и внешней памяти путём записи маскирующей информации при освобождении (перераспределении) памяти</w:t>
            </w:r>
          </w:p>
        </w:tc>
      </w:tr>
      <w:tr w:rsidR="00B53D53" w14:paraId="2B457704" w14:textId="77777777">
        <w:tc>
          <w:tcPr>
            <w:tcW w:w="2552" w:type="dxa"/>
            <w:vAlign w:val="center"/>
          </w:tcPr>
          <w:p w14:paraId="5ED2A060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Изоляция модулей</w:t>
            </w:r>
          </w:p>
        </w:tc>
        <w:tc>
          <w:tcPr>
            <w:tcW w:w="3544" w:type="dxa"/>
            <w:vAlign w:val="center"/>
          </w:tcPr>
          <w:p w14:paraId="515F66AE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Изоляция программных модулей одного процесса от модулей других процессов при наличии мультипрограммирования</w:t>
            </w:r>
          </w:p>
        </w:tc>
        <w:tc>
          <w:tcPr>
            <w:tcW w:w="3544" w:type="dxa"/>
            <w:vAlign w:val="center"/>
          </w:tcPr>
          <w:p w14:paraId="53F2F8F3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0A529ABD" w14:textId="77777777">
        <w:tc>
          <w:tcPr>
            <w:tcW w:w="2552" w:type="dxa"/>
            <w:vAlign w:val="center"/>
          </w:tcPr>
          <w:p w14:paraId="22F3AE25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 документов</w:t>
            </w:r>
          </w:p>
        </w:tc>
        <w:tc>
          <w:tcPr>
            <w:tcW w:w="3544" w:type="dxa"/>
            <w:vAlign w:val="center"/>
          </w:tcPr>
          <w:p w14:paraId="796C852C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Проставление штампа № 1 в начале и конце документа при выводе защищаемой информации</w:t>
            </w:r>
          </w:p>
        </w:tc>
        <w:tc>
          <w:tcPr>
            <w:tcW w:w="3544" w:type="dxa"/>
            <w:vAlign w:val="center"/>
          </w:tcPr>
          <w:p w14:paraId="533DF0FA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03B81C16" w14:textId="77777777">
        <w:tc>
          <w:tcPr>
            <w:tcW w:w="2552" w:type="dxa"/>
            <w:vAlign w:val="center"/>
          </w:tcPr>
          <w:p w14:paraId="1E06F810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Защита ввода и вывода на отчуждаемый физический носитель информации</w:t>
            </w:r>
          </w:p>
        </w:tc>
        <w:tc>
          <w:tcPr>
            <w:tcW w:w="3544" w:type="dxa"/>
            <w:vAlign w:val="center"/>
          </w:tcPr>
          <w:p w14:paraId="0C674885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Контроль вывода информации на отчуждаемые носители («промаркированные» и «непромаркированные» документы)</w:t>
            </w:r>
          </w:p>
        </w:tc>
        <w:tc>
          <w:tcPr>
            <w:tcW w:w="3544" w:type="dxa"/>
            <w:vAlign w:val="center"/>
          </w:tcPr>
          <w:p w14:paraId="7155CD76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5BD1F88E" w14:textId="77777777">
        <w:tc>
          <w:tcPr>
            <w:tcW w:w="2552" w:type="dxa"/>
            <w:vAlign w:val="center"/>
          </w:tcPr>
          <w:p w14:paraId="491A20FA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Сопоставление пользователя с устройством</w:t>
            </w:r>
          </w:p>
        </w:tc>
        <w:tc>
          <w:tcPr>
            <w:tcW w:w="3544" w:type="dxa"/>
            <w:vAlign w:val="center"/>
          </w:tcPr>
          <w:p w14:paraId="0A6FFE60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Вывод информации на запрошенное пользователем устройство</w:t>
            </w:r>
          </w:p>
        </w:tc>
        <w:tc>
          <w:tcPr>
            <w:tcW w:w="3544" w:type="dxa"/>
            <w:vAlign w:val="center"/>
          </w:tcPr>
          <w:p w14:paraId="057E5D67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53ED3504" w14:textId="77777777">
        <w:tc>
          <w:tcPr>
            <w:tcW w:w="2552" w:type="dxa"/>
            <w:vAlign w:val="center"/>
          </w:tcPr>
          <w:p w14:paraId="21394C02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Идентификация и аутентификация</w:t>
            </w:r>
          </w:p>
        </w:tc>
        <w:tc>
          <w:tcPr>
            <w:tcW w:w="3544" w:type="dxa"/>
            <w:vAlign w:val="center"/>
          </w:tcPr>
          <w:p w14:paraId="2E25BC33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Идентификация и аутентификация пользователей, устройств, носителей; защита механизма идентификации и аутентификации</w:t>
            </w:r>
          </w:p>
        </w:tc>
        <w:tc>
          <w:tcPr>
            <w:tcW w:w="3544" w:type="dxa"/>
            <w:vAlign w:val="center"/>
          </w:tcPr>
          <w:p w14:paraId="78B1B156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1F0A0B5B" w14:textId="77777777">
        <w:tc>
          <w:tcPr>
            <w:tcW w:w="2552" w:type="dxa"/>
            <w:vAlign w:val="center"/>
          </w:tcPr>
          <w:p w14:paraId="4E17AF32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Гарантии проектирования</w:t>
            </w:r>
          </w:p>
        </w:tc>
        <w:tc>
          <w:tcPr>
            <w:tcW w:w="3544" w:type="dxa"/>
            <w:vAlign w:val="center"/>
          </w:tcPr>
          <w:p w14:paraId="7DA8FBB5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Построение модели защиты: непротиворечивые ПРД, непротиворечивые правила изменения ПРД, правила работы с устройствами ввода-вывода и каналами связи</w:t>
            </w:r>
          </w:p>
        </w:tc>
        <w:tc>
          <w:tcPr>
            <w:tcW w:w="3544" w:type="dxa"/>
            <w:vAlign w:val="center"/>
          </w:tcPr>
          <w:p w14:paraId="56CD5A32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Модель защиты дополняется формальной моделью механизма управления доступом; высокоуровневая спецификация части КСЗ, реализующей механизм управления доступом, верифицируется на соответствие заданным принципам разграничения доступа</w:t>
            </w:r>
          </w:p>
        </w:tc>
      </w:tr>
      <w:tr w:rsidR="00B53D53" w14:paraId="517C0528" w14:textId="77777777">
        <w:tc>
          <w:tcPr>
            <w:tcW w:w="2552" w:type="dxa"/>
            <w:vAlign w:val="center"/>
          </w:tcPr>
          <w:p w14:paraId="5F6257B5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Регистрация</w:t>
            </w:r>
          </w:p>
        </w:tc>
        <w:tc>
          <w:tcPr>
            <w:tcW w:w="3544" w:type="dxa"/>
            <w:vAlign w:val="center"/>
          </w:tcPr>
          <w:p w14:paraId="5ACB96B1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5-го класса; дополнительно — регистрация всех попыток доступа, всех действий оператора и выделенных пользователей (администраторов защиты и т. п.)</w:t>
            </w:r>
          </w:p>
        </w:tc>
        <w:tc>
          <w:tcPr>
            <w:tcW w:w="3544" w:type="dxa"/>
            <w:vAlign w:val="center"/>
          </w:tcPr>
          <w:p w14:paraId="4F60D945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Требования совпадают с требованиями к 4-му классу</w:t>
            </w:r>
          </w:p>
        </w:tc>
      </w:tr>
      <w:tr w:rsidR="00B53D53" w14:paraId="3BAD0F6B" w14:textId="77777777">
        <w:tc>
          <w:tcPr>
            <w:tcW w:w="2552" w:type="dxa"/>
            <w:vAlign w:val="center"/>
          </w:tcPr>
          <w:p w14:paraId="1DDEA840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Взаимодействие пользователя с КСЗ</w:t>
            </w:r>
          </w:p>
        </w:tc>
        <w:tc>
          <w:tcPr>
            <w:tcW w:w="3544" w:type="dxa"/>
            <w:vAlign w:val="center"/>
          </w:tcPr>
          <w:p w14:paraId="01E95521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  <w:tc>
          <w:tcPr>
            <w:tcW w:w="3544" w:type="dxa"/>
            <w:vAlign w:val="center"/>
          </w:tcPr>
          <w:p w14:paraId="6F73771A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КСЗ хорошо структурирован (модульная структура); интерфейс пользователя и КСЗ определён, надёжен, логически изолирован</w:t>
            </w:r>
          </w:p>
        </w:tc>
      </w:tr>
      <w:tr w:rsidR="00B53D53" w14:paraId="78972F57" w14:textId="77777777">
        <w:tc>
          <w:tcPr>
            <w:tcW w:w="2552" w:type="dxa"/>
            <w:vAlign w:val="center"/>
          </w:tcPr>
          <w:p w14:paraId="793546B9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Надежное восстановление</w:t>
            </w:r>
          </w:p>
        </w:tc>
        <w:tc>
          <w:tcPr>
            <w:tcW w:w="3544" w:type="dxa"/>
            <w:vAlign w:val="center"/>
          </w:tcPr>
          <w:p w14:paraId="0BE712A8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  <w:tc>
          <w:tcPr>
            <w:tcW w:w="3544" w:type="dxa"/>
            <w:vAlign w:val="center"/>
          </w:tcPr>
          <w:p w14:paraId="3AC37CCA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Процедуры восстановления после сбоев и отказов оборудования обеспечивают полное восстановление свойств КСЗ</w:t>
            </w:r>
          </w:p>
        </w:tc>
      </w:tr>
      <w:tr w:rsidR="00B53D53" w14:paraId="1C97366C" w14:textId="77777777">
        <w:tc>
          <w:tcPr>
            <w:tcW w:w="2552" w:type="dxa"/>
            <w:vAlign w:val="center"/>
          </w:tcPr>
          <w:p w14:paraId="5B001444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Целостность КСЗ</w:t>
            </w:r>
          </w:p>
        </w:tc>
        <w:tc>
          <w:tcPr>
            <w:tcW w:w="3544" w:type="dxa"/>
            <w:vAlign w:val="center"/>
          </w:tcPr>
          <w:p w14:paraId="2D1651B1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Периодический контроль целостности КСЗ; программы КСЗ выполняются в отдельной части оперативной памяти</w:t>
            </w:r>
          </w:p>
        </w:tc>
        <w:tc>
          <w:tcPr>
            <w:tcW w:w="3544" w:type="dxa"/>
            <w:vAlign w:val="center"/>
          </w:tcPr>
          <w:p w14:paraId="4C48B6BC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 же требования; требование выполнения программ КСЗ в отдельной части оперативной памяти подвергается верификации</w:t>
            </w:r>
          </w:p>
        </w:tc>
      </w:tr>
      <w:tr w:rsidR="00B53D53" w14:paraId="76730A2D" w14:textId="77777777">
        <w:tc>
          <w:tcPr>
            <w:tcW w:w="2552" w:type="dxa"/>
            <w:vAlign w:val="center"/>
          </w:tcPr>
          <w:p w14:paraId="700F84D4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Тестирование</w:t>
            </w:r>
          </w:p>
        </w:tc>
        <w:tc>
          <w:tcPr>
            <w:tcW w:w="3544" w:type="dxa"/>
            <w:vAlign w:val="center"/>
          </w:tcPr>
          <w:p w14:paraId="1E67B0AE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Тестирование реализации ПРД, очистки памяти, изоляции процессов, маркировки документов, защиты ввода-вывода, идентификации и аутентификации, контроля целостности, регистрации и др.</w:t>
            </w:r>
          </w:p>
        </w:tc>
        <w:tc>
          <w:tcPr>
            <w:tcW w:w="3544" w:type="dxa"/>
            <w:vAlign w:val="center"/>
          </w:tcPr>
          <w:p w14:paraId="0AF1B9D6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 же тесты, что и для 4-го класса; дополнительно тестируются очистка памяти и работа механизма надёжного восстановления</w:t>
            </w:r>
          </w:p>
        </w:tc>
      </w:tr>
      <w:tr w:rsidR="00B53D53" w14:paraId="2BF8B9E8" w14:textId="77777777">
        <w:tc>
          <w:tcPr>
            <w:tcW w:w="2552" w:type="dxa"/>
            <w:vAlign w:val="center"/>
          </w:tcPr>
          <w:p w14:paraId="365A4C78" w14:textId="77777777" w:rsidR="00B53D53" w:rsidRDefault="00000000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Документация</w:t>
            </w:r>
          </w:p>
        </w:tc>
        <w:tc>
          <w:tcPr>
            <w:tcW w:w="3544" w:type="dxa"/>
            <w:vAlign w:val="center"/>
          </w:tcPr>
          <w:p w14:paraId="413475A1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Руководство для пользователя, руководство по КСЗ, тестовая документация, конструкторская (проектная) документация</w:t>
            </w:r>
          </w:p>
        </w:tc>
        <w:tc>
          <w:tcPr>
            <w:tcW w:w="3544" w:type="dxa"/>
            <w:vAlign w:val="center"/>
          </w:tcPr>
          <w:p w14:paraId="149179C2" w14:textId="77777777" w:rsidR="00B53D53" w:rsidRDefault="00000000"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Дополнительно: руководство по КСЗ содержит руководство по средствам надёжного восстановления; в конструкторскую документацию включаются высокоуровневая спецификация КСЗ и верификация её соответствия модели защиты</w:t>
            </w:r>
          </w:p>
        </w:tc>
      </w:tr>
    </w:tbl>
    <w:p w14:paraId="0000B621" w14:textId="77777777" w:rsidR="00B53D53" w:rsidRDefault="00B53D53">
      <w:pPr>
        <w:spacing w:after="0" w:line="360" w:lineRule="auto"/>
      </w:pPr>
    </w:p>
    <w:p w14:paraId="3657AFF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требования к показателям защищенности третьего класса включают требования четвёртого класса и дополняют их: вводятся новые показатели (взаимодействие пользователя с КСЗ, надёжное восстановление) и ужесточаются требования к очистке памяти (маскирующая запись), гарантиям проектирования (формальная модель механизма управления доступом и верификация высокоуровневой спецификации), целостности КСЗ (верификация требований), тестированию и составу представляемой документации. Требования к третьему классу являются минимально необходимыми для СВТ, обрабатывающих информацию более высокой степени конфиденциальности.</w:t>
      </w:r>
    </w:p>
    <w:p w14:paraId="5D071F87" w14:textId="390A43A7" w:rsidR="00B53D53" w:rsidRDefault="00000000" w:rsidP="008A55D0">
      <w:pPr>
        <w:spacing w:after="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5D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4 ОЦЕНКА КЛАССА ЗАЩИЩЕННОСТИ СВТ (СЕРТИФИКАЦИЯ СВТ)</w:t>
      </w:r>
    </w:p>
    <w:p w14:paraId="75516285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соответствии с разделом 3 РД оценка класса защищенности СВТ проводится в соответствии с Положением о сертификации средств и систем вычислительной техники и связи по требованиям защиты информации, Временным положением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 и другими документами.</w:t>
      </w:r>
    </w:p>
    <w:p w14:paraId="4E3D786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соответствии с РД «Защита от несанкционированного доступа к информации. Термины и определения» сертификация уровня защиты (сертификация) — процесс установления соответствия средства вычислительной техники или автоматизированной системы набору определённых требований по защите; сертификат защиты (сертификат) — документ, удостоверяющий соответствие СВТ или АС набору определённых требований по защите от несанкционированного доступа к информации и дающий право разработчику на использование и (или) распространение их как защищённых.</w:t>
      </w:r>
    </w:p>
    <w:p w14:paraId="274123C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при сертификации СВТ устанавливается соответствие СВТ требованиям (показателям) определённого класса защищенности, </w:t>
      </w:r>
      <w:r>
        <w:rPr>
          <w:rFonts w:ascii="Times New Roman" w:hAnsi="Times New Roman" w:cs="Times New Roman"/>
          <w:sz w:val="28"/>
          <w:szCs w:val="28"/>
        </w:rPr>
        <w:lastRenderedPageBreak/>
        <w:t>определённым в РД, что подтверждается сертификатом, после чего СВТ может применяться для построения АС соответствующего класса защищенности.</w:t>
      </w:r>
    </w:p>
    <w:p w14:paraId="0906FFD0" w14:textId="77777777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10 ОТЧЁТ ПО ИЗУЧЕННЫМ САЙТАМ</w:t>
      </w:r>
    </w:p>
    <w:p w14:paraId="6C90729A" w14:textId="59D235DB" w:rsidR="00B53D53" w:rsidRDefault="00000000">
      <w:pPr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5D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10.1 САЙТ ФСТЭК РОССИИ</w:t>
      </w:r>
    </w:p>
    <w:p w14:paraId="7C8965F1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ФСТЭК России — федеральный орган исполнительной власти, уполномоченный в области противодействия техническим разведкам и технической защиты информации,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(Указ Президента РФ от 16.08.2004 № 1085 «Вопросы Федеральной службы по техническому и экспортному контролю»).</w:t>
      </w:r>
    </w:p>
    <w:p w14:paraId="3E18D340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Официальный сайт ФСТЭК России (https://fstec.ru) содержит следующие основные разделы:</w:t>
      </w:r>
    </w:p>
    <w:p w14:paraId="596D0C1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«О ФСТЭК России» — положение о службе, руководство, структура, полномочия, историческая справка;</w:t>
      </w:r>
    </w:p>
    <w:p w14:paraId="477610B8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«Деятельность» — лицензирование деятельности по технической защите конфиденциальной информации и по разработке и производству средств защиты конфиденциальной информации; сертификация средств защиты информации; аттестация объектов информатизации; государственный контроль за деятельностью по технической защите информации;</w:t>
      </w:r>
    </w:p>
    <w:p w14:paraId="176C436E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«Документы» — федеральные законы, указы Президента РФ, постановления Правительства РФ, приказы ФСТЭК России, методические документы; раздел «Специальные нормативные документы» содержит руководящие документы, утверждённые решением Государственной технической комиссии при Президенте Российской Федерации от 30 марта 1992 г., в том числе 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</w:t>
      </w:r>
    </w:p>
    <w:p w14:paraId="2F638B9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«Реестры» — Государственный реестр сертифицированных средств защиты информации, реестр лицензий ФСТЭК России, реестр </w:t>
      </w:r>
      <w:r>
        <w:rPr>
          <w:rFonts w:ascii="Times New Roman" w:hAnsi="Times New Roman" w:cs="Times New Roman"/>
          <w:sz w:val="28"/>
          <w:szCs w:val="28"/>
        </w:rPr>
        <w:lastRenderedPageBreak/>
        <w:t>аккредитованных органов по сертификации и испытательных лабораторий, реестр организаций, осуществляющих аттестацию объектов информатизации;</w:t>
      </w:r>
    </w:p>
    <w:p w14:paraId="18EF9F70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«Банк данных угроз безопасности информации» (https://bdu.fstec.ru) — перечни угроз безопасности информации, сведения об уязвимостях и вредоносном программном обеспечении;</w:t>
      </w:r>
    </w:p>
    <w:p w14:paraId="3BC45545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«Новости», «Пресс-центр», «Госуслуги».</w:t>
      </w:r>
    </w:p>
    <w:p w14:paraId="7607F9C7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практического занятия на сайте ФСТЭК России изучены: руководящие документы Гостехкомиссии России по защите от НСД к информации (РД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информации», Концепция защиты СВТ и АС от НСД к информации, классификация АС, РД «Защита от несанкционированного доступа к информации. Термины и определения»), материалы по сертификации средств защиты информации и аттестации объектов информатизации, использованные при ответах на контрольные вопросы.</w:t>
      </w:r>
    </w:p>
    <w:p w14:paraId="2B062C99" w14:textId="70690ABE" w:rsidR="00B53D53" w:rsidRDefault="00000000">
      <w:pPr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5D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10.2 САЙТ РОСКОМНАДЗОРА</w:t>
      </w:r>
    </w:p>
    <w:p w14:paraId="26E9B33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Роскомнадзор — Федеральная служба по надзору в сфере связи, информационных технологий и массовых коммуникаций (постановление Правительства РФ от 16.03.2009 № 228), осуществляющая функции по контролю и надзору в сфере средств массовой информации, в том числе электронных, и массовых коммуникаций, информационных технологий и связи.</w:t>
      </w:r>
    </w:p>
    <w:p w14:paraId="6E8DF3D7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Официальный сайт Роскомнадзора (https://rkn.gov.ru) содержит следующие основные разделы:</w:t>
      </w:r>
    </w:p>
    <w:p w14:paraId="56D0604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«О Роскомнадзоре» — положение о службе, руководство, структура, полномочия, территориальные органы;</w:t>
      </w:r>
    </w:p>
    <w:p w14:paraId="130AC0F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«Деятельность» — «Персональные данные» (материалы для граждан и операторов персональных данных, портал персональных данных https://pd.rkn.gov.ru), «Связь» (лицензирование деятельности в области </w:t>
      </w:r>
      <w:r>
        <w:rPr>
          <w:rFonts w:ascii="Times New Roman" w:hAnsi="Times New Roman" w:cs="Times New Roman"/>
          <w:sz w:val="28"/>
          <w:szCs w:val="28"/>
        </w:rPr>
        <w:lastRenderedPageBreak/>
        <w:t>оказания услуг связи, контроль за соблюдением требований в области связи), «Электронные коммуникации» (пресечение распространения противоправной информации, единый реестр запрещённой информации), «СМИ», «Информационные технологии», «Учёт интернет-рекламы»;</w:t>
      </w:r>
    </w:p>
    <w:p w14:paraId="1E9A760A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«Документы» — федеральные законы, подзаконные и ведомственные нормативные акты, административные регламенты;</w:t>
      </w:r>
    </w:p>
    <w:p w14:paraId="26AF2617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«Госуслуги», «Обращения граждан», «Пресс-центр».</w:t>
      </w:r>
    </w:p>
    <w:p w14:paraId="28550CA2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контексте темы практического занятия Роскомнадзор осуществляет государственный контроль (надзор) в области персональных данных и связи, что связано с защитой конфиденциальной информации при её обработке в информационных системах. В ходе выполнения практического занятия на сайте Роскомнадзора изучены: материалы разделов «Персональные данные», «Связь» и «Информационные технологии», перечни нормативных правовых актов, определяющих полномочия службы, реестр операторов, осуществляющих обработку персональных данных.</w:t>
      </w:r>
    </w:p>
    <w:p w14:paraId="61D2793E" w14:textId="08CE025A" w:rsidR="00B53D53" w:rsidRDefault="00000000">
      <w:pPr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5D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10.3 ИНЫЕ ОТКРЫТЫЕ ИСТОЧНИКИ СЕТИ ИНТЕРНЕТ</w:t>
      </w:r>
    </w:p>
    <w:p w14:paraId="628229E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практического занятия также использованы следующие открытые источники сети Интернет:</w:t>
      </w:r>
    </w:p>
    <w:p w14:paraId="368F19E0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официальный сайт ФСТЭК России (https://fstec.ru) — раздел «Специальные нормативные документы»: руководящие документы, утверждённые решением Государственной технической комиссии при Президенте Российской Федерации от 30 марта 1992 г.;</w:t>
      </w:r>
    </w:p>
    <w:p w14:paraId="2AE089B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справочно-правовая система «КонсультантПлюс» (http://www.consultant.ru) — тексты нормативных правовых актов в области технической защиты информации;</w:t>
      </w:r>
    </w:p>
    <w:p w14:paraId="03109F3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информационно-правовой портал «Legalacts.ru» (https://legalacts.ru) — тексты руководящих документов Гостехкомиссии России;</w:t>
      </w:r>
    </w:p>
    <w:p w14:paraId="2FB95B2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информационно-правовая база «Stroyinf.ru» (https://files.stroyinf.ru) — тексты руководящих документов Гостехкомиссии России;</w:t>
      </w:r>
    </w:p>
    <w:p w14:paraId="74EB7E6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– портал информационной безопасности «InfoSecPortal.ru» (https://infosecportal.ru) — материалы по сертификации средств защиты информации;</w:t>
      </w:r>
    </w:p>
    <w:p w14:paraId="095E0B78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каталог нормативных документов «Internet-Law.ru» (https://internet-law.ru) — полные тексты руководящих документов Гостехкомиссии России;</w:t>
      </w:r>
    </w:p>
    <w:p w14:paraId="77EAB56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справочная система «Контур.Норматив» (https://normativ.kontur.ru) — полный текст 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(статус: действует);</w:t>
      </w:r>
    </w:p>
    <w:p w14:paraId="023E6D8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официальный интернет-портал правовой информации (http://pravo.gov.ru) — официальное опубликование нормативных правовых актов.</w:t>
      </w:r>
    </w:p>
    <w:p w14:paraId="2FFD0C4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изучения источников проанализировано содержание 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 текст документа сверен по двум независимым источникам (Internet-Law.ru и «Контур.Норматив»), расхождений в содержании не обнаружено. Также изучены связанные с ним руководящие документы, определяющие концепцию защиты СВТ и АС от НСД и классификацию АС.</w:t>
      </w:r>
    </w:p>
    <w:p w14:paraId="3E08BCDD" w14:textId="77777777" w:rsidR="00573EDF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A3F05A8" w14:textId="77777777" w:rsidR="00573EDF" w:rsidRDefault="00573E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CD65D4" w14:textId="70424ADD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77C8328E" w14:textId="77777777" w:rsidR="00B53D53" w:rsidRDefault="00000000" w:rsidP="00573EDF">
      <w:pPr>
        <w:spacing w:after="0" w:line="360" w:lineRule="auto"/>
        <w:ind w:firstLine="708"/>
        <w:jc w:val="both"/>
      </w:pPr>
      <w:r w:rsidRPr="00573EDF">
        <w:rPr>
          <w:rFonts w:ascii="Times New Roman" w:hAnsi="Times New Roman" w:cs="Times New Roman"/>
          <w:b/>
          <w:bCs/>
          <w:sz w:val="28"/>
          <w:szCs w:val="28"/>
        </w:rPr>
        <w:t>Вопрос 1.</w:t>
      </w:r>
      <w:r>
        <w:rPr>
          <w:rFonts w:ascii="Times New Roman" w:hAnsi="Times New Roman" w:cs="Times New Roman"/>
          <w:sz w:val="28"/>
          <w:szCs w:val="28"/>
        </w:rPr>
        <w:t xml:space="preserve"> Цели разработки настоящего РД?</w:t>
      </w:r>
    </w:p>
    <w:p w14:paraId="564868C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РД разработан в развитие «Концепции защиты средств вычислительной техники и автоматизированных систем от несанкционированного доступа к информации», утверждённой решением Государственной технической комиссии при Президенте Российской Федерации от 30 марта 1992 г., как руководящий документ, детализирующий положения Концепции применительно к средствам вычислительной техники.</w:t>
      </w:r>
    </w:p>
    <w:p w14:paraId="32E933A6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Основной целью разработки РД является установление классификации средств вычислительной техники по уровню защищенности от несанкционированного доступа к информации на базе перечня показателей защищенности и совокупности описывающих их требований (преамбула РД). При этом решаются следующие задачи: 1) установление единых требований (показателей) защищенности СВТ от НСД к информации, применяемых к общесистемным программным средствам и операционным системам с учётом архитектуры ЭВМ; 2) установление семи классов защищенности СВТ от НСД к информации, подразделяемых на четыре группы, и минимально необходимых наборов требований к показателям каждого класса; 3) создание методической основы для оценки класса защищенности СВТ при их сертификации: в соответствии с разделом 3 РД оценка класса защищенности СВТ проводится в соответствии с Положением о сертификации средств и систем вычислительной техники и связи по требованиям защиты информации и Временным положением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техники; 4) создание основы для выбора класса защищенности СВТ для автоматизированных систем, создаваемых на базе защищённых СВТ (п. 1.5 РД).</w:t>
      </w:r>
    </w:p>
    <w:p w14:paraId="376F4378" w14:textId="77777777" w:rsidR="00B53D53" w:rsidRDefault="00000000" w:rsidP="00573EDF">
      <w:pPr>
        <w:spacing w:after="0" w:line="360" w:lineRule="auto"/>
        <w:ind w:firstLine="708"/>
        <w:jc w:val="both"/>
      </w:pPr>
      <w:r w:rsidRPr="00573EDF">
        <w:rPr>
          <w:rFonts w:ascii="Times New Roman" w:hAnsi="Times New Roman" w:cs="Times New Roman"/>
          <w:b/>
          <w:bCs/>
          <w:sz w:val="28"/>
          <w:szCs w:val="28"/>
        </w:rPr>
        <w:t>Вопрос 2.</w:t>
      </w:r>
      <w:r>
        <w:rPr>
          <w:rFonts w:ascii="Times New Roman" w:hAnsi="Times New Roman" w:cs="Times New Roman"/>
          <w:sz w:val="28"/>
          <w:szCs w:val="28"/>
        </w:rPr>
        <w:t xml:space="preserve"> Сколько классов защищенности СВТ от НСД к информации устанавливается в соответствии с РД, на сколько классов они подразделяются?</w:t>
      </w:r>
    </w:p>
    <w:p w14:paraId="427C161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В соответствии с п. 1.4 РД устанавливается семь классов защищенности СВТ от НСД к информации. Самый низкий класс — седьмой, самый высокий — первый. Классы подразделяются на четыре группы, отличающиеся качественным уровнем защиты:</w:t>
      </w:r>
    </w:p>
    <w:p w14:paraId="2D68D68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первая группа содержит только один седьмой класс;</w:t>
      </w:r>
    </w:p>
    <w:p w14:paraId="29FB1F9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вторая группа характеризуется дискреционной защитой и содержит шестой и пятый классы;</w:t>
      </w:r>
    </w:p>
    <w:p w14:paraId="21F8755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третья группа характеризуется мандатной защитой и содержит четвёртый, третий и второй классы;</w:t>
      </w:r>
    </w:p>
    <w:p w14:paraId="53BA8A5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– четвёртая группа характеризуется верифицированной защитой и содержит только первый класс.</w:t>
      </w:r>
    </w:p>
    <w:p w14:paraId="365AB9A6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Кроме того, в соответствии с п. 2.1.3 РД седьмой класс присваивают СВТ, к которым предъявлялись требования по защите от НСД к информации, но при оценке защищенность СВТ оказалась ниже уровня требований шестого класса. Перечень показателей защищенности по классам защищенности приведён в таблице 2.1.1 РД: по мере повышения класса защищенности (от седьмого к первому) перечень показателей расширяется, а требования ужесточаются.</w:t>
      </w:r>
    </w:p>
    <w:p w14:paraId="5190E10E" w14:textId="77777777" w:rsidR="00B53D53" w:rsidRDefault="00000000" w:rsidP="006756C6">
      <w:pPr>
        <w:spacing w:after="0" w:line="360" w:lineRule="auto"/>
        <w:ind w:firstLine="708"/>
        <w:jc w:val="both"/>
      </w:pPr>
      <w:r w:rsidRPr="006756C6">
        <w:rPr>
          <w:rFonts w:ascii="Times New Roman" w:hAnsi="Times New Roman" w:cs="Times New Roman"/>
          <w:b/>
          <w:bCs/>
          <w:sz w:val="28"/>
          <w:szCs w:val="28"/>
        </w:rPr>
        <w:t>Вопрос 3.</w:t>
      </w:r>
      <w:r>
        <w:rPr>
          <w:rFonts w:ascii="Times New Roman" w:hAnsi="Times New Roman" w:cs="Times New Roman"/>
          <w:sz w:val="28"/>
          <w:szCs w:val="28"/>
        </w:rPr>
        <w:t xml:space="preserve"> На основании какого критерия осуществляется выбор класса защищенности СВТ для автоматизированных систем, создаваемых на базе защищённых СВТ?</w:t>
      </w:r>
    </w:p>
    <w:p w14:paraId="3E16C86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п. 1.5 РД выбор класса защищенности СВТ для автоматизированных систем, создаваемых на базе защищённых СВТ, зависит от грифа секретности обрабатываемой в АС информации, условий эксплуатации и расположения объектов системы. Иными словами, критерием выбора является совокупность следующих факторов: степень конфиденциальности (гриф секретности) информации, обрабатываемой в АС; условия эксплуатации СВТ (например, режим функционирования, возможность несанкционированного доступа к аппаратуре); расположение объектов системы (в том числе возможность физического доступа нарушителя к средствам вычислительной техники). Чем выше гриф секретности </w:t>
      </w:r>
      <w:r>
        <w:rPr>
          <w:rFonts w:ascii="Times New Roman" w:hAnsi="Times New Roman" w:cs="Times New Roman"/>
          <w:sz w:val="28"/>
          <w:szCs w:val="28"/>
        </w:rPr>
        <w:lastRenderedPageBreak/>
        <w:t>обрабатываемой информации и чем менее благоприятны условия эксплуатации и расположение объектов, тем более высокий класс защищенности СВТ должен быть выбран.</w:t>
      </w:r>
    </w:p>
    <w:p w14:paraId="0B13DE7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 этом в соответствии с п. 1.6 РД применение в комплекте СВТ средств криптографической защиты информации по ГОСТ 28147-89 может быть использовано для повышения гарантий качества защиты. Следует также учитывать, что класс защищенности автоматизированной системы в целом устанавливается в соответствии с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на основе информационных, организационных и технологических характеристик АС, а выбор класса защищенности СВТ, входящих в состав АС, осуществляется так, чтобы обеспечить требуемый класс защищенности АС.</w:t>
      </w:r>
    </w:p>
    <w:p w14:paraId="144AE935" w14:textId="77777777" w:rsidR="00B53D53" w:rsidRDefault="00000000" w:rsidP="00176733">
      <w:pPr>
        <w:spacing w:after="0" w:line="360" w:lineRule="auto"/>
        <w:ind w:firstLine="708"/>
        <w:jc w:val="both"/>
      </w:pPr>
      <w:r w:rsidRPr="00176733">
        <w:rPr>
          <w:rFonts w:ascii="Times New Roman" w:hAnsi="Times New Roman" w:cs="Times New Roman"/>
          <w:b/>
          <w:bCs/>
          <w:sz w:val="28"/>
          <w:szCs w:val="28"/>
        </w:rPr>
        <w:t>Вопрос 4.</w:t>
      </w:r>
      <w:r>
        <w:rPr>
          <w:rFonts w:ascii="Times New Roman" w:hAnsi="Times New Roman" w:cs="Times New Roman"/>
          <w:sz w:val="28"/>
          <w:szCs w:val="28"/>
        </w:rPr>
        <w:t xml:space="preserve"> Проведите сравнительный анализ требований к 3 и 4 классам защищенности.</w:t>
      </w:r>
    </w:p>
    <w:p w14:paraId="18E1458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Четвёртый и третий классы защищенности СВТ относятся к третьей группе классов, характеризуемой мандатной защитой; требования к ним изложены соответственно в п. 2.4 и п. 2.5 РД. Сравнительный анализ приведён в таблице 2 отчёта.</w:t>
      </w:r>
    </w:p>
    <w:p w14:paraId="153563DA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Общее: оба класса требуют реализации дискреционного и мандатного принципов контроля доступа (с диспетчером доступа и контролем потоков информации), изоляции модулей, маркировки документов, защиты ввода и вывода на отчуждаемый физический носитель информации, сопоставления пользователя с устройством, идентификации и аутентификации, регистрации, периодического контроля целостности КСЗ, тестирования и представления комплекта документации.</w:t>
      </w:r>
    </w:p>
    <w:p w14:paraId="3C4455D2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Различия: для третьего класса, по сравнению с четвёртым, дополнительно устанавливаются: 1) показатель «взаимодействие пользователя с КСЗ» — КСЗ должен быть хорошо структурирован (модульная структура), определён и логически изолирован интерфейс пользователя и КСЗ, обеспечена </w:t>
      </w:r>
      <w:r>
        <w:rPr>
          <w:rFonts w:ascii="Times New Roman" w:hAnsi="Times New Roman" w:cs="Times New Roman"/>
          <w:sz w:val="28"/>
          <w:szCs w:val="28"/>
        </w:rPr>
        <w:lastRenderedPageBreak/>
        <w:t>его надёжность (в четвёртом классе этот показатель отсутствует); 2) показатель «надёжное восстановление» — процедуры восстановления после сбоев и отказов оборудования должны обеспечивать полное восстановление свойств КСЗ (в четвёртом классе этот показатель отсутствует).</w:t>
      </w:r>
    </w:p>
    <w:p w14:paraId="249D38E6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Кроме того, для третьего класса ужесточаются требования по ряду показателей: 1) очистка памяти — очистка оперативной и внешней памяти производится путём записи маскирующей информации при освобождении (перераспределении) памяти, тогда как для четвёртого класса достаточно затруднения доступа к остаточной информации и очистки оперативной памяти при перераспределении; 2) гарантии проектирования — модель защиты дополняется формальной моделью механизма управления доступом, а высокоуровневая спецификация части КСЗ, реализующей механизм управления доступом, должна быть верифицирована на соответствие заданным принципам разграничения доступа; 3) целостность КСЗ — требование выполнения программ КСЗ в отдельной части оперативной памяти должно подвергаться верификации; 4) тестирование — дополнительно тестируются очистка памяти и работа механизма надёжного восстановления; 5) документация — руководство по КСЗ дополняется руководством по средствам надёжного восстановления, а в конструкторскую (проектную) документацию включаются высокоуровневая спецификация КСЗ и верификация её соответствия модели защиты.</w:t>
      </w:r>
    </w:p>
    <w:p w14:paraId="3E9CA0B4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требования к показателям защищенности третьего класса включают требования четвёртого класса и дополняют их как по составу показателей, так и по содержанию требований, обеспечивая более высокий уровень защищенности СВТ от НСД к информации.</w:t>
      </w:r>
    </w:p>
    <w:p w14:paraId="67B940FA" w14:textId="77777777" w:rsidR="00690B5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F49E90" w14:textId="77777777" w:rsidR="00690B52" w:rsidRDefault="00690B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CDE85E" w14:textId="48FE9DB2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0B5822D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практического занятия № 12 изучен 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информации», утверждённый решением Государственной технической комиссии при Президенте Российской Федерации от 30 марта 1992 г., как руководящий документ в области технической защиты информации, устанавливающий классификацию СВТ по уровню защищенности от НСД к информации.</w:t>
      </w:r>
    </w:p>
    <w:p w14:paraId="4F3E1B0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процессе выполнения работы:</w:t>
      </w:r>
    </w:p>
    <w:p w14:paraId="1CA0A65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1) изучен 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</w:t>
      </w:r>
    </w:p>
    <w:p w14:paraId="5A1AA25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2) изучены общие положения РД: назначение документа, определение СВТ, область применения показателей защищенности (общесистемные программные средства и операционные системы);</w:t>
      </w:r>
    </w:p>
    <w:p w14:paraId="4AD39131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3) изучена классификация СВТ от НСД к информации: семь классов защищенности (самый низкий — седьмой, самый высокий — первый), подразделяемых на четыре группы, отличающиеся качественным уровнем защиты (дискреционная, мандатная и верифицированная защита);</w:t>
      </w:r>
    </w:p>
    <w:p w14:paraId="3175E29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4) изучен перечень показателей защищенности СВТ от НСД к информации и требования к показателям по классам защищенности (таблица 2.1.1 РД);</w:t>
      </w:r>
    </w:p>
    <w:p w14:paraId="12836466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5) проведён сравнительный анализ требований к 3 и 4 классам защищенности СВТ (состав показателей, содержание требований, документация);</w:t>
      </w:r>
    </w:p>
    <w:p w14:paraId="55AF5BD8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6) изучен порядок оценки класса защищенности СВТ (сертификация СВТ), определены понятия сертификации и сертификата защиты;</w:t>
      </w:r>
    </w:p>
    <w:p w14:paraId="43634F8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7) проанализированы открытые источники сети Интернет: сайт ФСТЭК России, сайт Роскомнадзора, СПС «КонсультантПлюс», информационно-правовые базы и другие; текст РД сверен по двум независимым источникам;</w:t>
      </w:r>
    </w:p>
    <w:p w14:paraId="53EFA525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8) даны краткие ответы на контрольные вопросы практического занятия.</w:t>
      </w:r>
    </w:p>
    <w:p w14:paraId="2B9F5CE0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цель практического занятия достигнута: изучен 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как руководящий документ в области технической защиты информации, получена теоретическая подготовка по всем учебным вопросам занятия, выработаны навыки работы с руководящими документами и открытыми источниками сети Интернет в области технической защиты информации.</w:t>
      </w:r>
    </w:p>
    <w:p w14:paraId="09539A43" w14:textId="77777777" w:rsidR="00690B5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E9E113" w14:textId="77777777" w:rsidR="00690B52" w:rsidRDefault="00690B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BACE73" w14:textId="6751A9BF" w:rsidR="00B53D53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88ED9C8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1. 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 [Электронный ресурс]: утв. решением Государственной технической комиссии при Президенте Российской Федерации от 30 марта 1992 г. // Internet-Law.ru — каталог нормативных документов. — Режим доступа: https://internet-law.ru/documents/prod/rd_rukovodyashchij-dokument/3/rukov_76816.html (дата обращения: 18.08.2026).</w:t>
      </w:r>
    </w:p>
    <w:p w14:paraId="4B45BCD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То же // Контур.Норматив — справочная система. — Режим доступа: https://normativ.kontur.ru/document?moduleId=1&amp;documentId=197896 (дата обращения: 18.08.2026).</w:t>
      </w:r>
    </w:p>
    <w:p w14:paraId="4D6ABFF3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Руководящий документ. Концепция защиты средств вычислительной техники и автоматизированных систем от несанкционированного доступа к информации [Электронный ресурс]: утв. решением Государственной технической комиссии при Президенте Российской Федерации от 30 марта 1992 г. // Официальный сайт ФСТЭК России. — Режим доступа: https://fstec.ru/ (дата обращения: 18.08.2026).</w:t>
      </w:r>
    </w:p>
    <w:p w14:paraId="1352B56E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 [Электронный ресурс]: утв. решением Государственной технической комиссии при Президенте Российской Федерации от 30 марта 1992 г. // Internet-Law.ru — каталог нормативных документов. — Режим доступа: https://internet-law.ru/ (дата обращения: 18.08.2026).</w:t>
      </w:r>
    </w:p>
    <w:p w14:paraId="670702DE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5. Руководящий документ. Защита от несанкционированного доступа к информации. Термины и определения [Электронный ресурс]: утв. решением Государственной технической комиссии при Президенте Российской Федерации от 30 марта 1992 г. // Internet-Law.ru — каталог нормативных документов. — Режим доступа: https://internet-</w:t>
      </w:r>
      <w:r>
        <w:rPr>
          <w:rFonts w:ascii="Times New Roman" w:hAnsi="Times New Roman" w:cs="Times New Roman"/>
          <w:sz w:val="28"/>
          <w:szCs w:val="28"/>
        </w:rPr>
        <w:lastRenderedPageBreak/>
        <w:t>law.ru/documents/prod/rd_rukovodyashchij-dokument/3/rukov_95805.html (дата обращения: 18.08.2026).</w:t>
      </w:r>
    </w:p>
    <w:p w14:paraId="1305EA8C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6. Официальный сайт ФСТЭК России [Электронный ресурс]. — Режим доступа: https://fstec.ru/ (дата обращения: 18.08.2026).</w:t>
      </w:r>
    </w:p>
    <w:p w14:paraId="6503C5EA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7. Официальный сайт Роскомнадзора [Электронный ресурс]. — Режим доступа: https://rkn.gov.ru/ (дата обращения: 18.08.2026).</w:t>
      </w:r>
    </w:p>
    <w:p w14:paraId="5CCC7FAB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8. Официальный интернет-портал правовой информации [Электронный ресурс]. — Режим доступа: http://pravo.gov.ru/ (дата обращения: 18.08.2026).</w:t>
      </w:r>
    </w:p>
    <w:p w14:paraId="2C4A9EE9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9. СПС «КонсультантПлюс» [Электронный ресурс]. — Режим доступа: http://www.consultant.ru/ (дата обращения: 18.08.2026).</w:t>
      </w:r>
    </w:p>
    <w:p w14:paraId="45BF17A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10. Информационно-правовой портал «Legalacts.ru» [Электронный ресурс]. — Режим доступа: https://legalacts.ru/ (дата обращения: 18.08.2026).</w:t>
      </w:r>
    </w:p>
    <w:p w14:paraId="4EFC292E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11. Портал информационной безопасности «InfoSecPortal.ru» [Электронный ресурс]. — Режим доступа: https://infosecportal.ru/ (дата обращения: 18.08.2026).</w:t>
      </w:r>
    </w:p>
    <w:p w14:paraId="3AC4A1AD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12. Кормановский Н.С., Михайличенко С.В., Савков С.В. Организационно-правовое и методическое обеспечение информационной безопасности: учеб. пособие. — СПб.: НИУ ИТМО, 2013.</w:t>
      </w:r>
    </w:p>
    <w:p w14:paraId="247B4D21" w14:textId="77777777" w:rsidR="00B53D53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13. Стрельцов А.А. Организационно-правовое обеспечение информационной безопасности: учеб. пособие для студентов вузов. — М.: Издательский центр «Академия», 2008.</w:t>
      </w:r>
    </w:p>
    <w:sectPr w:rsidR="00B53D5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1157" w14:textId="77777777" w:rsidR="00E0068F" w:rsidRDefault="00E0068F">
      <w:pPr>
        <w:spacing w:after="0" w:line="240" w:lineRule="auto"/>
      </w:pPr>
      <w:r>
        <w:separator/>
      </w:r>
    </w:p>
  </w:endnote>
  <w:endnote w:type="continuationSeparator" w:id="0">
    <w:p w14:paraId="5313F01A" w14:textId="77777777" w:rsidR="00E0068F" w:rsidRDefault="00E00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D390" w14:textId="77777777" w:rsidR="00B53D53" w:rsidRDefault="00000000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A31CA" w14:textId="77777777" w:rsidR="00E0068F" w:rsidRDefault="00E0068F">
      <w:pPr>
        <w:spacing w:after="0" w:line="240" w:lineRule="auto"/>
      </w:pPr>
      <w:r>
        <w:separator/>
      </w:r>
    </w:p>
  </w:footnote>
  <w:footnote w:type="continuationSeparator" w:id="0">
    <w:p w14:paraId="3D02CDC6" w14:textId="77777777" w:rsidR="00E0068F" w:rsidRDefault="00E006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D1"/>
    <w:rsid w:val="00176733"/>
    <w:rsid w:val="00222462"/>
    <w:rsid w:val="00290B1B"/>
    <w:rsid w:val="00375CE6"/>
    <w:rsid w:val="004A5A35"/>
    <w:rsid w:val="00551B05"/>
    <w:rsid w:val="00573EDF"/>
    <w:rsid w:val="006756C6"/>
    <w:rsid w:val="00690B52"/>
    <w:rsid w:val="008A55D0"/>
    <w:rsid w:val="009F6497"/>
    <w:rsid w:val="00B10ED1"/>
    <w:rsid w:val="00B53D53"/>
    <w:rsid w:val="00BD6FCA"/>
    <w:rsid w:val="00BE0BA3"/>
    <w:rsid w:val="00BE4F3F"/>
    <w:rsid w:val="00C57484"/>
    <w:rsid w:val="00CF0F75"/>
    <w:rsid w:val="00E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C673C"/>
  <w15:chartTrackingRefBased/>
  <w15:docId w15:val="{48616FD9-9A29-46F0-8E14-45BE5E1A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E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E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E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E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E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E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E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E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E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5040</Words>
  <Characters>28734</Characters>
  <Application>Microsoft Office Word</Application>
  <DocSecurity>0</DocSecurity>
  <Lines>239</Lines>
  <Paragraphs>67</Paragraphs>
  <ScaleCrop>false</ScaleCrop>
  <Company/>
  <LinksUpToDate>false</LinksUpToDate>
  <CharactersWithSpaces>33707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12</cp:revision>
  <dcterms:created xsi:type="dcterms:W3CDTF">2026-08-18T15:39:00Z</dcterms:created>
  <dcterms:modified xsi:type="dcterms:W3CDTF">2026-08-18T18:17:00Z</dcterms:modified>
</cp:coreProperties>
</file>