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b/>
        </w:rPr>
        <w:t>Общество с ограниченной ответственностью «ТехноЩит»</w:t>
      </w:r>
    </w:p>
    <w:p>
      <w:pPr>
        <w:ind w:firstLine="0"/>
        <w:jc w:val="center"/>
      </w:pPr>
      <w:r>
        <w:rPr>
          <w:b/>
        </w:rPr>
        <w:t>АКТ КЛАССИФИКАЦИИ АС И ОПРЕДЕЛЕНИЯ УРОВНЯ ЗАЩИЩЁННОСТИ ПДН</w:t>
      </w:r>
    </w:p>
    <w:p>
      <w:pPr>
        <w:ind w:firstLine="0"/>
      </w:pPr>
      <w:r>
        <w:t>01.09.2026 № 1</w:t>
        <w:br/>
        <w:t>г. Ростов-на-Дону</w:t>
      </w:r>
    </w:p>
    <w:p>
      <w:pPr>
        <w:ind w:firstLine="0"/>
        <w:jc w:val="right"/>
      </w:pPr>
      <w:r>
        <w:t>УТВЕРЖДАЮ</w:t>
        <w:br/>
        <w:t>Директор ООО «ТехноЩит»</w:t>
        <w:br/>
        <w:t>____________ Б. Ю. Ермолаев</w:t>
        <w:br/>
        <w:t>01.09.2026</w:t>
      </w:r>
    </w:p>
    <w:p>
      <w:pPr>
        <w:jc w:val="both"/>
      </w:pPr>
      <w:r>
        <w:t>Комиссия: Ковалев Д. П., Смирнов А. В., Тарасенко И. Н. Объект: АС «Защищённый контур», паспорт АС-01, помещение 04.</w:t>
      </w:r>
    </w:p>
    <w:p>
      <w:pPr>
        <w:jc w:val="both"/>
      </w:pPr>
      <w:r>
        <w:t>1. АС многопользовательская, пользователи имеют разные полномочия по группам administration, technical, legal и director. Обрабатываемая информация не составляет государственную тайну. Для принятой конфигурации выбран класс 1Д по классификации АС, утверждённой Гостехкомиссией России 30.03.1992. Группа 3 для однопользовательской системы не применяется.</w:t>
      </w:r>
    </w:p>
    <w:p>
      <w:pPr>
        <w:jc w:val="both"/>
      </w:pPr>
      <w:r>
        <w:t>2. В ИСПДн обрабатываются иные ПДн восьми работников и не более 500 представителей заказчиков. Специальные категории, биометрия и сведения о судимости не включены. Актуальными в принятой модели являются угрозы 3-го типа; угрозы недекларированных возможностей системного и прикладного ПО не выбраны исходя из принятого контролируемого состава и модели источников угроз. Это исходное допущение классификации, а не вывод из одного факта наличия сертификата.</w:t>
      </w:r>
    </w:p>
    <w:p>
      <w:pPr>
        <w:jc w:val="both"/>
      </w:pPr>
      <w:r>
        <w:t>3. По подпункту «б» пункта 12 Требований, утверждённых ПП РФ № 1119, выбран 4-й уровень защищённости ПДн. Обоснование: иные категории ПДн, менее 100 000 внешних субъектов, угрозы 3-го типа. При изменении категорий, числа субъектов или модели угроз уровень пересматривается.</w:t>
      </w:r>
    </w:p>
    <w:p>
      <w:pPr>
        <w:jc w:val="both"/>
      </w:pPr>
      <w:r>
        <w:t>4. Установить организационные меры, управление доступом, антивирусную защиту, учёт носителей, журналирование, резервирование и физическое ограничение доступа по документам № 27, 39, 41–43. Изменения состава АС требуют пересмотра настоящего акта. Акт устанавливает классификацию и не является аттестатом соответствия.</w:t>
      </w:r>
    </w:p>
    <w:p>
      <w:pPr>
        <w:ind w:firstLine="0"/>
      </w:pPr>
      <w:r>
        <w:t>Председатель __________ Ковалев Д. П.</w:t>
        <w:br/>
        <w:t>Члены комиссии __________ Смирнов А. В.; __________ Тарасенко И. Н.</w:t>
      </w:r>
    </w:p>
    <w:sectPr w:rsidR="00FC693F" w:rsidRPr="0006063C" w:rsidSect="00034616">
      <w:headerReference w:type="default" r:id="rId9"/>
      <w:pgSz w:w="11906" w:h="16838"/>
      <w:pgMar w:top="1134" w:right="850" w:bottom="1134" w:left="1701" w:header="567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  <w:ind w:firstLine="709"/>
    </w:pPr>
    <w:rPr>
      <w:rFonts w:ascii="Times New Roman" w:hAnsi="Times New Roman" w:eastAsia="Times New Roman" w:cs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