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СПЕЦИФИКАЦИЯ МАТЕРИАЛЬНО-ТЕХНИЧЕСКОЙ БАЗЫ</w:t>
      </w:r>
    </w:p>
    <w:p>
      <w:pPr>
        <w:ind w:firstLine="0"/>
      </w:pPr>
      <w:r>
        <w:t>25.08.2026 № МТБ-01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25.08.2026</w:t>
      </w:r>
    </w:p>
    <w:p>
      <w:pPr>
        <w:jc w:val="both"/>
      </w:pPr>
      <w:r>
        <w:t>Приложение к договору № 12/08 от 25.08.2026. Учётные коды идентифицируют позиции проекта и не являются заводскими номерами. Количество и размещение соответствуют пояснительной записке ПЗ-01 и экспликации помещений.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Средство / количество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Характеристики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Размещение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ARM-01–04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АРМ общего контура — 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x86-64, 4 ядра, ОЗУ 16 ГБ, SSD 512 ГБ, монитор 24 дюйма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Защищённое рабочее место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x86-64, 6 ядер, ОЗУ 16 ГБ, SSD 512 ГБ, монитор 24 дюйма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Станция проверки носителей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x86-64, 4 ядра, ОЗУ 16 ГБ, SSD 512 ГБ; без подключения к сети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SRV-01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 ядер, ОЗУ 32 ГБ, 2 SSD по 1 ТБ RAID1; журналирование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MFP-01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Локальное МФУ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A4, двусторонняя печать, USB; сетевые интерфейсы отключены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UPS-01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Источник бесперебойного питания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1500 ВА / 900 Вт; сервер и коммутатор, корректное завершение работы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SW-Z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защищённого контура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 портов 1 Гбит/с, без маршрута в общий контур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SW-O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общего контура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 портов 1 Гбит/с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RTR-01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Маршрутизатор общего контура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Межсетевые правила, NAT; Wi-Fi отключён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BKP-A/B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резервных копий — 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Съёмный SSD 2 ТБ каждый; посменное хранение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TR-IN/TR-OUT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обмена — 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USB 64 ГБ; раздельно входящие и исходящие материалы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Сейф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0,6 × 0,65 м; крепление к основанию; раздельные секции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SHRED-01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Шредер — 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Уничтожение бумаги P-5; не используется для дисков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SKUD-01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СКУД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Считыватели и замки трёх дверей; аварийное открывание изнутри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04,05,06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CCTV-01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Видеонаблюдение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Две камеры K1/K2, регистратор; без микрофонов</w:t>
            </w:r>
          </w:p>
        </w:tc>
        <w:tc>
          <w:tcPr>
            <w:tcW w:type="dxa" w:w="2339"/>
          </w:tcPr>
          <w:p>
            <w:r>
              <w:t>01, 08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OAS-01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Охранно-пожарная сигнализация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Датчики дверей/помещений и оповещение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01–08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AZ-01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Комплекс акустической защиты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Генератор, 2 акустических и 4 виброакустических преобразователя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акустических измерений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Шесть модулей по пп.1–6 Перечня ФСТЭК; см. функциональную спецификацию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программного контроля — 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Поиск остаточной информации, целостность, пентест, анализ протоколов и сканирование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</w:tbl>
    <w:p>
      <w:pPr>
        <w:pStyle w:val="Heading1"/>
        <w:ind w:firstLine="0"/>
      </w:pPr>
      <w:r>
        <w:t>2.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Программа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Количество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Функции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OS-01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Astra Linux Special Edition 1.8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ОС, именные учётные записи, управление доступом, журналирование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Kaspersky Endpoint Security для Linux 12.4.0.1225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Локальная защита физических компьютеров и сервера; без Light Agent</w:t>
            </w:r>
          </w:p>
        </w:tc>
      </w:tr>
    </w:tbl>
    <w:p>
      <w:pPr>
        <w:pStyle w:val="Heading1"/>
        <w:ind w:firstLine="0"/>
      </w:pPr>
      <w:r>
        <w:t>3. Функциональные модули контроля</w:t>
      </w:r>
    </w:p>
    <w:p>
      <w:pPr>
        <w:jc w:val="both"/>
      </w:pPr>
      <w:r>
        <w:t>Технические характеристики ниже извлечены из таблицы ФСТЭК от 10.08.2026. Для KI-01 приняты модули 1–6, для KI-02 — 9–14, по одной функциональной позиции каждого вида. Оптические линии в исходную технологию не включены, поэтому позиции 7–8 не применяются; мониторинг не заявлен, позиции 15–20 не применяются. Конкретные изделия выбираются под перечисленные характеристики, а функциональное обозначение не является утверждением о сертификации собственного нового продукта.</w:t>
      </w:r>
    </w:p>
    <w:p>
      <w:pPr>
        <w:pStyle w:val="Heading1"/>
        <w:ind w:firstLine="0"/>
      </w:pPr>
      <w:r>
        <w:t>1. Генератор низкочастотных сигналов (при необходимости с усилителем)</w:t>
      </w:r>
    </w:p>
    <w:p>
      <w:pPr>
        <w:jc w:val="both"/>
      </w:pPr>
      <w:r>
        <w:t>KI-01.1. Количество: 1. Диапазон рабочих частот: 175 - 5600 Гц. Уровень мощности выходного сигнала не менее 25 дБм</w:t>
      </w:r>
    </w:p>
    <w:p>
      <w:pPr>
        <w:jc w:val="both"/>
      </w:pPr>
      <w:r>
        <w:t>Работы по перечню: а.3, а.4 г.2, г.3 е.1, е.2, е.3. Место хранения / эксплуатации: помещение 01.</w:t>
      </w:r>
    </w:p>
    <w:p>
      <w:pPr>
        <w:pStyle w:val="Heading1"/>
        <w:ind w:firstLine="0"/>
      </w:pPr>
      <w:r>
        <w:t>2. Акустические излучатели</w:t>
      </w:r>
    </w:p>
    <w:p>
      <w:pPr>
        <w:jc w:val="both"/>
      </w:pPr>
      <w:r>
        <w:t>KI-01.2. Количество: 1. Диапазон рабочих частот 175 ... 5600 Гц. Уровень звукового давления на расстоянии 1 м от излучателя в свободном поле не менее 95 дБ. Неравномерность АЧХ не более 6 дБ. Нестабильность уровня интегрального звукового давления в течение непрерывной работы не более 2 дБ</w:t>
      </w:r>
    </w:p>
    <w:p>
      <w:pPr>
        <w:jc w:val="both"/>
      </w:pPr>
      <w:r>
        <w:t>Работы по перечню: а.3, а.4 г.2, г.3 е.1, е.2, е.3. Место хранения / эксплуатации: помещение 01.</w:t>
      </w:r>
    </w:p>
    <w:p>
      <w:pPr>
        <w:pStyle w:val="Heading1"/>
        <w:ind w:firstLine="0"/>
      </w:pPr>
      <w:r>
        <w:t>3. Шумомеры</w:t>
      </w:r>
    </w:p>
    <w:p>
      <w:pPr>
        <w:jc w:val="both"/>
      </w:pPr>
      <w:r>
        <w:t>KI-01.3. Количество: 1. Диапазон рабочих частот 175 ... 5600 Гц. Диапазон измерений: от 25 до 120 дБ (отн. 20 мкПа). Погрешность измерения уровня звукового давления не более 2 дБ. Наличие свидетельства о поверке</w:t>
      </w:r>
    </w:p>
    <w:p>
      <w:pPr>
        <w:jc w:val="both"/>
      </w:pPr>
      <w:r>
        <w:t>Работы по перечню: а.3, а.4 г.2, г.3 е.1, е.2, е.3. Место хранения / эксплуатации: помещение 01.</w:t>
      </w:r>
    </w:p>
    <w:p>
      <w:pPr>
        <w:pStyle w:val="Heading1"/>
        <w:ind w:firstLine="0"/>
      </w:pPr>
      <w:r>
        <w:t>4. Селективные микровольтметры</w:t>
      </w:r>
    </w:p>
    <w:p>
      <w:pPr>
        <w:jc w:val="both"/>
      </w:pPr>
      <w:r>
        <w:t>KI-01.4. Количество: 1. Диапазон рабочих частот 175 ... 5600 Гц. Погрешность измерения не более 20%. Наличие свидетельства о поверке</w:t>
      </w:r>
    </w:p>
    <w:p>
      <w:pPr>
        <w:jc w:val="both"/>
      </w:pPr>
      <w:r>
        <w:t>Работы по перечню: а.1, г.1, г.2, г.3 е.1, е.2, е.3. Место хранения / эксплуатации: помещение 01.</w:t>
      </w:r>
    </w:p>
    <w:p>
      <w:pPr>
        <w:pStyle w:val="Heading1"/>
        <w:ind w:firstLine="0"/>
      </w:pPr>
      <w:r>
        <w:t>5. Измерительные микрофоны</w:t>
      </w:r>
    </w:p>
    <w:p>
      <w:pPr>
        <w:jc w:val="both"/>
      </w:pPr>
      <w:r>
        <w:t>KI-01.5. Количество: 1. Диапазон рабочих частот 175 ... 5600 Гц. Чувствительность не менее 10 мВ/Па. Неравномерность АЧХ не более 2 дБ. Наличие свидетельства о поверке</w:t>
      </w:r>
    </w:p>
    <w:p>
      <w:pPr>
        <w:jc w:val="both"/>
      </w:pPr>
      <w:r>
        <w:t>Работы по перечню: а.3, а.4 г.2, г.3 е.1, е.2, е.3. Место хранения / эксплуатации: помещение 01.</w:t>
      </w:r>
    </w:p>
    <w:p>
      <w:pPr>
        <w:pStyle w:val="Heading1"/>
        <w:ind w:firstLine="0"/>
      </w:pPr>
      <w:r>
        <w:t>6. Датчики виброускорения (акселерометры)</w:t>
      </w:r>
    </w:p>
    <w:p>
      <w:pPr>
        <w:jc w:val="both"/>
      </w:pPr>
      <w:r>
        <w:t>KI-01.6. Количество: 1. Диапазон рабочих частот 175 ... 5600 Гц. Чувствительность не менее 10 мВ/мс-2. Нелинейность амплитудной характеристики не более 10%. Наличие свидетельства о поверке</w:t>
      </w:r>
    </w:p>
    <w:p>
      <w:pPr>
        <w:jc w:val="both"/>
      </w:pPr>
      <w:r>
        <w:t>Работы по перечню: а.3, а.4 г.2, г.3 е.1, е.2, е.3. Место хранения / эксплуатации: помещение 01.</w:t>
      </w:r>
    </w:p>
    <w:p>
      <w:pPr>
        <w:pStyle w:val="Heading1"/>
        <w:ind w:firstLine="0"/>
      </w:pPr>
      <w:r>
        <w:t>9. Средства поиска остаточной информации на машинных носителях информации</w:t>
      </w:r>
    </w:p>
    <w:p>
      <w:pPr>
        <w:jc w:val="both"/>
      </w:pPr>
      <w:r>
        <w:t>KI-02.9. Количество: 1. Обеспечение поиска остаточной информации на машинных носителях информации по заданным критериям. Наличие сертификата соответствия ФСТЭК России требованиям по безопасности информации</w:t>
      </w:r>
    </w:p>
    <w:p>
      <w:pPr>
        <w:jc w:val="both"/>
      </w:pPr>
      <w:r>
        <w:t>Работы по перечню: б, г.1, д.1. Место хранения / эксплуатации: помещение 01.</w:t>
      </w:r>
    </w:p>
    <w:p>
      <w:pPr>
        <w:pStyle w:val="Heading1"/>
        <w:ind w:firstLine="0"/>
      </w:pPr>
      <w:r>
        <w:t>10. Средства контроля подключения устройств</w:t>
      </w:r>
    </w:p>
    <w:p>
      <w:pPr>
        <w:jc w:val="both"/>
      </w:pPr>
      <w:r>
        <w:t>KI-02.10. Количество: 1. Сбор информации о подключении съемных машинных носителей информации и других устройств к средствам вычислительной техники</w:t>
      </w:r>
    </w:p>
    <w:p>
      <w:pPr>
        <w:jc w:val="both"/>
      </w:pPr>
      <w:r>
        <w:t>Работы по перечню: б, г.1, д.1. Место хранения / эксплуатации: помещение 01.</w:t>
      </w:r>
    </w:p>
    <w:p>
      <w:pPr>
        <w:pStyle w:val="Heading1"/>
        <w:ind w:firstLine="0"/>
      </w:pPr>
      <w:r>
        <w:t>11. Средство (средства) контроля целостности программ и программных комплексов</w:t>
      </w:r>
    </w:p>
    <w:p>
      <w:pPr>
        <w:jc w:val="both"/>
      </w:pPr>
      <w:r>
        <w:t>KI-02.11. Количество: 1. Обеспечение расчета уникальных значений контрольных сумм программного обеспечения, а также документирование результатов расчета контрольных сумм. Обеспечение расчета контрольных сумм программного обеспечения, средой функционирования которого являются операционные системы Windows и Linux (допускается выполнять средствами сертифицированных операционных систем). Обеспечение расчета контрольных сумм программного обеспечения по алгоритму, установленному ГОСТ Р 34.11. Наличие сертификата соответствия ФСТЭК России требованиям по безопасности информации</w:t>
      </w:r>
    </w:p>
    <w:p>
      <w:pPr>
        <w:jc w:val="both"/>
      </w:pPr>
      <w:r>
        <w:t>Работы по перечню: б, г.1, д.1. Место хранения / эксплуатации: помещение 01.</w:t>
      </w:r>
    </w:p>
    <w:p>
      <w:pPr>
        <w:pStyle w:val="Heading1"/>
        <w:ind w:firstLine="0"/>
      </w:pPr>
      <w:r>
        <w:t>12. Комплексы для тестирования на проникновение</w:t>
      </w:r>
    </w:p>
    <w:p>
      <w:pPr>
        <w:jc w:val="both"/>
      </w:pPr>
      <w:r>
        <w:t>KI-02.12. Количество: 1. Возможность выявления и эксплуатации в автоматизированном режиме различных уязвимостей кода, архитектуры и конфигураций программного обеспечения, в том числе связанных с: различными правами доступа к файлам, устройствам, процессам и службам; избыточными правами (разрешениями) контейнеров и групп контейнеров; ошибками безопасного конфигурирования типовых программных компонент и другими</w:t>
      </w:r>
    </w:p>
    <w:p>
      <w:pPr>
        <w:jc w:val="both"/>
      </w:pPr>
      <w:r>
        <w:t>Работы по перечню: б, г.1, д.1. Место хранения / эксплуатации: помещение 01.</w:t>
      </w:r>
    </w:p>
    <w:p>
      <w:pPr>
        <w:pStyle w:val="Heading1"/>
        <w:ind w:firstLine="0"/>
      </w:pPr>
      <w:r>
        <w:t>13. Анализатор (анализаторы) сетевых протоколов</w:t>
      </w:r>
    </w:p>
    <w:p>
      <w:pPr>
        <w:jc w:val="both"/>
      </w:pPr>
      <w:r>
        <w:t>KI-02.13. Количество: 1. Перехват сетевого трафика, передаваемого по каналам связи и обрабатываемого на узле с исследуемым программным обеспечением. Анализ сетевого трафика на всех уровнях базовой эталонной модели взаимосвязи открытых систем, установленной ГОСТ Р ИСО/МЭК 7498-1. Фильтрация сетевого трафика с целью выявления в сетевом трафике сетевых пакетов, относящегося к исследуемому программному обеспечению. Возможность формирования правил анализа сетевых протоколов</w:t>
      </w:r>
    </w:p>
    <w:p>
      <w:pPr>
        <w:jc w:val="both"/>
      </w:pPr>
      <w:r>
        <w:t>Работы по перечню: б, в, г.1, д.1. Место хранения / эксплуатации: помещение 01.</w:t>
      </w:r>
    </w:p>
    <w:p>
      <w:pPr>
        <w:pStyle w:val="Heading1"/>
        <w:ind w:firstLine="0"/>
      </w:pPr>
      <w:r>
        <w:t>14. Средства (системы) контроля (анализа) защищенности информационных систем (сканер безопасности)</w:t>
      </w:r>
    </w:p>
    <w:p>
      <w:pPr>
        <w:jc w:val="both"/>
      </w:pPr>
      <w:r>
        <w:t>KI-02.14. Количество: 1. Обнаружение (сканирование) сетевых портов (устройств в вычислительной сети). Определение топологии сети. Определение активных сетевых служб вычислительной сети, определение названий и версий программного обеспечения, обеспечивающих функционирование таких служб. Обеспечение поиска уязвимостей вычислительной сети, в том числе уязвимостей конфигурации вычислительной сети, уязвимостей программного обеспечения, функционирующего с применением операционных систем семейства Windows и Unix/Linux. Осуществление взаимодействия с банком данных угроз безопасности информации ФСТЭК России. Наличие сертификата соответствия ФСТЭК России требованиям по безопасности информации</w:t>
      </w:r>
    </w:p>
    <w:p>
      <w:pPr>
        <w:jc w:val="both"/>
      </w:pPr>
      <w:r>
        <w:t>Работы по перечню: б, в, г.1, д.1. Место хранения / эксплуатации: помещение 01.</w:t>
      </w:r>
    </w:p>
    <w:p>
      <w:pPr>
        <w:jc w:val="both"/>
      </w:pPr>
      <w:r>
        <w:t>Средство анализа исходных текстов входит в KI-02 отдельной функцией анализа кода; оно не подменяет средства сканирования сети и тестирования на проникновение. В карточке поставки должны отдельно указываться идентификатор изделия и требуемая документация.</w:t>
      </w:r>
    </w:p>
    <w:p>
      <w:pPr>
        <w:pStyle w:val="Heading1"/>
        <w:ind w:firstLine="0"/>
      </w:pPr>
      <w:r>
        <w:t>4. Организация приобретения и обслуживания</w:t>
      </w:r>
    </w:p>
    <w:p>
      <w:pPr>
        <w:jc w:val="both"/>
      </w:pPr>
      <w:r>
        <w:t>Стоимость комплекта для расчёта принята 2 850 000 руб., включая применимые налоги. В спецификации фиксируется функциональный состав. Передача оборудования оформляется актом № 45; работник ведёт инвентарный учёт по кодам. Документы изготовителей о сертификации и метрологии используются применительно к выбранным изделиям. Выдача аттестата либо свидетельства о поверке данным документом не оформляется.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