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  <w:jc w:val="center"/>
      </w:pPr>
      <w:r>
        <w:rPr>
          <w:b/>
        </w:rPr>
        <w:t>Общество с ограниченной ответственностью «ТехноЩит»</w:t>
      </w:r>
    </w:p>
    <w:p>
      <w:pPr>
        <w:ind w:firstLine="0"/>
        <w:jc w:val="center"/>
      </w:pPr>
      <w:r>
        <w:rPr>
          <w:b/>
        </w:rPr>
        <w:t>ПЕРЕЧЕНЬ СРЕДСТВ ЗАЩИТЫ ИНФОРМАЦИИ</w:t>
      </w:r>
    </w:p>
    <w:p>
      <w:pPr>
        <w:ind w:firstLine="0"/>
      </w:pPr>
      <w:r>
        <w:t>01.09.2026 № СЗИ-01</w:t>
        <w:br/>
        <w:t>г. Ростов-на-Дону</w:t>
      </w:r>
    </w:p>
    <w:p>
      <w:pPr>
        <w:ind w:firstLine="0"/>
        <w:jc w:val="right"/>
      </w:pPr>
      <w:r>
        <w:t>УТВЕРЖДАЮ</w:t>
        <w:br/>
        <w:t>Директор ООО «ТехноЩит»</w:t>
        <w:br/>
        <w:t>____________ Б. Ю. Ермолаев</w:t>
        <w:br/>
        <w:t>01.09.2026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cantSplit/>
          <w:tblHeader/>
        </w:trPr>
        <w:tc>
          <w:tcPr>
            <w:tcW w:type="dxa" w:w="3118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  <w:t>Средство</w:t>
            </w:r>
          </w:p>
        </w:tc>
        <w:tc>
          <w:tcPr>
            <w:tcW w:type="dxa" w:w="3118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  <w:t>Назначение</w:t>
            </w:r>
          </w:p>
        </w:tc>
        <w:tc>
          <w:tcPr>
            <w:tcW w:type="dxa" w:w="3118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  <w:t>Реквизиты изготовителя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  <w:t>Astra Linux Special Edition 1.8</w:t>
            </w:r>
          </w:p>
        </w:tc>
        <w:tc>
          <w:tcPr>
            <w:tcW w:type="dxa" w:w="3118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  <w:t>ОС, именные учётные записи, управление доступом, журналирование</w:t>
            </w:r>
          </w:p>
        </w:tc>
        <w:tc>
          <w:tcPr>
            <w:tcW w:type="dxa" w:w="3118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  <w:t>ФСТЭК № 2557; переоформлен 03.06.2026; действует до 27.01.2031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  <w:t>Kaspersky Endpoint Security для Linux 12.4.0.1225</w:t>
            </w:r>
          </w:p>
        </w:tc>
        <w:tc>
          <w:tcPr>
            <w:tcW w:type="dxa" w:w="3118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  <w:t>Локальная защита физических компьютеров и сервера; без Light Agent</w:t>
            </w:r>
          </w:p>
        </w:tc>
        <w:tc>
          <w:tcPr>
            <w:tcW w:type="dxa" w:w="3118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  <w:t>ФСТЭК № 2534; сертифицированная версия поддерживается до 27.12.2030</w:t>
            </w:r>
          </w:p>
        </w:tc>
      </w:tr>
    </w:tbl>
    <w:p>
      <w:pPr>
        <w:jc w:val="both"/>
      </w:pPr>
      <w:r>
        <w:t>Источники: Astra — https://astra.ru/local/ajax/download/docs/12/52600/ ; Kaspersky — https://support.kaspersky.ru/kes-for-linux/12.4.0/197645 и https://support.kaspersky.ru/corporate/lifecycle/certified-versions . Справочные копии изготовителей сохранены в папке «Материалы административной части/Источники». Сертификат продукта не является аттестатом АС и не подтверждает приобретение конкретного экземпляра.</w:t>
      </w:r>
    </w:p>
    <w:p>
      <w:pPr>
        <w:jc w:val="both"/>
      </w:pPr>
      <w:r>
        <w:t>Комплекс AZ-01 — функциональная позиция акустической защиты переговорной. Его состав задаётся спецификацией, а выбор сертифицированного исполнения осуществляется при комплектовании. СКУД, видеонаблюдение и сейф относятся к физическим организационным мерам; им не присваиваются вымышленные сертификаты ФСТЭК.</w:t>
      </w:r>
    </w:p>
    <w:p>
      <w:pPr>
        <w:jc w:val="both"/>
      </w:pPr>
      <w:r>
        <w:t>Технический специалист ________________ Ковалев Д. П.</w:t>
      </w:r>
    </w:p>
    <w:sectPr w:rsidR="00FC693F" w:rsidRPr="0006063C" w:rsidSect="00034616">
      <w:headerReference w:type="default" r:id="rId9"/>
      <w:pgSz w:w="11906" w:h="16838"/>
      <w:pgMar w:top="1134" w:right="850" w:bottom="1134" w:left="1701" w:header="567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fldSimple w:instr="PAGE"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  <w:ind w:firstLine="709"/>
    </w:pPr>
    <w:rPr>
      <w:rFonts w:ascii="Times New Roman" w:hAnsi="Times New Roman" w:eastAsia="Times New Roman" w:cs="Times New Roman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Times New Roman" w:cs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Times New Roman" w:cs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eastAsia="Times New Roman" w:cs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eastAsia="Times New Roman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eastAsia="Times New Roman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eastAsia="Times New Roman" w:cs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eastAsia="Times New Roman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eastAsia="Times New Roman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eastAsia="Times New Roman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eastAsia="Times New Roman" w:cs="Times New Roman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eastAsia="Times New Roman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Times New Roman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Times New Roman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eastAsia="Times New Roman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eastAsia="Times New Roman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