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8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ОБЕСПЕЧЕНИЕ БЕЗОПАСНОСТИ АГЕНТНЫХ СИСТЕМ НА ОСНОВЕ БОЛЬШИХ ЯЗЫКОВЫХ МОДЕЛЕЙ МЕТОДОМ ПРОЗРАЧНОГО ШЛЮЗА КОНТРОЛЯ ПОЛИТИК И АУДИТА С ЗАЩИТОЙ ОТ ФАЛЬСИФИКАЦИИ</w:t>
      </w:r>
    </w:p>
    <w:p>
      <w:pPr>
        <w:keepNext w:val="0"/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SECURING LARGE LANGUAGE MODEL AGENT SYSTEMS VIA A TRANSPARENT POLICY-ENFORCEMENT GATEWAY WITH TAMPER-EVIDENT AUDITING</w:t>
      </w:r>
    </w:p>
    <w:p>
      <w:pPr>
        <w:spacing w:line="360" w:lineRule="auto" w:after="280"/>
        <w:jc w:val="right"/>
      </w:pPr>
      <w:r>
        <w:rPr>
          <w:rFonts w:ascii="Times New Roman" w:hAnsi="Times New Roman" w:eastAsia="Times New Roman"/>
          <w:b/>
          <w:i w:val="0"/>
          <w:sz w:val="28"/>
        </w:rPr>
        <w:t>УДК 004.056.53:004.89</w:t>
      </w:r>
    </w:p>
    <w:p>
      <w:pPr>
        <w:spacing w:line="360" w:lineRule="auto" w:after="40" w:befor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Ковалёв Данил Петрович</w:t>
      </w:r>
      <w:r>
        <w:rPr>
          <w:rFonts w:ascii="Times New Roman" w:hAnsi="Times New Roman" w:eastAsia="Times New Roman"/>
          <w:b w:val="0"/>
          <w:i w:val="0"/>
          <w:sz w:val="28"/>
        </w:rPr>
        <w:t>, студент, Донской государственный технический университет, г. Ростов-на-Дону</w:t>
      </w:r>
    </w:p>
    <w:p>
      <w:pPr>
        <w:spacing w:line="360" w:lineRule="auto" w:after="40" w:befor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Сафарьян Ольга Александровна</w:t>
      </w:r>
      <w:r>
        <w:rPr>
          <w:rFonts w:ascii="Times New Roman" w:hAnsi="Times New Roman" w:eastAsia="Times New Roman"/>
          <w:b w:val="0"/>
          <w:i w:val="0"/>
          <w:sz w:val="28"/>
        </w:rPr>
        <w:t>, доцент кафедры кибербезопасности информационных систем, Донской государственный технический университет, г. Ростов-на-Дону</w:t>
      </w:r>
    </w:p>
    <w:p>
      <w:pPr>
        <w:spacing w:line="360" w:lineRule="auto" w:after="40" w:before="20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Kovalev Danil Petrovich</w:t>
      </w:r>
      <w:r>
        <w:rPr>
          <w:rFonts w:ascii="Times New Roman" w:hAnsi="Times New Roman" w:eastAsia="Times New Roman"/>
          <w:b w:val="0"/>
          <w:i w:val="0"/>
          <w:sz w:val="28"/>
        </w:rPr>
        <w:t>, Student, Don State Technical University, Rostov-on-Don</w:t>
      </w:r>
    </w:p>
    <w:p>
      <w:pPr>
        <w:spacing w:line="360" w:lineRule="auto" w:after="40" w:befor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e-mail: dan.kovalev2013@gmail.com</w:t>
      </w:r>
    </w:p>
    <w:p>
      <w:pPr>
        <w:spacing w:line="360" w:lineRule="auto" w:after="40" w:befor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Safaryan Olga Aleksandrovna</w:t>
      </w:r>
      <w:r>
        <w:rPr>
          <w:rFonts w:ascii="Times New Roman" w:hAnsi="Times New Roman" w:eastAsia="Times New Roman"/>
          <w:b w:val="0"/>
          <w:i w:val="0"/>
          <w:sz w:val="28"/>
        </w:rPr>
        <w:t>, Associate Professor of the Department of Cybersecurity of Information Systems, Don State Technical University, Rostov-on-Don</w:t>
      </w:r>
    </w:p>
    <w:p>
      <w:pPr>
        <w:spacing w:line="360" w:lineRule="auto" w:after="40" w:befor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e-mail: osafaryan@donstu.ru</w:t>
      </w:r>
    </w:p>
    <w:p>
      <w:pPr>
        <w:keepNext/>
        <w:spacing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Аннотация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Статья посвящена методу обеспечения безопасности агентных систем на основе больших языковых моделей (LLM) и его программной реализации в виде обратного прокси-шлюза Agate. Переход от диалоговых LLM к автономным агентам, вызывающим внешние инструменты и обменивающимся событиями по стандартизированному протоколу взаимодействия «агент — пользователь» (AG-UI), формирует новую поверхность атаки, которую существующие средства защиты — фильтры ввода-вывода и классификаторы содержимого — покрывают лишь частично. Предложен метод прозрачного контроля политик на уровне протокола: защитный шлюз включается в разрыв канала «клиент — агент», инспектирует поток событий в обе стороны и применяет вердикт (пропустить, запретить, преобразовать, отбросить) без изменения кода агента. Метод формализован как функция вердикта над типизированным потоком событий с доказуемым свойством отказоустойчивого запрета (fail-closed). Второй составляющей метода является защищённый от фальсификации аудит на основе верифицируемого журнала прозрачности (RFC 6962) с доказательствами включения и консистентности по дереву Меркла и криптографически гибкой схемой, поддерживающей отечественные стандарты (ГОСТ Р 34.11-2012 «Стрибог», ГОСТ Р 34.12-2015 «Кузнечик»). Приведены модель угроз, привязанная к OWASP Top 10 for LLM Applications (2025), MITRE ATLAS и NIST AI RMF, математическое обоснование, архитектура на принципах Clean Architecture и Domain-Driven Design, а также результаты функциональной, нагрузочной проверки и эксперимента по обнаружению фальсификации журнала. Результаты представляют интерес для специалистов по кибербезопасности, разработчиков LLM-приложений и исследователей в области доверенного искусственного интеллекта.</w:t>
      </w:r>
    </w:p>
    <w:p>
      <w:pPr>
        <w:keepNext/>
        <w:spacing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Annotation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The article presents a method for securing large language model (LLM) agent systems and its software implementation as the Agate reverse-proxy gateway. The shift from conversational LLMs to autonomous agents that invoke external tools and exchange events over the standardized Agent-User Interaction (AG-UI) protocol creates a new attack surface only partially covered by existing defenses — input/output filters and content classifiers. We propose a method of transparent, protocol-level policy enforcement: a security gateway is inserted into the client–agent channel, inspects the event stream in both directions, and applies a verdict (allow, deny, transform, drop) without modifying agent code. The method is formalized as a verdict function over a typed event stream with a provable fail-closed property. The second component is tamper-evident auditing based on a verifiable transparency log (RFC 6962) with Merkle inclusion and consistency proofs and a crypto-agile scheme supporting national standards (GOST R 34.11-2012 "Streebog", GOST R 34.12-2015 "Kuznyechik"). A threat model mapped to the OWASP Top 10 for LLM Applications (2025), MITRE ATLAS and the NIST AI RMF is provided, together with a mathematical justification, an architecture based on Clean Architecture and Domain-Driven Design, and the results of functional and load testing and a log-forgery detection experiment. The results are of interest to cybersecurity specialists, LLM application developers and trustworthy-AI researchers.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слова: большие языковые модели, LLM, агентные системы, ИИ-агенты, безопасность искусственного интеллекта, инъекция промпта, prompt injection, шлюз безопасности, LLM firewall, обратный прокси, контроль политик, защита аудита от фальсификации, журнал прозрачности, дерево Меркла, RFC 6962, криптографическая гибкость, ГОСТ, Clean Architecture.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Keywords: large language models, LLM, agent systems, AI agents, AI security, prompt injection, security gateway, LLM firewall, reverse proxy, policy enforcement, tamper-evident audit, transparency log, Merkle tree, RFC 6962, crypto-agility, GOST, Clean Architecture.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Введение. </w:t>
      </w:r>
      <w:r>
        <w:rPr>
          <w:rFonts w:ascii="Times New Roman" w:hAnsi="Times New Roman" w:eastAsia="Times New Roman"/>
          <w:b w:val="0"/>
          <w:i w:val="0"/>
          <w:sz w:val="28"/>
        </w:rPr>
        <w:t>За последние годы большие языковые модели (LLM) прошли путь от диалоговых ассистентов до ядра автономных программных агентов, способных планировать действия, вызывать внешние инструменты (функции, API, поисковые и файловые операции), поддерживать состояние и взаимодействовать с пользовательским интерфейсом в реальном времени. Переход от отдельных чат-ботов к агентным системам стал массовым: агенты внедряются в разработку программного обеспечения, обработку документов, клиентскую поддержку и корпоративную автоматизацию, а обзорные исследования 2024–2025 гг. фиксируют этот сдвиг как одну из ключевых тенденций развития прикладного ИИ [4, 5]. Вместе с ростом автономности и объёма полномочий, делегируемых агентам, обеспечение их безопасности переходит из разряда желательных свойств в критическое требование эксплуатации. Стандартизация этого взаимодействия — в частности, открытый событийный протокол AG-UI (Agent-User Interaction), не привязанный к конкретному фреймворку и реализуемый различными платформами построения агентов, — упрощает создание агентных приложений, но одновременно превращает поток событий между клиентом и агентом в самостоятельную поверхность атаки [1, 2].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Ключевую угрозу для LLM-систем формирует инъекция промпта (prompt injection), занимающая первое место (LLM01) в рейтинге OWASP Top 10 for LLM Applications редакции 2025 года [1]. В прямой форме злоумышленник внедряет вредоносные инструкции непосредственно в пользовательский ввод; в косвенной (indirect prompt injection) — в данные, которые модель извлекает из внешних источников: веб-страниц, документов, писем, тикетов, репозиториев кода [3]. Основополагающая работа K. Greshake и соавторов [3] показала, что косвенная инъекция позволяет удалённо, без прямого интерфейса, компрометировать реальные LLM-приложения — вплоть до эксфильтрации пользовательских данных агентом, который «доверяет» вредоносному содержимому как инструкции. Для агентных систем эта угроза усиливается многократно: инъекция ведёт не к «нежелательному тексту», а к несанкционированному действию — вызову инструмента, обращению к внутреннему сетевому ресурсу, изменению состояния [4, 5, 6]. Обзорные исследования 2024–2025 гг. [4, 5, 7] фиксируют, что при переходе LLM «от чат-бота к агенту» поверхность безопасности расширяется качественно: к угрозам уровня содержимого добавляются злоупотребление инструментами, превышение полномочий, эксфильтрация данных, обращения к внутренней инфраструктуре (SSRF) и отказ в обслуживании.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Существующие средства защиты решают задачу лишь частично. Классификаторы и фильтры ввода-вывода (например, Llama Guard [8]), программируемые «рельсы» диалога (NeMo Guardrails [9]) и наборы сканеров содержимого (LLM Guard) действуют преимущественно на уровне отдельных сообщений LLM и, как правило, встраиваются в код приложения. Они плохо покрывают протокол-уровневую семантику агента — жизненный цикл вызова инструмента, аргументы и результаты вызовов, мутации разделяемого состояния, — и требуют модификации приложения. Сетевые решения класса «firewall for AI» приближаются к архитектуре шлюза, но фокусируются на фильтрации промптов и обычно не предоставляют доказуемой неизменяемости журнала действий агента, необходимой для расследования инцидентов и подотчётности (accountability) доверенного ИИ [10, 11].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Отдельную проблему составляет аудит. Регуляторные рамки доверенного ИИ (NIST AI RMF [10, 11]) требуют прослеживаемости и подотчётности решений системы, однако типовое журналирование строится на доверии к самому хранилищу: администратор или скомпрометированный компонент способны незаметно изменить или удалить запись. Криптографически проверяемые структуры данных для журналирования — деревья Меркла и журналы прозрачности [12, 13, 14] — хорошо изучены в контексте Certificate Transparency, но практически не применяются к аудиту действий LLM-агентов.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разработать метод обеспечения безопасности агентных LLM-систем, который, во-первых, применяет контроль политик безопасности к потоку событий агента прозрачно, на уровне протокола и без изменения кода агента, с доказуемой отказоустойчивой семантикой запрета, и, во-вторых, обеспечивает защищённый от фальсификации, криптографически верифицируемый аудит всех значимых действий агента. Метод реализован в виде программного шлюза безопасности Agate (язык Rust), выступающего референс-реализацией.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Научная новизна работы состоит в следующем. Во-первых, предложена и формализована модель прозрачного контроля политик над типизированным потоком событий агента как функция вердикта с доказуемым свойством fail-closed, обобщающая разрозненные защитные механизмы в единый метод протокол-уровневого перехвата. Во-вторых, показано применение верифицируемого журнала прозрачности (RFC 6962) в качестве защищённого от фальсификации аудита действий LLM-агентов с криптографически гибкой схемой, поддерживающей отечественные криптографические стандарты. В совокупности «контроль + доказуемость» (enforce and prove) образует целостный шлюз безопасности, отличающийся от известных решений уровнем перехвата и гарантиями неизменяемости аудита.</w:t>
      </w:r>
    </w:p>
    <w:p>
      <w:pPr>
        <w:keepNext/>
        <w:spacing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Обзор существующих решений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Угрозы агентных систем на основе LLM. </w:t>
      </w:r>
      <w:r>
        <w:rPr>
          <w:rFonts w:ascii="Times New Roman" w:hAnsi="Times New Roman" w:eastAsia="Times New Roman"/>
          <w:b w:val="0"/>
          <w:i w:val="0"/>
          <w:sz w:val="28"/>
        </w:rPr>
        <w:t>Систематизация угроз опирается на международные рамки. Рейтинг OWASP Top 10 for LLM Applications (2025) [1] выделяет в качестве приоритетных: LLM01 — инъекцию промпта; утечку конфиденциальных данных; уязвимости цепочки поставок; отравление данных; чрезмерную агентность (excessive agency) и избыточные полномочия; дезинформацию; неограниченное потребление ресурсов. В 2025 г. выпущен отдельный OWASP Top 10 for Agentic Applications [15], фиксирующий специфические для агентов риски: злоупотребление инструментами, эскалацию полномочий, компрометацию памяти и состояния, каскадные сбои в многоагентных системах. Тактики и техники противника систематизирует база MITRE ATLAS [16], а управленческую рамку задаёт NIST AI RMF [10] и его профиль для генеративного ИИ NIST AI 600-1 [11], где среди рисков названы информационная безопасность, целостность информации и конфигурация «человек — ИИ».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Ключевой механизм — инъекция промпта — рассматривается как в инженерной [1, 3, 17], так и в лингвистической [18] плоскости: граница между «данными» и «инструкциями» в LLM размыта, что и делает атаку возможной. Работа [17] формализует инъекцию против LLM-интегрированных приложений; бенчмарк AgentDojo [6] предоставляет динамическую среду для оценки атак и защит на агентах. Отечественные исследования [19, 20] анализируют угрозы систем с интеграцией LLM и методы защиты, подтверждая актуальность темы для российской научной среды.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Подходы к защите LLM и агентов. </w:t>
      </w:r>
      <w:r>
        <w:rPr>
          <w:rFonts w:ascii="Times New Roman" w:hAnsi="Times New Roman" w:eastAsia="Times New Roman"/>
          <w:b w:val="0"/>
          <w:i w:val="0"/>
          <w:sz w:val="28"/>
        </w:rPr>
        <w:t>Сложился ряд классов защитных средств.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Классификаторы и фильтры ввода-вывода. Llama Guard [8] — дообученная модель-классификатор, размечающая запросы и ответы по таксономии рисков; облачные сервисы того же класса (например, Lakera Guard) выполняют детекцию инъекций через API-вызов из кода приложения. Такие средства эффективны против токсичного содержимого и части инъекций, но действуют на уровне отдельного сообщения и не моделируют семантику вызова инструмента.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Программируемые рельсы диалога. NeMo Guardrails [9] задаёт декларативные «рельсы» (на языке Colang), управляющие ходом диалога независимо от базовой модели. Механизм мощный, но встраивается в код приложения и ориентирован на диалоговую траекторию, а не на протокол-уровневый поток агентных событий.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Наборы сканеров содержимого. LLM Guard (Protect AI) — библиотека сканеров ввода/вывода (секреты, персональные данные, токсичность). Как и предыдущие, это библиотека, работающая на границе ввода-вывода LLM.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Сетевые шлюзы и «firewall for AI». Промышленные решения (Robust Intelligence AI Firewall, Cloudflare/Akamai Firewall for AI, Prompt Security, Protect AI Rebuff) приближаются к архитектуре шлюза и перехватывают трафик ближе к сети. Они фокусируются на детекции инъекций и фильтрации промптов; протокол-уровневая семантика агентных событий и доказуемо неизменяемый аудит, как правило, вне их охвата.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Защищённый от фальсификации аудит и журналы прозрачности. </w:t>
      </w:r>
      <w:r>
        <w:rPr>
          <w:rFonts w:ascii="Times New Roman" w:hAnsi="Times New Roman" w:eastAsia="Times New Roman"/>
          <w:b w:val="0"/>
          <w:i w:val="0"/>
          <w:sz w:val="28"/>
        </w:rPr>
        <w:t>Идея криптографически проверяемого журнала, к которому возможна только дозапись (append-only), восходит к работе S. Crosby и D. Wallach «Efficient Data Structures for Tamper-Evident Logging» [13], где на базе дерева Меркла [14] строятся доказательства неизменяемости логарифмического размера. Тот же принцип положен в основу системы Certificate Transparency [12] (RFC 6962): журнал представляет собой постоянно растущее дерево Меркла, для которого можно предъявить доказательство включения записи и доказательство консистентности между двумя версиями журнала. Подпись «головы дерева» (signed tree head) на основе схемы Ed25519 [21] или отечественной ГОСТ Р 34.10-2012 [22] превращает журнал в подотчётный артефакт. Применение этого аппарата к аудиту действий LLM-агентов в литературе представлено фрагментарно, что и мотивирует настоящую работу.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Сравнение классов подходов. </w:t>
      </w:r>
      <w:r>
        <w:rPr>
          <w:rFonts w:ascii="Times New Roman" w:hAnsi="Times New Roman" w:eastAsia="Times New Roman"/>
          <w:b w:val="0"/>
          <w:i w:val="0"/>
          <w:sz w:val="28"/>
        </w:rPr>
        <w:t>Сводное сравнение классов защитных средств приведено в таблице 1.</w:t>
      </w:r>
    </w:p>
    <w:p>
      <w:pPr>
        <w:keepNext w:val="0"/>
        <w:spacing w:after="4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1. Сравнение классов средств защиты LLM/агентов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Классификаторы (Llama Guard)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Рельсы (NeMo)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Сканеры (LLM Guard)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Сетевой firewall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Предлагаемый метод (Agate)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Уровень перехвата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Сообщение LLM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Диалог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Ввод-вывод LLM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Сеть/промпт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Протокол агента (события)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Прозрачность (без изменения кода)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Семантика инструментов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Ограниченно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Ограниченно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 состояния/результатов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Ограниченно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Аудит с защитой от фальсификации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Редко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 (RFC 6962)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Криптографическая гибкость / ГОСТ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</w:tbl>
    <w:p>
      <w:pPr>
        <w:spacing w:after="80"/>
      </w:pPr>
    </w:p>
    <w:p>
      <w:pPr>
        <w:keepNext/>
        <w:spacing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Модель угроз и постановка задачи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Архитектура доверия. </w:t>
      </w:r>
      <w:r>
        <w:rPr>
          <w:rFonts w:ascii="Times New Roman" w:hAnsi="Times New Roman" w:eastAsia="Times New Roman"/>
          <w:b w:val="0"/>
          <w:i w:val="0"/>
          <w:sz w:val="28"/>
        </w:rPr>
        <w:t>Рассматривается типовая агентная топология: клиент (веб-интерфейс или иное приложение) обменивается по протоколу AG-UI с агентом (произвольной реализацией протокола на любой платформе построения агентов), который, в свою очередь, обращается к LLM-провайдеру и внешним инструментам. Граница доверия проходит так: клиентский ввод и внешние данные, извлекаемые агентом, считаются недоверенными; агент считается потенциально управляемым злоумышленником через инъекцию промпта. Следуя принципам архитектуры нулевого доверия (Zero Trust, NIST SP 800-207 [23]), метод не полагается на «внутреннее» расположение компонента: каждое событие оценивается вблизи защищаемого ресурса — на шлюзе, включённом в разрыв канала.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Нарушитель и активы. </w:t>
      </w:r>
      <w:r>
        <w:rPr>
          <w:rFonts w:ascii="Times New Roman" w:hAnsi="Times New Roman" w:eastAsia="Times New Roman"/>
          <w:b w:val="0"/>
          <w:i w:val="0"/>
          <w:sz w:val="28"/>
        </w:rPr>
        <w:t>Модель нарушителя: внешний субъект, способный (а) внедрять инструкции в пользовательский ввод и во внешние данные, извлекаемые агентом; (б) провоцировать агента на вызовы инструментов с произвольными аргументами; (в) провоцировать эксфильтрацию секретов и обращения к внутренней инфраструктуре. Нарушитель не контролирует сам шлюз и криптографические ключи подписи журнала.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Защищаемые активы и соответствующие угрозы сведены в таблицу 2 с привязкой к международным рамкам и к применяемому вердикту (см. далее раздел «Метод»).</w:t>
      </w:r>
    </w:p>
    <w:p>
      <w:pPr>
        <w:keepNext w:val="0"/>
        <w:spacing w:after="4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2. Активы, угрозы и контроли агентной LLM-системы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Актив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Угроза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Рамка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Контроль (метод)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Вердикт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Инструменты (действия)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Злоупотребление инструментом, избыточная агентность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OWASP LLM06/Agentic; ATLAS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Авторизация имени + инспекция аргументов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Deny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Сеть/инфраструктура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SSRF, DNS-rebinding, обращение к внутренним адресам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OWASP; ATLAS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Резолвинг и проверка адресов на обеих сторонах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Drop/Deny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Разделяемое состояние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Инъекция в STATE_DELTA, некорректный JSON-Patch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OWASP Agentic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Валидация RFC 6902 + бюджеты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Deny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Конфиденциальные данные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Эксфильтрация секретов/PII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OWASP LLM02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Редакция по шаблонам (literal/regex)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Transform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Доступность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Отказ в обслуживании, лавинообразный вывод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OWASP LLM10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Лимиты частоты и объёма ответа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Deny/Terminate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Подотчётность (аудит)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Незаметная подмена/удаление записей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NIST AI RMF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Верифицируемый журнал (RFC 6962)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 (доказуемость)</w:t>
            </w:r>
          </w:p>
        </w:tc>
      </w:tr>
    </w:tbl>
    <w:p>
      <w:pPr>
        <w:spacing w:after="80"/>
      </w:pP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рассматриваются «скрытые поля» запроса (system-сообщение, context, forwardedProps, входное state), межсессионный повтор запрещённого действия и корректность обработки некорректных, но распознанных событий (fail-open как дефект безопасности).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Формальная постановка.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Поток взаимодействия представим как последовательность событий протокола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 xml:space="preserve"> в обе стороны (запрос → агент и ответ → клиент). Требуется построить оператор, который для каждого события, с учётом контекста сессии и политики, выдаёт вердикт из конечного множества </w:t>
      </w:r>
      <m:oMath>
        <m:box>
          <m:e>
            <m:r>
              <m:rPr>
                <m:sty m:val="p"/>
              </m:rPr>
              <m:t>{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w</m:t>
                </m:r>
              </m:e>
            </m:box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y</m:t>
                </m:r>
              </m:e>
            </m:box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m</m:t>
                </m:r>
              </m:e>
            </m:box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p</m:t>
                </m:r>
              </m:e>
            </m:box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>, при этом: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нераспознанное, но подозрительное событие не должно приводить к скрытому пропуску вредоносного действия (свойство fail-closed);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применение контроля не должно требовать изменения кода агента (прозрачность);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все значимые действия должны фиксироваться в неизменяемом, верифицируемом журнале.</w:t>
      </w:r>
    </w:p>
    <w:p>
      <w:pPr>
        <w:keepNext/>
        <w:spacing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Метод: прозрачный шлюз контроля политик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Архитектура прозрачного обратного прокси.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Предлагаемый метод реализует обратный прокси, включённый в разрыв канала «клиент — агент» (рис. 1). Шлюз терминирует соединение клиента, устанавливает соединение к агенту и ретранслирует поток событий AG-UI, инспектируя каждое событие. Для клиента и агента шлюз прозрачен: адреса переустанавливаются конфигурацией, код агента не меняется. Такая позиция «man-in-the-middle по назначению» позволяет применять контроль на обеих сторонах: на стороне запроса (валидация </w:t>
      </w:r>
      <w:r>
        <w:rPr>
          <w:rFonts w:ascii="Times New Roman" w:hAnsi="Times New Roman" w:eastAsia="Times New Roman"/>
          <w:b w:val="0"/>
          <w:i/>
          <w:sz w:val="28"/>
        </w:rPr>
        <w:t>RunAgentInput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до пересылки агенту) и на стороне ответа (инспекция потока событий от агента к клиенту).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929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29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 – Архитектура прозрачного шлюза в разрыве канала «клиент — агент»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Формальная модель контроля политик. </w:t>
      </w:r>
      <w:r>
        <w:rPr>
          <w:rFonts w:ascii="Times New Roman" w:hAnsi="Times New Roman" w:eastAsia="Times New Roman"/>
          <w:b w:val="0"/>
          <w:i w:val="0"/>
          <w:sz w:val="28"/>
        </w:rPr>
        <w:t>Поток взаимодействия представим как конечную последовательность типизированных событий протокола E = (e₁, e₂, …), eᵢ ∈ Ev, где Ev — множество событий (начало/содержимое/конец текстового сообщения; жизненный цикл вызова инструмента START → ARGS → RESULT → END; снимок и дельта разделяемого состояния и т. д.). Пусть Σ — состояние сессии (память шлюза о ранее принятых решениях), а P — конечный набор правил политики. Множество возможных вердиктов определяется как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r>
              <m:rPr>
                <m:sty m:val="i"/>
              </m:rPr>
              <m:t>𝒟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w</m:t>
                </m:r>
              </m:e>
            </m:box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y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m</m:t>
                </m:r>
              </m:e>
            </m:box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p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(1)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r — причина решения (фиксируется в аудите), e′ — преобразованное событие (например, с замаскированным секретом). Контроль задаётся функцией вердикта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r>
              <m:rPr>
                <m:sty m:val="i"/>
              </m:rPr>
              <m:t>V</m:t>
            </m:r>
            <m:r>
              <m:rPr>
                <m:sty m:val="i"/>
              </m:rPr>
              <m:t>:</m:t>
            </m:r>
            <m:r>
              <m:rPr>
                <m:nor/>
              </m:rPr>
              <m:t> </m:t>
            </m:r>
            <m:box>
              <m:e>
                <m:r>
                  <m:rPr>
                    <m:sty m:val="i"/>
                  </m:rPr>
                  <m:t>E</m:t>
                </m:r>
                <m:r>
                  <m:rPr>
                    <m:sty m:val="i"/>
                  </m:rPr>
                  <m:t>v</m:t>
                </m:r>
              </m:e>
            </m:box>
            <m:r>
              <m:rPr>
                <m:sty m:val="i"/>
              </m:rPr>
              <m:t>×</m:t>
            </m:r>
            <m:r>
              <m:rPr>
                <m:sty m:val="i"/>
              </m:rPr>
              <m:t>Σ</m:t>
            </m:r>
            <m:r>
              <m:rPr>
                <m:sty m:val="i"/>
              </m:rPr>
              <m:t>×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→</m:t>
            </m:r>
            <m:r>
              <m:rPr>
                <m:sty m:val="i"/>
              </m:rPr>
              <m:t>𝒟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(2)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Обработка i-го события порождает выходное действие oᵢ и обновляет состояние сессии: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sSub>
              <m:e>
                <m:r>
                  <m:rPr>
                    <m:sty m:val="i"/>
                  </m:rPr>
                  <m:t>o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y</m:t>
                </m:r>
              </m:e>
            </m:box>
            <m:r>
              <m:t/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σ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/>
            </m:r>
            <m:sSub>
              <m:e>
                <m:r>
                  <m:rPr>
                    <m:sty m:val="i"/>
                  </m:rPr>
                  <m:t>σ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</m:e>
            </m:box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σ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σ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(3)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Композиция политик. Контроль складывается из упорядоченного набора частных решателей V₁, …, Vₖ (авторизация имени инструмента, инспекция аргументов, скрининг SSRF, редакция секретов и т. д.). Итоговый вердикт выбирается по приоритету: первое «жёсткое» (не-Allow) решение останавливает конвейер, что формально соответствует выбору минимального индекса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sSup>
              <m:e>
                <m:r>
                  <m:rPr>
                    <m:sty m:val="i"/>
                  </m:rPr>
                  <m:t>j</m:t>
                </m:r>
              </m:e>
              <m:sup>
                <m:box>
                  <m:e>
                    <m:r>
                      <m:rPr>
                        <m:sty m:val="i"/>
                      </m:rPr>
                      <m:t>*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{</m:t>
            </m:r>
            <m:r>
              <m:t/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}</m:t>
            </m:r>
            <m:r>
              <m:rPr>
                <m:sty m:val="i"/>
              </m:rPr>
              <m:t>: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w</m:t>
                </m:r>
              </m:e>
            </m:box>
            <m:r>
              <m:t/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j</m:t>
                        </m:r>
                      </m:e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*</m:t>
                            </m:r>
                          </m:e>
                        </m:box>
                      </m:sup>
                    </m:sSup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(4)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(при пустом множестве индексов вердикт равен Allow; преобразования Transform, не прерывающие поток, применяются последовательно). Отсюда следуют характеризация запрета и конъюнктивность разрешения: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y</m:t>
                </m:r>
              </m:e>
            </m:box>
            <m:r>
              <m:rPr>
                <m:nor/>
              </m:rPr>
              <m:t> </m:t>
            </m:r>
            <m:r>
              <m:rPr>
                <m:sty m:val="p"/>
              </m:rPr>
              <m:t>⇔</m:t>
            </m:r>
            <m:r>
              <m:rPr>
                <m:nor/>
              </m:rPr>
              <m:t> </m:t>
            </m:r>
            <m:r>
              <m:rPr>
                <m:sty m:val="p"/>
              </m:rPr>
              <m:t>∃</m:t>
            </m:r>
            <m:r>
              <m:t/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: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y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(5)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r>
              <m:rPr>
                <m:sty m:val="i"/>
              </m:rPr>
              <m:t>𝒜</m:t>
            </m:r>
            <m:r>
              <m:rPr>
                <m:sty m:val="p"/>
              </m:rPr>
              <m:t>=</m:t>
            </m:r>
            <m:nary>
              <m:naryPr>
                <m:chr m:val="⋂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p>
              <m:e>
                <m:sSub>
                  <m:e>
                    <m:r>
                      <m:rPr>
                        <m:sty m:val="i"/>
                      </m:rPr>
                      <m:t>𝒜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/>
                </m:r>
                <m:sSub>
                  <m:e>
                    <m:r>
                      <m:rPr>
                        <m:sty m:val="i"/>
                      </m:rPr>
                      <m:t>𝒜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i"/>
                  </m:rPr>
                  <m:t>e</m:t>
                </m:r>
                <m:r>
                  <m:rPr>
                    <m:sty m:val="i"/>
                  </m:rPr>
                  <m:t>:</m:t>
                </m:r>
                <m:r>
                  <m:rPr>
                    <m:nor/>
                  </m:rPr>
                  <m:t> </m:t>
                </m:r>
                <m:sSub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box>
                  <m:e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w</m:t>
                    </m:r>
                  </m:e>
                </m:box>
                <m:r>
                  <m:rPr>
                    <m:sty m:val="p"/>
                  </m:rPr>
                  <m:t>}</m:t>
                </m:r>
              </m:e>
            </m:nary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(6)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то есть событие разрешается тогда и только тогда, когда его разрешает каждый частный решатель: множество разрешённых событий 𝒜 есть пересечение (fail-safe композиция).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Классификация распознаваемости. Прежде чем событие достигнет функции вердикта, входной элемент данных классифицируется отображением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</m:e>
            </m:box>
            <m:r>
              <m:rPr>
                <m:sty m:val="i"/>
              </m:rPr>
              <m:t>:</m:t>
            </m:r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</m:e>
            </m:box>
            <m:r>
              <m:rPr>
                <m:sty m:val="i"/>
              </m:rPr>
              <m:t>×</m:t>
            </m:r>
            <m:box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</m:e>
            </m:box>
            <m:r>
              <m:rPr>
                <m:sty m:val="p"/>
              </m:rPr>
              <m:t>→</m:t>
            </m:r>
            <m:r>
              <m:rPr>
                <m:sty m:val="p"/>
              </m:rPr>
              <m:t>{</m:t>
            </m:r>
            <m:box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t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</m:e>
            </m:box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box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p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sSub>
              <m:e>
                <m:box>
                  <m:e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(7)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Событие либо распознано и подлежит инспекции (Inspect), либо принципиально неинспектируемо — неизвестный тип или не-JSON (Pass, переслать), либо распознано как известный тип, но некорректно — отсутствуют обязательные поля (Dropₘ или Termₘ в зависимости от режима).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Утверждение 1 (fail-closed). Если событие распознано как известный тип протокола, но не проходит структурную валидацию, метод не выдаёт вердикт Allow: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sSub>
              <m:e>
                <m:box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p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,</m:t>
            </m:r>
            <m:sSub>
              <m:e>
                <m:box>
                  <m:e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}</m:t>
            </m:r>
            <m:r>
              <m:rPr>
                <m:nor/>
              </m:rPr>
              <m:t> </m:t>
            </m:r>
            <m:r>
              <m:rPr>
                <m:sty m:val="p"/>
              </m:rPr>
              <m:t>⇒</m:t>
            </m:r>
            <m:r>
              <m:rPr>
                <m:nor/>
              </m:rPr>
              <m:t> 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w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(8)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Доказательство. По определению decode распознанное-но-некорректное событие отображается в Dropₘ либо Termₘ, а не в Inspect, тогда как функция вердикта V применяется исключительно к ветви Inspect. Следовательно, путь, ведущий к Allow, для такого события недостижим, что и требовалось. Практическое следствие: попытка «протащить» вредоносное действие в намеренно искажённом, но узнаваемом событии не приводит к молчаливому пропуску — в отличие от типичного дефекта fail-open, где ошибка разбора трактуется как «пропустить».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Состояние сессии как накопитель запретов. Межсессионная память моделируется как монотонно растущее множество запрещённых в рамках сессии действий Σₛ ⊆ Act, с операциями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box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</m:e>
            </m:box>
            <m:r>
              <m:rPr>
                <m:sty m:val="i"/>
              </m:rPr>
              <m:t>:</m:t>
            </m:r>
            <m:r>
              <m:rPr>
                <m:sty m:val="i"/>
              </m:rPr>
              <m:t>Σ</m:t>
            </m:r>
            <m:r>
              <m:rPr>
                <m:sty m:val="i"/>
              </m:rPr>
              <m:t>×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t</m:t>
                </m:r>
              </m:e>
            </m:box>
            <m:r>
              <m:rPr>
                <m:sty m:val="p"/>
              </m:rPr>
              <m:t>→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,</m:t>
            </m:r>
            <m:r>
              <m:t/>
            </m:r>
            <m:box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r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σ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σ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(9)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Память только добавляет запреты поверх политики без состояния и никогда не превращает Deny в Allow: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box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σ</m:t>
            </m:r>
            <m:r>
              <m:rPr>
                <m:sty m:val="p"/>
              </m:rPr>
              <m:t>,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t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nor/>
              </m:rPr>
              <m:t> </m:t>
            </m:r>
            <m:r>
              <m:rPr>
                <m:sty m:val="p"/>
              </m:rPr>
              <m:t>⇒</m:t>
            </m:r>
            <m:r>
              <m:rPr>
                <m:nor/>
              </m:rPr>
              <m:t> </m:t>
            </m:r>
            <m:sSup>
              <m:e>
                <m:r>
                  <m:rPr>
                    <m:sty m:val="i"/>
                  </m:rPr>
                  <m:t>V</m:t>
                </m:r>
              </m:e>
              <m:sup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</m:box>
                  </m:e>
                </m:box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σ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y</m:t>
                </m:r>
              </m:e>
            </m:box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(10)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σ ⊆ remember(σ, a, r) следует монотонность множества запретов, а недоступность хранилища памяти эквивалентна пустому множеству (fail-open по доступности, но не по безопасности решения). Это гарантирует, что запрещённое в сессии действие нельзя повторить в новом прогоне той же сессии сменой аргументов.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Пайплайн инспекции потока событий.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Обработка организована как детерминированный конечный автомат над потоком (рис. 2). Для каждого элемента: </w:t>
      </w:r>
      <w:r>
        <w:rPr>
          <w:rFonts w:ascii="Times New Roman" w:hAnsi="Times New Roman" w:eastAsia="Times New Roman"/>
          <w:b w:val="0"/>
          <w:i/>
          <w:sz w:val="28"/>
        </w:rPr>
        <w:t>decode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классифицирует его; распознанное событие проецируется в доменное представление и проходит конвейер частных решателей Vᵢ; вердикт применяется (пропуск, запрет с формированием терминирующего события, редакция «на месте», отбрасывание); значимое действие ставится в очередь аудита. Отдельно решается проблема буферизации вызовов инструментов: кадры одного вызова (START → ARGS → RESULT) удерживаются по идентификатору вызова до принятия решения об авторизации, что исключает утечку кадров запрещённого вызова клиенту при чередовании параллельных вызовов.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758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58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 – Конвейер инспекции потока событий (конечный автомат, обе стороны)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Гибкость выбора движков политик.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Метод не фиксирует единственный язык политик. Решатель политики выделен за абстрактный порт </w:t>
      </w:r>
      <w:r>
        <w:rPr>
          <w:rFonts w:ascii="Times New Roman" w:hAnsi="Times New Roman" w:eastAsia="Times New Roman"/>
          <w:b w:val="0"/>
          <w:i/>
          <w:sz w:val="28"/>
        </w:rPr>
        <w:t>PolicyPort</w:t>
      </w:r>
      <w:r>
        <w:rPr>
          <w:rFonts w:ascii="Times New Roman" w:hAnsi="Times New Roman" w:eastAsia="Times New Roman"/>
          <w:b w:val="0"/>
          <w:i w:val="0"/>
          <w:sz w:val="28"/>
        </w:rPr>
        <w:t>, за которым сменяются реализации: статический декларативный набор правил (TOML), а также подключаемые интерпретаторы — CEL (Common Expression Language) и Rego (OPA). Все они не полны по Тьюрингу, что структурно ограничивает стоимость одного вычисления, а стоимость статического набора линейна по числу правил и ограничивается сверху конфигурируемым порогом. Такая гибкость выбора политик позволяет наращивать выразительность (от списков разрешённых имён до предикатов над структурой аргументов) без изменения ядра метода.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Реализация контролей. </w:t>
      </w:r>
      <w:r>
        <w:rPr>
          <w:rFonts w:ascii="Times New Roman" w:hAnsi="Times New Roman" w:eastAsia="Times New Roman"/>
          <w:b w:val="0"/>
          <w:i w:val="0"/>
          <w:sz w:val="28"/>
        </w:rPr>
        <w:t>Ниже рассмотрены четыре репрезентативных контроля, покрывающих разные типы вердикта и разные активы; остальные сведены в таблицу покрытия.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Авторизация инструментов и инспекция аргументов.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Контроль перехватывает жизненный цикл вызова инструмента. Авторизация имени инструмента выполняется по политике «разрешённый/запрещённый список» с сопоставителем </w:t>
      </w:r>
      <w:r>
        <w:rPr>
          <w:rFonts w:ascii="Times New Roman" w:hAnsi="Times New Roman" w:eastAsia="Times New Roman"/>
          <w:b w:val="0"/>
          <w:i/>
          <w:sz w:val="28"/>
        </w:rPr>
        <w:t>ToolMatcher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трёх видов: точное имя, glob-шаблон, регулярное выражение (полное якорное сопоставление, с учётом регистра). Разрешённый по имени вызов дополнительно проходит инспекцию аргументов: правило </w:t>
      </w:r>
      <w:r>
        <w:rPr>
          <w:rFonts w:ascii="Times New Roman" w:hAnsi="Times New Roman" w:eastAsia="Times New Roman"/>
          <w:b w:val="0"/>
          <w:i/>
          <w:sz w:val="28"/>
        </w:rPr>
        <w:t>ArgumentRule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задаёт (опционально) целевой инструмент, опциональный путь </w:t>
      </w:r>
      <w:r>
        <w:rPr>
          <w:rFonts w:ascii="Times New Roman" w:hAnsi="Times New Roman" w:eastAsia="Times New Roman"/>
          <w:b w:val="0"/>
          <w:i/>
          <w:sz w:val="28"/>
        </w:rPr>
        <w:t>JsonPath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 полю аргументов и маркер (подстрока или регулярное выражение). При отсутствии пути сопоставление идёт по «сырой» строке аргументов, при наличии — по значению конкретного поля распарсенных аргументов. Запрещающее по имени решение имеет приоритет и обрывает конвейер до инспекции аргументов. Схема контроля приведена на рисунке 3.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26030" cy="4754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 – Авторизация инструмента и инспекция аргументов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Редакция секретов.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Контроль предотвращает эксфильтрацию секретов и чувствительных данных в потоке ответа. Шаблон </w:t>
      </w:r>
      <w:r>
        <w:rPr>
          <w:rFonts w:ascii="Times New Roman" w:hAnsi="Times New Roman" w:eastAsia="Times New Roman"/>
          <w:b w:val="0"/>
          <w:i/>
          <w:sz w:val="28"/>
        </w:rPr>
        <w:t>Pattern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задаётся как литерал или регулярное выражение (некорректное выражение отвергается на этапе загрузки политики). Сервис редактирования последовательно применяет шаблоны к текстовому содержимому события и маскирует совпадения на месте (</w:t>
      </w:r>
      <w:r>
        <w:rPr>
          <w:rFonts w:ascii="Times New Roman" w:hAnsi="Times New Roman" w:eastAsia="Times New Roman"/>
          <w:b w:val="0"/>
          <w:i/>
          <w:sz w:val="28"/>
        </w:rPr>
        <w:t>Verdict::Transform</w:t>
      </w:r>
      <w:r>
        <w:rPr>
          <w:rFonts w:ascii="Times New Roman" w:hAnsi="Times New Roman" w:eastAsia="Times New Roman"/>
          <w:b w:val="0"/>
          <w:i w:val="0"/>
          <w:sz w:val="28"/>
        </w:rPr>
        <w:t>), не прерывая поток. Для содержимого, которое невозможно безопасно замаскировать (например, полезная нагрузка мутации состояния), обнаружение маркера секрета приводит к запрету события (fail-safe: не пропустить утечку). Схема приведена на рисунке 4.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05584" cy="47548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584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4 – Редакция секретов в потоке ответа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Защита от SSRF и DNS-rebinding.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Контроль препятствует использованию агента как посредника для обращений к внутренней инфраструктуре. URL-содержащие поля событий (аргументы вызова, фрагменты сообщений, результаты инструментов) на обеих сторонах проверяются до принятия решения политикой. Хост доменного имени резолвится, и полученные адреса перепроверяются на принадлежность к запрещённым диапазонам (loopback, приватные сети, link-local/metadata-адреса), что закрывает атаку повторной привязки DNS (DNS-rebinding). Резолвер вынесен за порт </w:t>
      </w:r>
      <w:r>
        <w:rPr>
          <w:rFonts w:ascii="Times New Roman" w:hAnsi="Times New Roman" w:eastAsia="Times New Roman"/>
          <w:b w:val="0"/>
          <w:i/>
          <w:sz w:val="28"/>
        </w:rPr>
        <w:t>HostResolver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(адаптеры с таймаутом и «пустой» для тестов). Обнаружение запрещённого адреса приводит к отбрасыванию события. Схема приведена на рисунке 5.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98498" cy="47548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8498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5 – Скрининг URL и защита от DNS-rebinding на обеих сторонах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Отказоустойчивый запрет и межсессионный карантин. </w:t>
      </w:r>
      <w:r>
        <w:rPr>
          <w:rFonts w:ascii="Times New Roman" w:hAnsi="Times New Roman" w:eastAsia="Times New Roman"/>
          <w:b w:val="0"/>
          <w:i w:val="0"/>
          <w:sz w:val="28"/>
        </w:rPr>
        <w:t>Контроль реализует доказанное выше свойство fail-closed для распознанных, но некорректных событий: режим обработки (</w:t>
      </w:r>
      <w:r>
        <w:rPr>
          <w:rFonts w:ascii="Times New Roman" w:hAnsi="Times New Roman" w:eastAsia="Times New Roman"/>
          <w:b w:val="0"/>
          <w:i/>
          <w:sz w:val="28"/>
        </w:rPr>
        <w:t>forward | drop | terminate</w:t>
      </w:r>
      <w:r>
        <w:rPr>
          <w:rFonts w:ascii="Times New Roman" w:hAnsi="Times New Roman" w:eastAsia="Times New Roman"/>
          <w:b w:val="0"/>
          <w:i w:val="0"/>
          <w:sz w:val="28"/>
        </w:rPr>
        <w:t>, по умолчанию — терминировать) задаётся конфигурацией. Дополнительно межсессионная память карантинит запрещённый в прогоне инструмент по имени до конца сессии: повторная попытка вызвать его в новом прогоне той же сессии с «чистыми» аргументами отклоняется по памяти. Схема приведена на рисунке 6.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77460" cy="47548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460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6 – Fail-closed на некорректном событии и межсессионный карантин действия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Сводное покрытие контролей. </w:t>
      </w:r>
      <w:r>
        <w:rPr>
          <w:rFonts w:ascii="Times New Roman" w:hAnsi="Times New Roman" w:eastAsia="Times New Roman"/>
          <w:b w:val="0"/>
          <w:i w:val="0"/>
          <w:sz w:val="28"/>
        </w:rPr>
        <w:t>Полный набор контролей и их соответствие активам приведены в таблице 3.</w:t>
      </w:r>
    </w:p>
    <w:p>
      <w:pPr>
        <w:keepNext w:val="0"/>
        <w:spacing w:after="4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3. Покрытие контролей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Контроль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Защищаемый актив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Сторона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Тип вердикта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Авторизация инструмента (glob/regex)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Инструменты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Запрос/ответ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Deny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Инспекция аргументов (JsonPath-предикаты)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Инструменты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Запрос/ответ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Deny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Правила на результаты инструментов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Инструменты/данные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Ответ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Deny/Transform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Редакция секретов (literal/regex)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Конфиденциальные данные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Ответ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Transform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Скрининг SSRF + DNS-rebinding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Сеть/инфраструктура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Запрос/ответ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Drop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Валидация RFC 6902 (STATE_DELTA) + бюджеты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Разделяемое состояние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Ответ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Deny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Скрининг скрытых полей (system/context/…)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Ввод/данные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Запрос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Deny/Transform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Лимит частоты (по IP)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Доступность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Запрос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Deny (429)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Бюджет объёма ответа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Доступность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Ответ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Terminate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Fail-closed на некорректном событии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Целостность контроля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Ответ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Drop/Terminate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Межсессионный карантин действия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Инструменты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Запрос/ответ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Deny</w:t>
            </w:r>
          </w:p>
        </w:tc>
      </w:tr>
    </w:tbl>
    <w:p>
      <w:pPr>
        <w:spacing w:after="80"/>
      </w:pPr>
    </w:p>
    <w:p>
      <w:pPr>
        <w:keepNext/>
        <w:spacing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Аудит с защитой от фальсификации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Модель верифицируемого журнала прозрачности. </w:t>
      </w:r>
      <w:r>
        <w:rPr>
          <w:rFonts w:ascii="Times New Roman" w:hAnsi="Times New Roman" w:eastAsia="Times New Roman"/>
          <w:b w:val="0"/>
          <w:i w:val="0"/>
          <w:sz w:val="28"/>
        </w:rPr>
        <w:t>Вторая составляющая метода — неизменяемый, криптографически верифицируемый журнал действий агента, построенный по модели RFC 6962 [12]. Журнал — это постоянно растущее дерево Меркла над последовательностью листьев-записей D = (d₀, d₁, …, dₙ₋₁) (рис. 7). Хеш дерева (Merkle Tree Hash, MTH) определяется рекурсивно с разделением доменов листа и внутреннего узла: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box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H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}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(</m:t>
            </m:r>
            <m:box>
              <m:e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00</m:t>
                </m:r>
              </m:e>
            </m:box>
            <m:r>
              <m:t/>
            </m:r>
            <m:r>
              <m:rPr>
                <m:sty m:val="p"/>
              </m:rPr>
              <m:t>‖</m:t>
            </m:r>
            <m:r>
              <m:t/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(11)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box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H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i"/>
                  </m:rPr>
                  <m:t>:</m:t>
                </m:r>
              </m:e>
            </m:box>
            <m:r>
              <m:rPr>
                <m:sty m:val="i"/>
              </m:rPr>
              <m:t>n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H</m:t>
            </m:r>
            <m:d>
              <m:dPr>
                <m:begChr m:val="("/>
                <m:endChr m:val=")"/>
              </m:dPr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01</m:t>
                        </m:r>
                      </m:e>
                    </m:box>
                    <m:r>
                      <m:t/>
                    </m:r>
                    <m:r>
                      <m:rPr>
                        <m:sty m:val="p"/>
                      </m:rPr>
                      <m:t>‖</m:t>
                    </m:r>
                    <m:r>
                      <m:t/>
                    </m:r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</m:box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0</m:t>
                    </m:r>
                    <m:box>
                      <m:e>
                        <m:r>
                          <m:rPr>
                            <m:sty m:val="i"/>
                          </m:rPr>
                          <m:t>:</m:t>
                        </m:r>
                      </m:e>
                    </m:box>
                    <m:r>
                      <m:rPr>
                        <m:sty m:val="i"/>
                      </m:rPr>
                      <m:t>k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  <m:r>
                      <m:t/>
                    </m:r>
                    <m:r>
                      <m:rPr>
                        <m:sty m:val="p"/>
                      </m:rPr>
                      <m:t>‖</m:t>
                    </m:r>
                    <m:r>
                      <m:t/>
                    </m:r>
                    <m:box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</m:box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i"/>
                      </m:rPr>
                      <m:t>k</m:t>
                    </m:r>
                    <m:box>
                      <m:e>
                        <m:r>
                          <m:rPr>
                            <m:sty m:val="i"/>
                          </m:rPr>
                          <m:t>:</m:t>
                        </m:r>
                      </m:e>
                    </m:box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e>
            </m:d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(12)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H — криптографическая хеш-функция, ‖ — конкатенация, префиксы 0x00 и 0x01 разделяют домены листа и внутреннего узла (защита от атак второго прообраза), а k — наибольшая степень двойки, строго меньшая n: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2</m:t>
                </m:r>
              </m:e>
              <m:sup>
                <m:box>
                  <m:e>
                    <m:r>
                      <m:rPr>
                        <m:sty m:val="i"/>
                      </m:rPr>
                      <m:t>⌊</m:t>
                    </m:r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i"/>
                      </m:rPr>
                      <m:t>⌋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(13)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Доказательство включения. Для листа с индексом m в дереве размера n доказательство включения PATH(m, n) — это множество хешей узлов-соседей на пути от листа к корню. Проверяющий, зная лист dₘ, индекс, размер n и корень rootₙ, пересчитывает корень; запись присутствует в заявленной позиции тогда и только тогда, когда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box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</m:e>
            </m:box>
            <m:d>
              <m:dPr>
                <m:begChr m:val="("/>
                <m:endChr m:val=")"/>
              </m:dPr>
              <m:e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r>
                          <m:rPr>
                            <m:sty m:val="i"/>
                          </m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box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</m:box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e>
            </m:d>
            <m:r>
              <m:rPr>
                <m:sty m:val="p"/>
              </m:rPr>
              <m:t>=</m:t>
            </m:r>
            <m:sSub>
              <m:e>
                <m:box>
                  <m:e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t</m:t>
                    </m:r>
                  </m:e>
                </m:box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|</m:t>
            </m:r>
            <m:box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H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(14)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Доказательство консистентности. Для двух размеров m &lt; n доказательство PROOF(m, n) подтверждает, что журнал размера n есть продолжение-надмножество журнала размера m, то есть журнал только дозаписывался и старые записи не менялись (свойство append-only [13]):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box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:</m:t>
            </m:r>
            <m:r>
              <m:rPr>
                <m:nor/>
              </m:rPr>
              <m:t> 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i"/>
                  </m:rPr>
                  <m:t>:</m:t>
                </m:r>
              </m:e>
            </m:box>
            <m:r>
              <m:rPr>
                <m:sty m:val="i"/>
              </m:rPr>
              <m:t>m</m:t>
            </m:r>
            <m:r>
              <m:rPr>
                <m:sty m:val="p"/>
              </m:rPr>
              <m:t>]</m:t>
            </m:r>
            <m:r>
              <m:rPr>
                <m:sty m:val="i"/>
              </m:rPr>
              <m:t>⪯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0</m:t>
            </m:r>
            <m:box>
              <m:e>
                <m:r>
                  <m:rPr>
                    <m:sty m:val="i"/>
                  </m:rPr>
                  <m:t>:</m:t>
                </m:r>
              </m:e>
            </m:box>
            <m:r>
              <m:rPr>
                <m:sty m:val="i"/>
              </m:rPr>
              <m:t>n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|</m:t>
            </m:r>
            <m:box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(15)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Подписанная голова дерева. Состояние журнала фиксируется подписанной головой дерева (signed tree head), включающей размер, корень и подпись ключом службы: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sSub>
              <m:e>
                <m:box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H</m:t>
                    </m:r>
                  </m:e>
                </m:box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d>
              <m:dPr>
                <m:begChr m:val="("/>
                <m:endChr m:val=")"/>
              </m:dPr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 </m:t>
                    </m:r>
                    <m:sSub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o</m:t>
                            </m:r>
                            <m:r>
                              <m:rPr>
                                <m:sty m:val="p"/>
                              </m:rPr>
                              <m:t>o</m:t>
                            </m:r>
                            <m:r>
                              <m:rPr>
                                <m:sty m:val="p"/>
                              </m:rPr>
                              <m:t>t</m:t>
                            </m:r>
                          </m:e>
                        </m:box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 </m:t>
                    </m:r>
                    <m:sSub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i</m:t>
                            </m:r>
                            <m:r>
                              <m:rPr>
                                <m:sty m:val="p"/>
                              </m:rPr>
                              <m:t>g</m:t>
                            </m:r>
                          </m:e>
                        </m:box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m:t>s</m:t>
                            </m:r>
                            <m:r>
                              <m:rPr>
                                <m:sty m:val="i"/>
                              </m:rPr>
                              <m:t>k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t/>
                    </m:r>
                    <m:r>
                      <m:rPr>
                        <m:sty m:val="p"/>
                      </m:rPr>
                      <m:t>‖</m:t>
                    </m:r>
                    <m:r>
                      <m:t/>
                    </m:r>
                    <m:sSub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o</m:t>
                            </m:r>
                            <m:r>
                              <m:rPr>
                                <m:sty m:val="p"/>
                              </m:rPr>
                              <m:t>o</m:t>
                            </m:r>
                            <m:r>
                              <m:rPr>
                                <m:sty m:val="p"/>
                              </m:rPr>
                              <m:t>t</m:t>
                            </m:r>
                          </m:e>
                        </m:box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box>
              </m:e>
            </m:d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(16)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делает состояние журнала подотчётным и неотрицаемым; периодический выпуск STH (checkpoint) соответствует практике публикации по каденции в Certificate Transparency.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Утверждение 2 (обнаружение фальсификации). Любое изменение исторической записи обнаруживается: при подмене листа пересчитанный по доказательству включения корень не совпадает с зафиксированным в STH, кроме события хеш-коллизии пренебрежимой вероятности:</w:t>
      </w:r>
    </w:p>
    <w:p>
      <w:pPr>
        <w:tabs>
          <w:tab w:pos="4819" w:val="center"/>
          <w:tab w:pos="9638" w:val="right"/>
        </w:tabs>
        <w:spacing w:line="360" w:lineRule="auto" w:before="80" w:after="80"/>
      </w:pPr>
      <w:r>
        <w:rPr>
          <w:rFonts w:ascii="Times New Roman" w:hAnsi="Times New Roman" w:eastAsia="Times New Roman"/>
          <w:b w:val="0"/>
          <w:i w:val="0"/>
          <w:sz w:val="28"/>
        </w:rPr>
        <w:tab/>
      </w:r>
      <m:oMath>
        <m:box>
          <m:e>
            <m:sSubSup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i"/>
                  </m:rPr>
                  <m:t>m</m:t>
                </m:r>
              </m:sub>
              <m:sup>
                <m:r>
                  <m:rPr>
                    <m:sty m:val="i"/>
                  </m:rPr>
                  <m:t>′</m:t>
                </m:r>
              </m:sup>
            </m:sSubSup>
            <m:r>
              <m:rPr>
                <m:sty m:val="p"/>
              </m:rPr>
              <m:t>≠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nor/>
              </m:rPr>
              <m:t> </m:t>
            </m:r>
            <m:r>
              <m:rPr>
                <m:sty m:val="p"/>
              </m:rPr>
              <m:t>⇒</m:t>
            </m:r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</m:e>
            </m:box>
            <m:d>
              <m:dPr>
                <m:begChr m:val="("/>
                <m:endChr m:val=")"/>
              </m:dPr>
              <m:e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r>
                          <m:rPr>
                            <m:sty m:val="i"/>
                          </m:rPr>
                          <m:t>m</m:t>
                        </m:r>
                      </m:sub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box>
                      <m:e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</m:box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e>
            </m:d>
            <m:r>
              <m:rPr>
                <m:sty m:val="p"/>
              </m:rPr>
              <m:t>≠</m:t>
            </m:r>
            <m:sSub>
              <m:e>
                <m:box>
                  <m:e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t</m:t>
                    </m:r>
                  </m:e>
                </m:box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t/>
            </m:r>
            <m:r>
              <m:rPr>
                <m:sty m:val="p"/>
              </m:rPr>
              <m:t>(</m:t>
            </m:r>
            <m:r>
              <m:rPr>
                <m:nor/>
              </m:rPr>
              <m:t>вер. коллизии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p"/>
                  </m:rPr>
                  <m:t>2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λ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/>
          <w:b w:val="0"/>
          <w:i w:val="0"/>
          <w:sz w:val="28"/>
        </w:rPr>
        <w:tab/>
        <w:t>(17)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Доказательство опирается на стойкость H к коллизиям: изменённый лист даёт иной хеш листа, что по рекурсии MTH меняет корень дерева; совпадение корней при dₘ′ ≠ dₘ требовало бы коллизии H, вероятность которой для λ-битного дайджеста пренебрежимо мала (порядка 2⁻λ).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Криптографическая гибкость и отечественные стандарты.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Алгоритмы хеширования и подписи в методе самоописываемы: тег алгоритма сопровождает каждый </w:t>
      </w:r>
      <w:r>
        <w:rPr>
          <w:rFonts w:ascii="Times New Roman" w:hAnsi="Times New Roman" w:eastAsia="Times New Roman"/>
          <w:b w:val="0"/>
          <w:i/>
          <w:sz w:val="28"/>
        </w:rPr>
        <w:t>Digest</w:t>
      </w:r>
      <w:r>
        <w:rPr>
          <w:rFonts w:ascii="Times New Roman" w:hAnsi="Times New Roman" w:eastAsia="Times New Roman"/>
          <w:b w:val="0"/>
          <w:i w:val="0"/>
          <w:sz w:val="28"/>
        </w:rPr>
        <w:t>/</w:t>
      </w:r>
      <w:r>
        <w:rPr>
          <w:rFonts w:ascii="Times New Roman" w:hAnsi="Times New Roman" w:eastAsia="Times New Roman"/>
          <w:b w:val="0"/>
          <w:i/>
          <w:sz w:val="28"/>
        </w:rPr>
        <w:t>Signature</w:t>
      </w:r>
      <w:r>
        <w:rPr>
          <w:rFonts w:ascii="Times New Roman" w:hAnsi="Times New Roman" w:eastAsia="Times New Roman"/>
          <w:b w:val="0"/>
          <w:i w:val="0"/>
          <w:sz w:val="28"/>
        </w:rPr>
        <w:t>, а сами хеширование и подпись реализованы как чистые стратегии за общим интерфейсом; загрузка ключей вынесена за порт (ввод-вывод отделён от криптографии). Поддерживаются семейства SHA-2, SHA-3 и «Стрибог» (ГОСТ Р 34.11-2012) [24, 25] для хеширования; Ed25519 [21] для подписи (с заделом под ГОСТ Р 34.10-2012 [22]); для симметричного шифрования — AES-256-GCM, ChaCha20-Poly1305 и отечественные «Кузнечик» и «Магма» (ГОСТ Р 34.12-2015) [26, 27] в режиме MGM. Одно дерево Меркла использует один алгоритм хеширования в пределах эпохи; смена алгоритма открывает новую эпоху, фиксируемую в подписанной голове дерева. Поддержка отечественных стандартов важна в контексте импортозамещения и применимости решения в российской инфраструктуре.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Поток аудита.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Путь пересылки событий не блокируется на записи в журнал: реализация помещает каждое значимое действие в ограниченную очередь, из которой единственный писатель (что обеспечивает порядок и отсутствие гонок) дозаписывает запись в журнал в собственной транзакции (рис. 8). Политика при переполнении очереди конфигурируема (блокировать либо явно сигнализировать метрикой о пропуске (разрыве журнала), но никогда молча). Дозапись выполняется за </w:t>
      </w:r>
      <w:r>
        <w:rPr>
          <w:rFonts w:ascii="Times New Roman" w:hAnsi="Times New Roman" w:eastAsia="Times New Roman"/>
          <w:b w:val="0"/>
          <w:i/>
          <w:sz w:val="28"/>
        </w:rPr>
        <w:t>O(1)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(прямое добавление листа), а пересчёт корня и доказательств — по запросу.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19988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998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7 – Дерево Меркла и доказательство включения записи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10194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01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8 – Поток аудита: очередь → единственный писатель → журнал прозрачности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Реализация системы.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Референс-реализация метода — шлюз Agate — построена на языке Rust (издание 2024) как рабочее пространство Cargo, где каждый ограниченный контекст (bounded context) вынесен в отдельный крейт. Архитектура следует принципам Clean Architecture [28] и Domain-Driven Design [29]: зависимости направлены только внутрь, слой </w:t>
      </w:r>
      <w:r>
        <w:rPr>
          <w:rFonts w:ascii="Times New Roman" w:hAnsi="Times New Roman" w:eastAsia="Times New Roman"/>
          <w:b w:val="0"/>
          <w:i/>
          <w:sz w:val="28"/>
        </w:rPr>
        <w:t>domain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остаётся «чистым» (без асинхронности, ввода-вывода и фреймворков), что структурно гарантируется ациклическим графом крейтов. Слои внутри контекста: </w:t>
      </w:r>
      <w:r>
        <w:rPr>
          <w:rFonts w:ascii="Times New Roman" w:hAnsi="Times New Roman" w:eastAsia="Times New Roman"/>
          <w:b w:val="0"/>
          <w:i/>
          <w:sz w:val="28"/>
        </w:rPr>
        <w:t>domain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→ </w:t>
      </w:r>
      <w:r>
        <w:rPr>
          <w:rFonts w:ascii="Times New Roman" w:hAnsi="Times New Roman" w:eastAsia="Times New Roman"/>
          <w:b w:val="0"/>
          <w:i/>
          <w:sz w:val="28"/>
        </w:rPr>
        <w:t>application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(сценарии использования по образцу CQRS) → </w:t>
      </w:r>
      <w:r>
        <w:rPr>
          <w:rFonts w:ascii="Times New Roman" w:hAnsi="Times New Roman" w:eastAsia="Times New Roman"/>
          <w:b w:val="0"/>
          <w:i/>
          <w:sz w:val="28"/>
        </w:rPr>
        <w:t>infrastructure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(адаптеры) → </w:t>
      </w:r>
      <w:r>
        <w:rPr>
          <w:rFonts w:ascii="Times New Roman" w:hAnsi="Times New Roman" w:eastAsia="Times New Roman"/>
          <w:b w:val="0"/>
          <w:i/>
          <w:sz w:val="28"/>
        </w:rPr>
        <w:t>presentation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(HTTP) → композиционный корень </w:t>
      </w:r>
      <w:r>
        <w:rPr>
          <w:rFonts w:ascii="Times New Roman" w:hAnsi="Times New Roman" w:eastAsia="Times New Roman"/>
          <w:b w:val="0"/>
          <w:i/>
          <w:sz w:val="28"/>
        </w:rPr>
        <w:t>setup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(сборка и внедрение зависимостей).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Контексты: </w:t>
      </w:r>
      <w:r>
        <w:rPr>
          <w:rFonts w:ascii="Times New Roman" w:hAnsi="Times New Roman" w:eastAsia="Times New Roman"/>
          <w:b w:val="0"/>
          <w:i/>
          <w:sz w:val="28"/>
        </w:rPr>
        <w:t>agate-crypto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(криптографическая гибкость — обобщённая подсистема-библиотека), </w:t>
      </w:r>
      <w:r>
        <w:rPr>
          <w:rFonts w:ascii="Times New Roman" w:hAnsi="Times New Roman" w:eastAsia="Times New Roman"/>
          <w:b w:val="0"/>
          <w:i/>
          <w:sz w:val="28"/>
        </w:rPr>
        <w:t>agate-audit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(журнал прозрачности), </w:t>
      </w:r>
      <w:r>
        <w:rPr>
          <w:rFonts w:ascii="Times New Roman" w:hAnsi="Times New Roman" w:eastAsia="Times New Roman"/>
          <w:b w:val="0"/>
          <w:i/>
          <w:sz w:val="28"/>
        </w:rPr>
        <w:t>agate-policy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(язык политик и решатель), </w:t>
      </w:r>
      <w:r>
        <w:rPr>
          <w:rFonts w:ascii="Times New Roman" w:hAnsi="Times New Roman" w:eastAsia="Times New Roman"/>
          <w:b w:val="0"/>
          <w:i/>
          <w:sz w:val="28"/>
        </w:rPr>
        <w:t>agate-proxy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(плоскость данных — прокси и инспекция), </w:t>
      </w:r>
      <w:r>
        <w:rPr>
          <w:rFonts w:ascii="Times New Roman" w:hAnsi="Times New Roman" w:eastAsia="Times New Roman"/>
          <w:b w:val="0"/>
          <w:i/>
          <w:sz w:val="28"/>
        </w:rPr>
        <w:t>agate-server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(композиционный корень, связывающий прокси и аудит через их публичные порты). Кросс-контекстные технические возможности (криптография) оформлены как библиотека с опубликованным интерфейсом, а не как общее доменное ядро. Внедрение зависимостей выполняется только в композиционном корне.</w:t>
      </w:r>
    </w:p>
    <w:p>
      <w:pPr>
        <w:keepNext/>
        <w:spacing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Проверка работоспособности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Стенд и методика.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Проверка проводилась на сквозном стенде: клиент → шлюз Agate (плоскость данных, порт </w:t>
      </w:r>
      <w:r>
        <w:rPr>
          <w:rFonts w:ascii="Times New Roman" w:hAnsi="Times New Roman" w:eastAsia="Times New Roman"/>
          <w:b w:val="0"/>
          <w:i/>
          <w:sz w:val="28"/>
        </w:rPr>
        <w:t>:8080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) → пример агента, реализующего протокол AG-UI (в качестве конкретной платформы использован фреймворк AG2/AutoGen, порт </w:t>
      </w:r>
      <w:r>
        <w:rPr>
          <w:rFonts w:ascii="Times New Roman" w:hAnsi="Times New Roman" w:eastAsia="Times New Roman"/>
          <w:b w:val="0"/>
          <w:i/>
          <w:sz w:val="28"/>
        </w:rPr>
        <w:t>:8000</w:t>
      </w:r>
      <w:r>
        <w:rPr>
          <w:rFonts w:ascii="Times New Roman" w:hAnsi="Times New Roman" w:eastAsia="Times New Roman"/>
          <w:b w:val="0"/>
          <w:i w:val="0"/>
          <w:sz w:val="28"/>
        </w:rPr>
        <w:t>) → LLM-провайдер (Mistral, OpenAI-совместимый API). Аудит — в контейнере PostgreSQL; межсессионная память — в контейнере Redis. Функциональная проверка выполнялась через реальные запросы к развёрнутому стенду; корректность контролей подтверждалась как на стороне клиентского потока (отсутствие запрещённого содержимого/кадров), так и на стороне журнала аудита (наличие соответствующих записей и проверка доказательства включения).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Функциональная проверка контролей. </w:t>
      </w:r>
      <w:r>
        <w:rPr>
          <w:rFonts w:ascii="Times New Roman" w:hAnsi="Times New Roman" w:eastAsia="Times New Roman"/>
          <w:b w:val="0"/>
          <w:i w:val="0"/>
          <w:sz w:val="28"/>
        </w:rPr>
        <w:t>Подтверждена работа рассмотренных контролей на живом стенде (см. рис. 9–10):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Авторизация инструментов: запрос запрещённого инструмента отклонён (кадры вызова не доходят до клиента), действие зафиксировано в журнале как </w:t>
      </w:r>
      <w:r>
        <w:rPr>
          <w:rFonts w:ascii="Times New Roman" w:hAnsi="Times New Roman" w:eastAsia="Times New Roman"/>
          <w:b w:val="0"/>
          <w:i/>
          <w:sz w:val="28"/>
        </w:rPr>
        <w:t>Deny</w:t>
      </w:r>
      <w:r>
        <w:rPr>
          <w:rFonts w:ascii="Times New Roman" w:hAnsi="Times New Roman" w:eastAsia="Times New Roman"/>
          <w:b w:val="0"/>
          <w:i w:val="0"/>
          <w:sz w:val="28"/>
        </w:rPr>
        <w:t>;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Инспекция аргументов: вызов с запрещённым значением аргумента отклонён, тогда как тот же инструмент с корректными аргументами разрешён;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Редакция секретов: секрет, сгенерированный моделью в ответе, замаскирован в клиентском потоке (утечки нет);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Скрининг SSRF: обращение к внутреннему адресу (в том числе через URL в JSON-аргументах и при повторной привязке DNS) отброшено;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Fail-closed: распознанное, но некорректное событие приводит к терминации потока (</w:t>
      </w:r>
      <w:r>
        <w:rPr>
          <w:rFonts w:ascii="Times New Roman" w:hAnsi="Times New Roman" w:eastAsia="Times New Roman"/>
          <w:b w:val="0"/>
          <w:i/>
          <w:sz w:val="28"/>
        </w:rPr>
        <w:t>RUN_ERROR</w:t>
      </w:r>
      <w:r>
        <w:rPr>
          <w:rFonts w:ascii="Times New Roman" w:hAnsi="Times New Roman" w:eastAsia="Times New Roman"/>
          <w:b w:val="0"/>
          <w:i w:val="0"/>
          <w:sz w:val="28"/>
        </w:rPr>
        <w:t>), а не к молчаливому пропуску;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Межсессионный карантин: запрещённый в первом прогоне инструмент отклонён при повторной попытке в новом прогоне той же сессии, но разрешён в изолированной другой сессии.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2374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37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9 – Пример: маскирование секрета в клиентском потоке (редакция)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4386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3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 – Пример: отклонение запрещённого вызова инструмента (403/Deny) и запись в журнале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Нагрузочная проверка. </w:t>
      </w:r>
      <w:r>
        <w:rPr>
          <w:rFonts w:ascii="Times New Roman" w:hAnsi="Times New Roman" w:eastAsia="Times New Roman"/>
          <w:b w:val="0"/>
          <w:i w:val="0"/>
          <w:sz w:val="28"/>
        </w:rPr>
        <w:t>Ключевой показатель — накладные расходы шлюза на обработку одного события. Основную вычислительную стоимость инспекции составляет синхронное решение политики (</w:t>
      </w:r>
      <w:r>
        <w:rPr>
          <w:rFonts w:ascii="Times New Roman" w:hAnsi="Times New Roman" w:eastAsia="Times New Roman"/>
          <w:b w:val="0"/>
          <w:i/>
          <w:sz w:val="28"/>
        </w:rPr>
        <w:t>PolicyService::decide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): чистая CPU-операция без ввода-вывода. Она измерена микро-бенчмарком на реалистичном наборе правил (список из 8 сопоставителей имён, 3 аргументных и 2 результатных правила, 4 шаблона секретов) над представительными типами событий. Оборудование: Apple M4 Pro (14 ядер), 24 ГБ ОЗУ; сборка </w:t>
      </w:r>
      <w:r>
        <w:rPr>
          <w:rFonts w:ascii="Times New Roman" w:hAnsi="Times New Roman" w:eastAsia="Times New Roman"/>
          <w:b w:val="0"/>
          <w:i/>
          <w:sz w:val="28"/>
        </w:rPr>
        <w:t>release</w:t>
      </w:r>
      <w:r>
        <w:rPr>
          <w:rFonts w:ascii="Times New Roman" w:hAnsi="Times New Roman" w:eastAsia="Times New Roman"/>
          <w:b w:val="0"/>
          <w:i w:val="0"/>
          <w:sz w:val="28"/>
        </w:rPr>
        <w:t>, rustc 1.96; один поток, 2·10⁶ итераций на тип, с прогревом. Методика исключает ввод-вывод, часы и ГСЧ из измеряемого пути. Результаты приведены в таблице 4.</w:t>
      </w:r>
    </w:p>
    <w:p>
      <w:pPr>
        <w:keepNext w:val="0"/>
        <w:spacing w:after="4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4. Задержка решения статического решателя политики по типам события (один поток, release, Apple M4 Pro)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Тип события (действие)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Применяемые правила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Задержка, нс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Пропускная способность, решений/с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Вызов инструмента — разрешён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авторизация имени + инспекция аргументов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221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4,5 млн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Вызов инструмента — запрет по имени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авторизация имени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63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15,9 млн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Вызов инструмента — запрет по аргументу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+ предикат по пути (JsonPath)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206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4,9 млн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Текстовое сообщение — без секрета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скан шаблонов секретов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278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3,6 млн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Текстовое сообщение — с секретом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скан + маскирование (Transform)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494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2,0 млн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 инструмента — без нарушений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правила результата + редакция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435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2,3 млн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Мутация состояния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детекция секрета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126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7,9 млн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Среднее по типам событий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260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3,8 млн</w:t>
            </w:r>
          </w:p>
        </w:tc>
      </w:tr>
    </w:tbl>
    <w:p>
      <w:pPr>
        <w:spacing w:after="80"/>
      </w:pP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per-event стоимость контроля составляет доли микросекунды (в среднем ≈ 0,26 мкс), а пропускная способность одного потока — порядка 3,8 млн решений в секунду; на фоне сетевой задержки и времени генерации LLM (десятки–сотни миллисекунд на событие) накладные расходы метода пренебрежимо малы. Подключаемые движки политик дороже, но остаются в микросекундном диапазоне: по замерам проекта интерпретатор CEL даёт единицы микросекунд на решение, а Rego (regorus, клонирование движка на решение) — порядка 12 мкс; оба на порядки ниже сетевой задержки.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Масштабируемость аудита. Дозапись в журнал прозрачности выполняется за постоянное время </w:t>
      </w:r>
      <w:r>
        <w:rPr>
          <w:rFonts w:ascii="Times New Roman" w:hAnsi="Times New Roman" w:eastAsia="Times New Roman"/>
          <w:b w:val="0"/>
          <w:i/>
          <w:sz w:val="28"/>
        </w:rPr>
        <w:t>O(1)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(прямое добавление одного листа). В таблице 5 сопоставлены наивная и реализованная схемы дозаписи (замеры проекта на журнале до ~500 записей).</w:t>
      </w:r>
    </w:p>
    <w:p>
      <w:pPr>
        <w:keepNext w:val="0"/>
        <w:spacing w:after="4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5. Масштабируемость дозаписи в журнал прозрачности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Реализация дозаписи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Задержка (журнал ~500 записей)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Сложность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Наивная (загрузка всех листьев → append → повторная вставка)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рост ~10× (6,9 → 68,6 мс)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O(n²)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Прямая одиночная дозапись (реализовано)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≈ 0,9 мс, практически постоянная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O(1)</w:t>
            </w:r>
          </w:p>
        </w:tc>
      </w:tr>
    </w:tbl>
    <w:p>
      <w:pPr>
        <w:spacing w:after="80"/>
      </w:pP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 проведён стресс-тест конкурентной записи: 64 параллельных прогона порождают 192 события, и все 192 записи детерминированно присутствуют в журнале, что эмпирически подтверждает отсутствие гонок и потерь на пути аудита (единственный писатель, последовательная дозапись).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Верификация неизменяемости (эксперимент по обнаружению фальсификации).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Для подтверждения защищённости от фальсификации проведён эксперимент из четырёх шагов (рис. 11). Сначала в журнал добавляется серия записей, фиксируется размер </w:t>
      </w:r>
      <w:r>
        <w:rPr>
          <w:rFonts w:ascii="Times New Roman" w:hAnsi="Times New Roman" w:eastAsia="Times New Roman"/>
          <w:b w:val="0"/>
          <w:i/>
          <w:sz w:val="28"/>
        </w:rPr>
        <w:t>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корень </w:t>
      </w:r>
      <w:r>
        <w:rPr>
          <w:rFonts w:ascii="Times New Roman" w:hAnsi="Times New Roman" w:eastAsia="Times New Roman"/>
          <w:b w:val="0"/>
          <w:i/>
          <w:sz w:val="28"/>
        </w:rPr>
        <w:t>root_n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Далее для выбранной записи формируется и проверяется доказательство включения — проверка проходит. Затем содержимое листа искажается (подмена одного байта записи). Наконец, повторная проверка доказательства включения относительно </w:t>
      </w:r>
      <w:r>
        <w:rPr>
          <w:rFonts w:ascii="Times New Roman" w:hAnsi="Times New Roman" w:eastAsia="Times New Roman"/>
          <w:b w:val="0"/>
          <w:i/>
          <w:sz w:val="28"/>
        </w:rPr>
        <w:t>root_n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не проходит. Таким образом любое изменение исторической записи обнаруживается несоответствием пересчитанного корня подписанной голове дерева, что и составляет свойство обнаружения фальсификации.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010798" cy="47548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0798" cy="475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 – Эксперимент обнаружения фальсификации: подмена листа → доказательство включения не проходит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Сравнение с готовыми решениями. </w:t>
      </w:r>
      <w:r>
        <w:rPr>
          <w:rFonts w:ascii="Times New Roman" w:hAnsi="Times New Roman" w:eastAsia="Times New Roman"/>
          <w:b w:val="0"/>
          <w:i w:val="0"/>
          <w:sz w:val="28"/>
        </w:rPr>
        <w:t>Сравнение референс-реализации с представителями основных классов средств защиты приведено в таблице 6. Возможности сторонних решений приведены по их открытой документации.</w:t>
      </w:r>
    </w:p>
    <w:p>
      <w:pPr>
        <w:keepNext w:val="0"/>
        <w:spacing w:after="4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6. Сравнение с готовыми решениями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NeMo Guardrails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Lakera Guard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LLM Guard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Сетевой firewall for AI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Agate (метод)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Форм-фактор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SaaS/API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Шлюз/edge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Обратный прокси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Уровень перехвата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Диалог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Сообщение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Ввод-вывод LLM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Сеть/промпт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Протокол агента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Изменение кода агента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Требуется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Требуется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Требуется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требуется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Авторизация инструментов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Ограниченно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Ограниченно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 (glob/regex + аргументы)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 состояния/результатов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Защита SSRF/DNS-rebinding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 (обе стороны)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Аудит с защитой от фальсификации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Редко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 (RFC 6962)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Криптографическая гибкость / ГОСТ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Открытость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</w:tbl>
    <w:p>
      <w:pPr>
        <w:spacing w:after="80"/>
      </w:pP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преимущества предложенного метода: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Протокол-уровневый перехват без изменения кода агента. В отличие от библиотек и классификаторов, встраиваемых в приложение и работающих на уровне отдельного сообщения, метод инспектирует семантику агентного протокола (жизненный цикл инструментов, состояние, результаты) прозрачно.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Доказуемая отказоустойчивая семантика. Свойство fail-closed для распознанных-но-некорректных событий сформулировано и обосновано, что исключает класс дефектов молчаливого пропуска.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Верифицируемый аудит. Журнал прозрачности RFC 6962 даёт криптографические доказательства включения и консистентности — свойство, отсутствующее у большинства аналогов и необходимое для подотчётности доверенного ИИ.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Криптографическая гибкость и отечественные стандарты. Поддержка «Стрибог»/«Кузнечик»/«Магма» делает решение применимым в российской инфраструктуре.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Архитектурная гибкость. Clean Architecture + DDD и гибкость выбора движков политик обеспечивают тестируемость, расширяемость и независимость ядра метода от конкретного языка политик.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Заключение. </w:t>
      </w:r>
      <w:r>
        <w:rPr>
          <w:rFonts w:ascii="Times New Roman" w:hAnsi="Times New Roman" w:eastAsia="Times New Roman"/>
          <w:b w:val="0"/>
          <w:i w:val="0"/>
          <w:sz w:val="28"/>
        </w:rPr>
        <w:t>В работе предложен и обоснован метод обеспечения безопасности агентных систем на основе больших языковых моделей, объединяющий прозрачный контроль политик на уровне протокола и защищённый от фальсификации верифицируемый аудит. Метод формализован как функция вердикта над типизированным потоком событий агента с доказуемым свойством fail-closed и реализован в виде программного шлюза Agate (Rust, Clean Architecture + DDD), включаемого в разрыв канала «клиент — агент» без изменения кода агента.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Показано, что предложенный подход перехватывает семантику агентного протокола (авторизация и аргументы инструментов, результаты, разделяемое состояние, обращения к сети) полнее, чем средства уровня отдельного сообщения, и дополнительно обеспечивает криптографически доказуемую неизменяемость журнала действий на основе модели RFC 6962 с криптографически гибкой схемой, поддерживающей отечественные стандарты. Функциональная проверка на сквозном стенде с реальной LLM, оценка масштабируемости и стресс-тест конкурентной записи, а также эксперимент по обнаружению фальсификации подтвердили работоспособность метода.</w:t>
      </w:r>
    </w:p>
    <w:p>
      <w:pPr>
        <w:keepNext w:val="0"/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Перспективы дальнейших исследований включают: расширение языка политик (в том числе подключаемый движок на основе WebAssembly за тем же портом </w:t>
      </w:r>
      <w:r>
        <w:rPr>
          <w:rFonts w:ascii="Times New Roman" w:hAnsi="Times New Roman" w:eastAsia="Times New Roman"/>
          <w:b w:val="0"/>
          <w:i/>
          <w:sz w:val="28"/>
        </w:rPr>
        <w:t>PolicyPort</w:t>
      </w:r>
      <w:r>
        <w:rPr>
          <w:rFonts w:ascii="Times New Roman" w:hAnsi="Times New Roman" w:eastAsia="Times New Roman"/>
          <w:b w:val="0"/>
          <w:i w:val="0"/>
          <w:sz w:val="28"/>
        </w:rPr>
        <w:t>); семантический анализ аргументов и состояния с привлечением моделей; внешнее «якорение» подписанных голов дерева; развитие поддержки отечественной подписи (ГОСТ Р 34.10-2012); а также стандартизацию модели угроз агентных систем в привязке к развивающимся отраслевым рамкам.</w:t>
      </w:r>
    </w:p>
    <w:p>
      <w:pPr>
        <w:keepNext/>
        <w:spacing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Литература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OWASP. Top 10 for LLM Applications 2025 [Электронный ресурс]. — Режим доступа: https://genai.owasp.org (дата обращения: 22.07.2026).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AG-UI: The Agent-User Interaction Protocol [Электронный ресурс]. — Режим доступа: https://github.com/ag-ui-protocol/ag-ui (дата обращения: 22.07.2026).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Greshake K., Abdelnabi S., Mishra S., Endres C., Holz T., Fritz M. Not What You've Signed Up For: Compromising Real-World LLM-Integrated Applications with Indirect Prompt Injection // Proceedings of the 16th ACM Workshop on Artificial Intelligence and Security (AISec'23). — 2023. — DOI: 10.1145/3605764.3623985.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Yu M. et al. A Survey on Trustworthy LLM Agents: Threats and Countermeasures // arXiv preprint. — 2025. — arXiv:2503.09648.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Navigating the Risks: A Survey of Security and Privacy Threats in LLM-Based Agents // ACM Transactions on Software Engineering and Methodology. — 2025. — DOI: 10.1145/3807666.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Debenedetti E. et al. AgentDojo: A Dynamic Environment to Evaluate Prompt Injection Attacks and Defenses for LLM Agents // Advances in Neural Information Processing Systems (NeurIPS). — 2024. — arXiv:2406.13352.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A Survey of Agentic AI and Cybersecurity: Challenges, Opportunities and Use-case Prototypes // arXiv preprint. — 2026. — arXiv:2601.05293.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Inan H. et al. Llama Guard: LLM-based Input-Output Safeguard for Human-AI Conversations // arXiv preprint. — 2023. — arXiv:2312.06674.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Rebedea T., Dinu R., Sreedhar M.N., Parisien C., Cohen J. NeMo Guardrails: A Toolkit for Controllable and Safe LLM Applications with Programmable Rails // Proceedings of the 2023 Conference on Empirical Methods in Natural Language Processing: System Demonstrations. — 2023. — P. 431–445. — DOI: 10.18653/v1/2023.emnlp-demo.40.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National Institute of Standards and Technology. Artificial Intelligence Risk Management Framework (AI RMF 1.0). NIST AI 100-1. — 2023.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11. National Institute of Standards and Technology. Artificial Intelligence Risk Management Framework: Generative Artificial Intelligence Profile. NIST AI 600-1. — 2024.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12. Laurie B., Langley A., Kasper E. Certificate Transparency. RFC 6962 // Internet Engineering Task Force (IETF). — 2013.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13. Crosby S.A., Wallach D.S. Efficient Data Structures for Tamper-Evident Logging // Proceedings of the 18th USENIX Security Symposium. — 2009. — P. 317–334.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14. Merkle R.C. A Digital Signature Based on a Conventional Encryption Function // Advances in Cryptology — CRYPTO'87, LNCS 293. — 1988. — P. 369–378. — DOI: 10.1007/3-540-48184-2_32.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15. OWASP. Top 10 for Agentic Applications [Электронный ресурс]. — 2025. — Режим доступа: https://genai.owasp.org (дата обращения: 22.07.2026).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16. MITRE. ATLAS: Adversarial Threat Landscape for Artificial-Intelligence Systems [Электронный ресурс]. — Режим доступа: https://atlas.mitre.org (дата обращения: 22.07.2026).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17. Liu Y. et al. Prompt Injection attack against LLM-integrated Applications // arXiv preprint. — 2023. — arXiv:2306.05499.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18. Зырянова И.Н., Чернавский А.С., Трубачев С.О. Prompt injection — проблема лингвистических уязвимостей больших языковых моделей на современном этапе // Научный результат. Вопросы теоретической и прикладной лингвистики. — 2024. — Т. 10, № 4. — С. 40–52. — DOI: 10.18413/2313-8912-2024-10-4-0-3.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19. Евглевская Н.В., Казанцев А.А. Обеспечение безопасности сложных систем с интеграцией больших языковых моделей: анализ угроз и методов защиты // Экономика и качество систем связи. — 2024. — № 4 (34). — С. 129–144.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20. Котенко И.В., Абраменко Г.Т. Использование больших языковых моделей для поиска угроз кибербезопасности на основе методов глубокого обучения: анализ современных исследований // Правовая информатика. — 2024. — № 3. — С. 32–42. — DOI: 10.24412/1994-1404-2024-3-32-42.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21. Bernstein D.J., Duif N., Lange T., Schwabe P., Yang B.-Y. High-speed high-security signatures // Journal of Cryptographic Engineering. — 2012. — Vol. 2, No. 2. — P. 77–89. — DOI: 10.1007/s13389-012-0027-1.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22. ГОСТ Р 34.10-2012. Информационная технология. Криптографическая защита информации. Процессы формирования и проверки электронной цифровой подписи. — М.: Стандартинформ, 2012.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23. Rose S., Borchert O., Mitchell S., Connelly S. Zero Trust Architecture. NIST Special Publication 800-207. — 2020.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24. Dolmatov V. (Ed.). GOST R 34.11-2012: Hash Function. RFC 6986 // IETF. — 2013.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25. ГОСТ Р 34.11-2012. Информационная технология. Криптографическая защита информации. Функция хэширования. — М.: Стандартинформ, 2012.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26. Dolmatov V. (Ed.). GOST R 34.12-2015: Block Cipher "Kuznyechik". RFC 7801 // IETF. — 2016.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27. ГОСТ Р 34.12-2015. Информационная технология. Криптографическая защита информации. Блочные шифры. — М.: Стандартинформ, 2015.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28. Martin R.C. Clean Architecture: A Craftsman's Guide to Software Structure and Design. — Prentice Hall, 2017. — 432 p.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29. Evans E. Domain-Driven Design: Tackling Complexity in the Heart of Software. — Boston: Addison-Wesley, 2003. — 560 p.</w:t>
      </w:r>
    </w:p>
    <w:p>
      <w:pPr>
        <w:keepNext/>
        <w:spacing w:after="8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Literature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OWASP. Top 10 for LLM Applications 2025. Available at: https://genai.owasp.org (accessed: 22.07.2026).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AG-UI: The Agent-User Interaction Protocol. Available at: https://github.com/ag-ui-protocol/ag-ui (accessed: 22.07.2026).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Greshake K., Abdelnabi S., Mishra S., Endres C., Holz T., Fritz M. Not What You've Signed Up For: Compromising Real-World LLM-Integrated Applications with Indirect Prompt Injection // AISec'23. 2023. DOI: 10.1145/3605764.3623985.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Yu M. et al. A Survey on Trustworthy LLM Agents: Threats and Countermeasures // arXiv:2503.09648. 2025.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Navigating the Risks: A Survey of Security and Privacy Threats in LLM-Based Agents // ACM TOSEM. 2025. DOI: 10.1145/3807666.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Debenedetti E. et al. AgentDojo: A Dynamic Environment to Evaluate Prompt Injection Attacks and Defenses for LLM Agents // NeurIPS 2024. arXiv:2406.13352.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A Survey of Agentic AI and Cybersecurity: Challenges, Opportunities and Use-case Prototypes // arXiv:2601.05293. 2026.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Inan H. et al. Llama Guard: LLM-based Input-Output Safeguard for Human-AI Conversations // arXiv:2312.06674. 2023.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Rebedea T., Dinu R., Sreedhar M.N., Parisien C., Cohen J. NeMo Guardrails: A Toolkit for Controllable and Safe LLM Applications with Programmable Rails // EMNLP 2023: System Demonstrations. P. 431–445. DOI: 10.18653/v1/2023.emnlp-demo.40.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NIST. Artificial Intelligence Risk Management Framework (AI RMF 1.0). NIST AI 100-1. 2023.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11. NIST. AI RMF: Generative Artificial Intelligence Profile. NIST AI 600-1. 2024.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12. Laurie B., Langley A., Kasper E. Certificate Transparency. RFC 6962. IETF, 2013.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13. Crosby S.A., Wallach D.S. Efficient Data Structures for Tamper-Evident Logging // 18th USENIX Security Symposium. 2009. P. 317–334.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14. Merkle R.C. A Digital Signature Based on a Conventional Encryption Function // CRYPTO'87, LNCS 293. 1988. P. 369–378. DOI: 10.1007/3-540-48184-2_32.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15. OWASP. Top 10 for Agentic Applications. 2025. Available at: https://genai.owasp.org (accessed: 22.07.2026).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16. MITRE. ATLAS: Adversarial Threat Landscape for Artificial-Intelligence Systems. Available at: https://atlas.mitre.org (accessed: 22.07.2026).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17. Liu Y. et al. Prompt Injection attack against LLM-integrated Applications // arXiv:2306.05499. 2023.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18. Zyryanova I.N., Chernavskiy A.S., Trubachev S.O. Prompt Injection — the Problem of Linguistic Vulnerabilities of Large Language Models at the Current Stage // Research Result. Theoretical and Applied Linguistics. 2024. Vol. 10, No. 4. P. 40–52. DOI: 10.18413/2313-8912-2024-10-4-0-3.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19. Evglevskaya N.V., Kazantsev A.A. Ensuring the Security of Complex Systems with the Integration of Large Language Models: Threat Analysis and Protection Methods // Economics and Quality of Communication Systems. 2024. No. 4 (34). P. 129–144.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20. Kotenko I.V., Abramenko G.T. Using Large Language Models for Cyber Threat Hunting Based on Deep Learning Methods: Analysis of Modern Research // Legal Informatics. 2024. No. 3. P. 32–42. DOI: 10.24412/1994-1404-2024-3-32-42.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21. Bernstein D.J., Duif N., Lange T., Schwabe P., Yang B.-Y. High-speed high-security signatures // Journal of Cryptographic Engineering. 2012. Vol. 2, No. 2. P. 77–89. DOI: 10.1007/s13389-012-0027-1.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22. GOST R 34.10-2012. Information technology. Cryptographic data security. Signature generation and verification processes. Moscow: Standartinform, 2012.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23. Rose S., Borchert O., Mitchell S., Connelly S. Zero Trust Architecture. NIST SP 800-207. 2020.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24. Dolmatov V. (Ed.). GOST R 34.11-2012: Hash Function. RFC 6986. IETF, 2013.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25. GOST R 34.11-2012. Information technology. Cryptographic data security. Hash function. Moscow: Standartinform, 2012.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26. Dolmatov V. (Ed.). GOST R 34.12-2015: Block Cipher "Kuznyechik". RFC 7801. IETF, 2016.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27. GOST R 34.12-2015. Information technology. Cryptographic data security. Block ciphers. Moscow: Standartinform, 2015.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28. Martin R.C. Clean Architecture: A Craftsman's Guide to Software Structure and Design. Prentice Hall, 2017. 432 p.</w:t>
      </w:r>
    </w:p>
    <w:p>
      <w:pPr>
        <w:spacing w:line="360" w:lineRule="auto" w:after="40"/>
        <w:ind w:left="420" w:hanging="4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29. Evans E. Domain-Driven Design: Tackling Complexity in the Heart of Software. Boston: Addison-Wesley, 2003. 560 p.</w:t>
      </w:r>
    </w:p>
    <w:sectPr w:rsidR="00FC693F" w:rsidRPr="0006063C" w:rsidSect="00034616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