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80"/>
      </w:pPr>
      <w:r>
        <w:rPr>
          <w:rFonts w:ascii="Arial" w:cs="Arial" w:eastAsia="Arial" w:hAnsi="Arial"/>
          <w:b/>
          <w:bCs/>
          <w:color w:val="1F4E79"/>
          <w:sz w:val="52"/>
          <w:szCs w:val="52"/>
        </w:rPr>
        <w:t xml:space="preserve">Predictive Maintenance</w:t>
      </w:r>
    </w:p>
    <w:p>
      <w:pPr>
        <w:spacing w:after="80"/>
      </w:pPr>
      <w:r>
        <w:rPr>
          <w:rFonts w:ascii="Arial" w:cs="Arial" w:eastAsia="Arial" w:hAnsi="Arial"/>
          <w:i/>
          <w:iCs/>
          <w:color w:val="2E75B6"/>
          <w:sz w:val="28"/>
          <w:szCs w:val="28"/>
        </w:rPr>
        <w:t xml:space="preserve">Using Transformer-Based Deep Learning for Industrial Failure Prediction</w:t>
      </w:r>
    </w:p>
    <w:p>
      <w:pPr>
        <w:pBdr>
          <w:bottom w:val="single" w:color="2E75B6" w:sz="8" w:space="4"/>
        </w:pBdr>
        <w:spacing w:after="60"/>
      </w:pPr>
      <w:r>
        <w:t xml:space="preserve"/>
      </w:r>
    </w:p>
    <w:p>
      <w:pPr>
        <w:spacing w:after="480"/>
      </w:pPr>
      <w:r>
        <w:rPr>
          <w:rFonts w:ascii="Arial" w:cs="Arial" w:eastAsia="Arial" w:hAnsi="Arial"/>
          <w:color w:val="888888"/>
          <w:sz w:val="20"/>
          <w:szCs w:val="20"/>
        </w:rPr>
        <w:t xml:space="preserve">Method Selection &amp; Experimental Results Report  |  Deep Learning Course</w:t>
      </w:r>
    </w:p>
    <w:p>
      <w:pPr>
        <w:pStyle w:val="Heading1"/>
        <w:spacing w:after="160" w:before="320"/>
      </w:pPr>
      <w:r>
        <w:rPr>
          <w:rFonts w:ascii="Arial" w:cs="Arial" w:eastAsia="Arial" w:hAnsi="Arial"/>
          <w:b/>
          <w:bCs/>
          <w:color w:val="1F4E79"/>
          <w:sz w:val="36"/>
          <w:szCs w:val="36"/>
        </w:rPr>
        <w:t xml:space="preserve">1. Introduction</w:t>
      </w:r>
    </w:p>
    <w:p>
      <w:pPr>
        <w:spacing w:after="120" w:line="280"/>
      </w:pPr>
      <w:r>
        <w:rPr>
          <w:rFonts w:ascii="Arial" w:cs="Arial" w:eastAsia="Arial" w:hAnsi="Arial"/>
          <w:sz w:val="22"/>
          <w:szCs w:val="22"/>
        </w:rPr>
        <w:t xml:space="preserve">This report presents the architecture selection rationale, design decisions, and experimental results for a </w:t>
      </w:r>
      <w:r>
        <w:rPr>
          <w:rFonts w:ascii="Arial" w:cs="Arial" w:eastAsia="Arial" w:hAnsi="Arial"/>
          <w:b/>
          <w:bCs/>
          <w:sz w:val="22"/>
          <w:szCs w:val="22"/>
        </w:rPr>
        <w:t xml:space="preserve">machine failure prediction system</w:t>
      </w:r>
      <w:r>
        <w:rPr>
          <w:rFonts w:ascii="Arial" w:cs="Arial" w:eastAsia="Arial" w:hAnsi="Arial"/>
          <w:sz w:val="22"/>
          <w:szCs w:val="22"/>
        </w:rPr>
        <w:t xml:space="preserve"> built on multivariate time series sensor data from an industrial production line. The system monitors four sensors — temperature, vibration, pressure, and RPM — and predicts whether a machine will fail within the next 30 seconds, enabling proactive maintenance intervention.</w:t>
      </w:r>
    </w:p>
    <w:p>
      <w:pPr>
        <w:spacing w:after="120" w:line="280"/>
      </w:pPr>
      <w:r>
        <w:rPr>
          <w:rFonts w:ascii="Arial" w:cs="Arial" w:eastAsia="Arial" w:hAnsi="Arial"/>
          <w:sz w:val="22"/>
          <w:szCs w:val="22"/>
        </w:rPr>
        <w:t xml:space="preserve">The core research question is: </w:t>
      </w:r>
      <w:r>
        <w:rPr>
          <w:rFonts w:ascii="Arial" w:cs="Arial" w:eastAsia="Arial" w:hAnsi="Arial"/>
          <w:i/>
          <w:iCs/>
          <w:sz w:val="22"/>
          <w:szCs w:val="22"/>
        </w:rPr>
        <w:t xml:space="preserve">which deep learning architecture best captures the temporal failure precursor patterns embedded in continuous sensor streams?</w:t>
      </w:r>
      <w:r>
        <w:rPr>
          <w:rFonts w:ascii="Arial" w:cs="Arial" w:eastAsia="Arial" w:hAnsi="Arial"/>
          <w:sz w:val="22"/>
          <w:szCs w:val="22"/>
        </w:rPr>
        <w:t xml:space="preserve"> We evaluated three candidate families — classical gradient boosting, recurrent networks (LSTM), and Transformer-based models — and selected the </w:t>
      </w:r>
      <w:r>
        <w:rPr>
          <w:rFonts w:ascii="Arial" w:cs="Arial" w:eastAsia="Arial" w:hAnsi="Arial"/>
          <w:b/>
          <w:bCs/>
          <w:sz w:val="22"/>
          <w:szCs w:val="22"/>
        </w:rPr>
        <w:t xml:space="preserve">PatchTST Transformer</w:t>
      </w:r>
      <w:r>
        <w:rPr>
          <w:rFonts w:ascii="Arial" w:cs="Arial" w:eastAsia="Arial" w:hAnsi="Arial"/>
          <w:sz w:val="22"/>
          <w:szCs w:val="22"/>
        </w:rPr>
        <w:t xml:space="preserve"> as our primary model based on both theoretical and empirical grounds.</w:t>
      </w:r>
    </w:p>
    <w:p>
      <w:pPr>
        <w:spacing w:after="80"/>
      </w:pPr>
      <w:r>
        <w:t xml:space="preserve"/>
      </w:r>
    </w:p>
    <w:p>
      <w:pPr>
        <w:pStyle w:val="Heading1"/>
        <w:spacing w:after="160" w:before="320"/>
      </w:pPr>
      <w:r>
        <w:rPr>
          <w:rFonts w:ascii="Arial" w:cs="Arial" w:eastAsia="Arial" w:hAnsi="Arial"/>
          <w:b/>
          <w:bCs/>
          <w:color w:val="1F4E79"/>
          <w:sz w:val="36"/>
          <w:szCs w:val="36"/>
        </w:rPr>
        <w:t xml:space="preserve">2. Problem Formulation</w:t>
      </w:r>
    </w:p>
    <w:p>
      <w:pPr>
        <w:spacing w:after="120" w:line="280"/>
      </w:pPr>
      <w:r>
        <w:rPr>
          <w:rFonts w:ascii="Arial" w:cs="Arial" w:eastAsia="Arial" w:hAnsi="Arial"/>
          <w:sz w:val="22"/>
          <w:szCs w:val="22"/>
        </w:rPr>
        <w:t xml:space="preserve">The task is framed as </w:t>
      </w:r>
      <w:r>
        <w:rPr>
          <w:rFonts w:ascii="Arial" w:cs="Arial" w:eastAsia="Arial" w:hAnsi="Arial"/>
          <w:b/>
          <w:bCs/>
          <w:sz w:val="22"/>
          <w:szCs w:val="22"/>
        </w:rPr>
        <w:t xml:space="preserve">binary sequence classification</w:t>
      </w:r>
      <w:r>
        <w:rPr>
          <w:rFonts w:ascii="Arial" w:cs="Arial" w:eastAsia="Arial" w:hAnsi="Arial"/>
          <w:sz w:val="22"/>
          <w:szCs w:val="22"/>
        </w:rPr>
        <w:t xml:space="preserve">. Each input sample is a window of 60 consecutive timesteps across 4 sensor channels. The label is 1 if a failure event occurs within 30 timesteps after the end of the window, and 0 otherwise. This formulation is standard in the predictive maintenance literature (Zhao et al., 2019; Lee et al., 2021).</w:t>
      </w:r>
    </w:p>
    <w:p>
      <w:pPr>
        <w:pStyle w:val="Heading3"/>
        <w:spacing w:after="80" w:before="180"/>
      </w:pPr>
      <w:r>
        <w:rPr>
          <w:rFonts w:ascii="Arial" w:cs="Arial" w:eastAsia="Arial" w:hAnsi="Arial"/>
          <w:b/>
          <w:bCs/>
          <w:color w:val="C55A11"/>
          <w:sz w:val="24"/>
          <w:szCs w:val="24"/>
        </w:rPr>
        <w:t xml:space="preserve">Dataset characteristics</w:t>
      </w:r>
    </w:p>
    <w:p>
      <w:pPr>
        <w:pStyle w:val="ListParagraph"/>
        <w:numPr>
          <w:ilvl w:val="0"/>
          <w:numId w:val="2"/>
        </w:numPr>
        <w:spacing w:after="80" w:line="280"/>
      </w:pPr>
      <w:r>
        <w:rPr>
          <w:rFonts w:ascii="Arial" w:cs="Arial" w:eastAsia="Arial" w:hAnsi="Arial"/>
          <w:b/>
          <w:bCs/>
          <w:sz w:val="22"/>
          <w:szCs w:val="22"/>
        </w:rPr>
        <w:t xml:space="preserve">50,000 timesteps</w:t>
      </w:r>
      <w:r>
        <w:rPr>
          <w:rFonts w:ascii="Arial" w:cs="Arial" w:eastAsia="Arial" w:hAnsi="Arial"/>
          <w:sz w:val="22"/>
          <w:szCs w:val="22"/>
        </w:rPr>
        <w:t xml:space="preserve"> sampled at 1 Hz, generating ~49,940 labelled sequence windows</w:t>
      </w:r>
    </w:p>
    <w:p>
      <w:pPr>
        <w:pStyle w:val="ListParagraph"/>
        <w:numPr>
          <w:ilvl w:val="0"/>
          <w:numId w:val="2"/>
        </w:numPr>
        <w:spacing w:after="80" w:line="280"/>
      </w:pPr>
      <w:r>
        <w:rPr>
          <w:rFonts w:ascii="Arial" w:cs="Arial" w:eastAsia="Arial" w:hAnsi="Arial"/>
          <w:b/>
          <w:bCs/>
          <w:sz w:val="22"/>
          <w:szCs w:val="22"/>
        </w:rPr>
        <w:t xml:space="preserve">4 sensor channels: </w:t>
      </w:r>
      <w:r>
        <w:rPr>
          <w:rFonts w:ascii="Arial" w:cs="Arial" w:eastAsia="Arial" w:hAnsi="Arial"/>
          <w:sz w:val="22"/>
          <w:szCs w:val="22"/>
        </w:rPr>
        <w:t xml:space="preserve">temperature (°C), vibration (mm/s), pressure (bar), RPM</w:t>
      </w:r>
    </w:p>
    <w:p>
      <w:pPr>
        <w:pStyle w:val="ListParagraph"/>
        <w:numPr>
          <w:ilvl w:val="0"/>
          <w:numId w:val="2"/>
        </w:numPr>
        <w:spacing w:after="80" w:line="280"/>
      </w:pPr>
      <w:r>
        <w:rPr>
          <w:rFonts w:ascii="Arial" w:cs="Arial" w:eastAsia="Arial" w:hAnsi="Arial"/>
          <w:b/>
          <w:bCs/>
          <w:sz w:val="22"/>
          <w:szCs w:val="22"/>
        </w:rPr>
        <w:t xml:space="preserve">3 injected failure modes: </w:t>
      </w:r>
      <w:r>
        <w:rPr>
          <w:rFonts w:ascii="Arial" w:cs="Arial" w:eastAsia="Arial" w:hAnsi="Arial"/>
          <w:sz w:val="22"/>
          <w:szCs w:val="22"/>
        </w:rPr>
        <w:t xml:space="preserve">overheat (temperature ramp), bearing wear (vibration drift + RPM drop), pressure drop (rapid pressure fall)</w:t>
      </w:r>
    </w:p>
    <w:p>
      <w:pPr>
        <w:pStyle w:val="ListParagraph"/>
        <w:numPr>
          <w:ilvl w:val="0"/>
          <w:numId w:val="2"/>
        </w:numPr>
        <w:spacing w:after="80" w:line="280"/>
      </w:pPr>
      <w:r>
        <w:rPr>
          <w:rFonts w:ascii="Arial" w:cs="Arial" w:eastAsia="Arial" w:hAnsi="Arial"/>
          <w:b/>
          <w:bCs/>
          <w:sz w:val="22"/>
          <w:szCs w:val="22"/>
        </w:rPr>
        <w:t xml:space="preserve">Class imbalance: </w:t>
      </w:r>
      <w:r>
        <w:rPr>
          <w:rFonts w:ascii="Arial" w:cs="Arial" w:eastAsia="Arial" w:hAnsi="Arial"/>
          <w:sz w:val="22"/>
          <w:szCs w:val="22"/>
        </w:rPr>
        <w:t xml:space="preserve">~1–2% of windows are labelled as pre-failure — realistic for industrial settings</w:t>
      </w:r>
    </w:p>
    <w:p>
      <w:pPr>
        <w:pStyle w:val="ListParagraph"/>
        <w:numPr>
          <w:ilvl w:val="0"/>
          <w:numId w:val="2"/>
        </w:numPr>
        <w:spacing w:after="80" w:line="280"/>
      </w:pPr>
      <w:r>
        <w:rPr>
          <w:rFonts w:ascii="Arial" w:cs="Arial" w:eastAsia="Arial" w:hAnsi="Arial"/>
          <w:b/>
          <w:bCs/>
          <w:sz w:val="22"/>
          <w:szCs w:val="22"/>
        </w:rPr>
        <w:t xml:space="preserve">Train / Val / Test split: </w:t>
      </w:r>
      <w:r>
        <w:rPr>
          <w:rFonts w:ascii="Arial" w:cs="Arial" w:eastAsia="Arial" w:hAnsi="Arial"/>
          <w:sz w:val="22"/>
          <w:szCs w:val="22"/>
        </w:rPr>
        <w:t xml:space="preserve">70% / 15% / 15% (chronological, no leakage)</w:t>
      </w:r>
    </w:p>
    <w:p>
      <w:pPr>
        <w:spacing w:after="80"/>
      </w:pPr>
      <w:r>
        <w:t xml:space="preserve"/>
      </w:r>
    </w:p>
    <w:p>
      <w:pPr>
        <w:shd w:fill="D6E4F0" w:val="clear"/>
        <w:spacing w:after="60" w:before="160" w:line="280"/>
        <w:ind w:left="200" w:right="200"/>
      </w:pPr>
      <w:r>
        <w:rPr>
          <w:rFonts w:ascii="Arial" w:cs="Arial" w:eastAsia="Arial" w:hAnsi="Arial"/>
          <w:b/>
          <w:bCs/>
          <w:color w:val="1F4E79"/>
          <w:sz w:val="20"/>
          <w:szCs w:val="20"/>
        </w:rPr>
        <w:t xml:space="preserve">Key insight:  </w:t>
      </w:r>
      <w:r>
        <w:rPr>
          <w:rFonts w:ascii="Arial" w:cs="Arial" w:eastAsia="Arial" w:hAnsi="Arial"/>
          <w:color w:val="1A1A1A"/>
          <w:sz w:val="20"/>
          <w:szCs w:val="20"/>
        </w:rPr>
        <w:t xml:space="preserve">Machine failures do not appear instantaneously. Each failure mode produces a characteristic temporal signature that unfolds over tens to hundreds of timesteps. An effective model must capture these long-range dependencies — a property that strongly motivates the use of attention-based architectures.</w:t>
      </w:r>
    </w:p>
    <w:p>
      <w:pPr>
        <w:shd w:fill="D6E4F0" w:val="clear"/>
        <w:spacing w:after="160"/>
        <w:ind w:left="200" w:right="200"/>
      </w:pPr>
      <w:r>
        <w:t xml:space="preserve"/>
      </w:r>
    </w:p>
    <w:p>
      <w:pPr>
        <w:pStyle w:val="Heading1"/>
        <w:spacing w:after="160" w:before="320"/>
      </w:pPr>
      <w:r>
        <w:rPr>
          <w:rFonts w:ascii="Arial" w:cs="Arial" w:eastAsia="Arial" w:hAnsi="Arial"/>
          <w:b/>
          <w:bCs/>
          <w:color w:val="1F4E79"/>
          <w:sz w:val="36"/>
          <w:szCs w:val="36"/>
        </w:rPr>
        <w:t xml:space="preserve">3. Architecture Selection</w:t>
      </w:r>
    </w:p>
    <w:p>
      <w:pPr>
        <w:pStyle w:val="Heading2"/>
        <w:pBdr>
          <w:bottom w:val="single" w:color="2E75B6" w:sz="6" w:space="1"/>
        </w:pBdr>
        <w:spacing w:after="120" w:before="240"/>
      </w:pPr>
      <w:r>
        <w:rPr>
          <w:rFonts w:ascii="Arial" w:cs="Arial" w:eastAsia="Arial" w:hAnsi="Arial"/>
          <w:b/>
          <w:bCs/>
          <w:color w:val="2E75B6"/>
          <w:sz w:val="28"/>
          <w:szCs w:val="28"/>
        </w:rPr>
        <w:t xml:space="preserve">3.1  Why Not Classical Machine Learning?</w:t>
      </w:r>
    </w:p>
    <w:p>
      <w:pPr>
        <w:spacing w:after="120" w:line="280"/>
      </w:pPr>
      <w:r>
        <w:rPr>
          <w:rFonts w:ascii="Arial" w:cs="Arial" w:eastAsia="Arial" w:hAnsi="Arial"/>
          <w:sz w:val="22"/>
          <w:szCs w:val="22"/>
        </w:rPr>
        <w:t xml:space="preserve">Classical approaches such as XGBoost or Random Forest operate on </w:t>
      </w:r>
      <w:r>
        <w:rPr>
          <w:rFonts w:ascii="Arial" w:cs="Arial" w:eastAsia="Arial" w:hAnsi="Arial"/>
          <w:b/>
          <w:bCs/>
          <w:sz w:val="22"/>
          <w:szCs w:val="22"/>
        </w:rPr>
        <w:t xml:space="preserve">hand-engineered features</w:t>
      </w:r>
      <w:r>
        <w:rPr>
          <w:rFonts w:ascii="Arial" w:cs="Arial" w:eastAsia="Arial" w:hAnsi="Arial"/>
          <w:sz w:val="22"/>
          <w:szCs w:val="22"/>
        </w:rPr>
        <w:t xml:space="preserve"> derived from the raw signal — rolling means, standard deviations, FFT peaks, and rate-of-change statistics. While effective in production deployments with limited data, this approach has two critical drawbacks for a deep learning project:</w:t>
      </w:r>
    </w:p>
    <w:p>
      <w:pPr>
        <w:pStyle w:val="ListParagraph"/>
        <w:numPr>
          <w:ilvl w:val="0"/>
          <w:numId w:val="2"/>
        </w:numPr>
        <w:spacing w:after="80" w:line="280"/>
      </w:pPr>
      <w:r>
        <w:rPr>
          <w:rFonts w:ascii="Arial" w:cs="Arial" w:eastAsia="Arial" w:hAnsi="Arial"/>
          <w:b/>
          <w:bCs/>
          <w:sz w:val="22"/>
          <w:szCs w:val="22"/>
        </w:rPr>
        <w:t xml:space="preserve">Feature engineering dependency: </w:t>
      </w:r>
      <w:r>
        <w:rPr>
          <w:rFonts w:ascii="Arial" w:cs="Arial" w:eastAsia="Arial" w:hAnsi="Arial"/>
          <w:sz w:val="22"/>
          <w:szCs w:val="22"/>
        </w:rPr>
        <w:t xml:space="preserve">the model quality is bounded by the quality of manually crafted features, requiring domain expertise to capture subtle failure signatures</w:t>
      </w:r>
    </w:p>
    <w:p>
      <w:pPr>
        <w:pStyle w:val="ListParagraph"/>
        <w:numPr>
          <w:ilvl w:val="0"/>
          <w:numId w:val="2"/>
        </w:numPr>
        <w:spacing w:after="80" w:line="280"/>
      </w:pPr>
      <w:r>
        <w:rPr>
          <w:rFonts w:ascii="Arial" w:cs="Arial" w:eastAsia="Arial" w:hAnsi="Arial"/>
          <w:b/>
          <w:bCs/>
          <w:sz w:val="22"/>
          <w:szCs w:val="22"/>
        </w:rPr>
        <w:t xml:space="preserve">No temporal structure: </w:t>
      </w:r>
      <w:r>
        <w:rPr>
          <w:rFonts w:ascii="Arial" w:cs="Arial" w:eastAsia="Arial" w:hAnsi="Arial"/>
          <w:sz w:val="22"/>
          <w:szCs w:val="22"/>
        </w:rPr>
        <w:t xml:space="preserve">tree-based models treat each feature vector as independent, discarding the sequential ordering that encodes failure progression</w:t>
      </w:r>
    </w:p>
    <w:p>
      <w:pPr>
        <w:spacing w:after="120" w:line="280"/>
      </w:pPr>
      <w:r>
        <w:rPr>
          <w:rFonts w:ascii="Arial" w:cs="Arial" w:eastAsia="Arial" w:hAnsi="Arial"/>
          <w:sz w:val="22"/>
          <w:szCs w:val="22"/>
        </w:rPr>
        <w:t xml:space="preserve">For a deep learning course, classical ML also fails to demonstrate the mechanisms we are studying — gradient-based optimisation, representational learning, and attention.</w:t>
      </w:r>
    </w:p>
    <w:p>
      <w:pPr>
        <w:pStyle w:val="Heading2"/>
        <w:pBdr>
          <w:bottom w:val="single" w:color="2E75B6" w:sz="6" w:space="1"/>
        </w:pBdr>
        <w:spacing w:after="120" w:before="240"/>
      </w:pPr>
      <w:r>
        <w:rPr>
          <w:rFonts w:ascii="Arial" w:cs="Arial" w:eastAsia="Arial" w:hAnsi="Arial"/>
          <w:b/>
          <w:bCs/>
          <w:color w:val="2E75B6"/>
          <w:sz w:val="28"/>
          <w:szCs w:val="28"/>
        </w:rPr>
        <w:t xml:space="preserve">3.2  Why Not a Standard LSTM?</w:t>
      </w:r>
    </w:p>
    <w:p>
      <w:pPr>
        <w:spacing w:after="120" w:line="280"/>
      </w:pPr>
      <w:r>
        <w:rPr>
          <w:rFonts w:ascii="Arial" w:cs="Arial" w:eastAsia="Arial" w:hAnsi="Arial"/>
          <w:sz w:val="22"/>
          <w:szCs w:val="22"/>
        </w:rPr>
        <w:t xml:space="preserve">Long Short-Term Memory networks (Hochreiter &amp; Schmidhuber, 1997) are the canonical baseline for time series classification. They process sequences step-by-step, maintaining a hidden state that summarises past context. We include an LSTM as our </w:t>
      </w:r>
      <w:r>
        <w:rPr>
          <w:rFonts w:ascii="Arial" w:cs="Arial" w:eastAsia="Arial" w:hAnsi="Arial"/>
          <w:b/>
          <w:bCs/>
          <w:sz w:val="22"/>
          <w:szCs w:val="22"/>
        </w:rPr>
        <w:t xml:space="preserve">comparison baseline</w:t>
      </w:r>
      <w:r>
        <w:rPr>
          <w:rFonts w:ascii="Arial" w:cs="Arial" w:eastAsia="Arial" w:hAnsi="Arial"/>
          <w:sz w:val="22"/>
          <w:szCs w:val="22"/>
        </w:rPr>
        <w:t xml:space="preserve"> for three reasons:</w:t>
      </w:r>
    </w:p>
    <w:p>
      <w:pPr>
        <w:pStyle w:val="ListParagraph"/>
        <w:numPr>
          <w:ilvl w:val="0"/>
          <w:numId w:val="2"/>
        </w:numPr>
        <w:spacing w:after="80" w:line="280"/>
      </w:pPr>
      <w:r>
        <w:rPr>
          <w:rFonts w:ascii="Arial" w:cs="Arial" w:eastAsia="Arial" w:hAnsi="Arial"/>
          <w:sz w:val="22"/>
          <w:szCs w:val="22"/>
        </w:rPr>
        <w:t xml:space="preserve">LSTMs are the standard recurrent baseline in the predictive maintenance literature</w:t>
      </w:r>
    </w:p>
    <w:p>
      <w:pPr>
        <w:pStyle w:val="ListParagraph"/>
        <w:numPr>
          <w:ilvl w:val="0"/>
          <w:numId w:val="2"/>
        </w:numPr>
        <w:spacing w:after="80" w:line="280"/>
      </w:pPr>
      <w:r>
        <w:rPr>
          <w:rFonts w:ascii="Arial" w:cs="Arial" w:eastAsia="Arial" w:hAnsi="Arial"/>
          <w:sz w:val="22"/>
          <w:szCs w:val="22"/>
        </w:rPr>
        <w:t xml:space="preserve">They require no special positional encoding, making them easy to implement correctly</w:t>
      </w:r>
    </w:p>
    <w:p>
      <w:pPr>
        <w:pStyle w:val="ListParagraph"/>
        <w:numPr>
          <w:ilvl w:val="0"/>
          <w:numId w:val="2"/>
        </w:numPr>
        <w:spacing w:after="80" w:line="280"/>
      </w:pPr>
      <w:r>
        <w:rPr>
          <w:rFonts w:ascii="Arial" w:cs="Arial" w:eastAsia="Arial" w:hAnsi="Arial"/>
          <w:sz w:val="22"/>
          <w:szCs w:val="22"/>
        </w:rPr>
        <w:t xml:space="preserve">They provide a meaningful performance floor: if the Transformer cannot outperform an LSTM, the added complexity is unjustified</w:t>
      </w:r>
    </w:p>
    <w:p>
      <w:pPr>
        <w:spacing w:after="120" w:line="280"/>
      </w:pPr>
      <w:r>
        <w:rPr>
          <w:rFonts w:ascii="Arial" w:cs="Arial" w:eastAsia="Arial" w:hAnsi="Arial"/>
          <w:sz w:val="22"/>
          <w:szCs w:val="22"/>
        </w:rPr>
        <w:t xml:space="preserve">However, LSTMs have a fundamental architectural limitation: they process tokens </w:t>
      </w:r>
      <w:r>
        <w:rPr>
          <w:rFonts w:ascii="Arial" w:cs="Arial" w:eastAsia="Arial" w:hAnsi="Arial"/>
          <w:b/>
          <w:bCs/>
          <w:sz w:val="22"/>
          <w:szCs w:val="22"/>
        </w:rPr>
        <w:t xml:space="preserve">sequentially</w:t>
      </w:r>
      <w:r>
        <w:rPr>
          <w:rFonts w:ascii="Arial" w:cs="Arial" w:eastAsia="Arial" w:hAnsi="Arial"/>
          <w:sz w:val="22"/>
          <w:szCs w:val="22"/>
        </w:rPr>
        <w:t xml:space="preserve">, which prevents parallelisation during training and makes it difficult to model dependencies between distant timesteps. In our 60-step windows, a bearing wear signature can begin 40+ steps before the failure event — precisely the kind of long-range dependency that LSTMs handle poorly due to vanishing gradients.</w:t>
      </w:r>
    </w:p>
    <w:p>
      <w:pPr>
        <w:pStyle w:val="Heading2"/>
        <w:pBdr>
          <w:bottom w:val="single" w:color="2E75B6" w:sz="6" w:space="1"/>
        </w:pBdr>
        <w:spacing w:after="120" w:before="240"/>
      </w:pPr>
      <w:r>
        <w:rPr>
          <w:rFonts w:ascii="Arial" w:cs="Arial" w:eastAsia="Arial" w:hAnsi="Arial"/>
          <w:b/>
          <w:bCs/>
          <w:color w:val="2E75B6"/>
          <w:sz w:val="28"/>
          <w:szCs w:val="28"/>
        </w:rPr>
        <w:t xml:space="preserve">3.3  Why PatchTST Transformer?</w:t>
      </w:r>
    </w:p>
    <w:p>
      <w:pPr>
        <w:spacing w:after="120" w:line="280"/>
      </w:pPr>
      <w:r>
        <w:rPr>
          <w:rFonts w:ascii="Arial" w:cs="Arial" w:eastAsia="Arial" w:hAnsi="Arial"/>
          <w:sz w:val="22"/>
          <w:szCs w:val="22"/>
        </w:rPr>
        <w:t xml:space="preserve">The </w:t>
      </w:r>
      <w:r>
        <w:rPr>
          <w:rFonts w:ascii="Arial" w:cs="Arial" w:eastAsia="Arial" w:hAnsi="Arial"/>
          <w:b/>
          <w:bCs/>
          <w:sz w:val="22"/>
          <w:szCs w:val="22"/>
        </w:rPr>
        <w:t xml:space="preserve">PatchTST</w:t>
      </w:r>
      <w:r>
        <w:rPr>
          <w:rFonts w:ascii="Arial" w:cs="Arial" w:eastAsia="Arial" w:hAnsi="Arial"/>
          <w:sz w:val="22"/>
          <w:szCs w:val="22"/>
        </w:rPr>
        <w:t xml:space="preserve"> architecture (Nie et al., 2023, NeurIPS) extends the Vision Transformer (ViT) design to time series by introducing two key ideas that directly address the limitations above:</w:t>
      </w:r>
    </w:p>
    <w:p>
      <w:pPr>
        <w:pStyle w:val="Heading3"/>
        <w:spacing w:after="80" w:before="180"/>
      </w:pPr>
      <w:r>
        <w:rPr>
          <w:rFonts w:ascii="Arial" w:cs="Arial" w:eastAsia="Arial" w:hAnsi="Arial"/>
          <w:b/>
          <w:bCs/>
          <w:color w:val="C55A11"/>
          <w:sz w:val="24"/>
          <w:szCs w:val="24"/>
        </w:rPr>
        <w:t xml:space="preserve">3.3.1  Patch tokenisation</w:t>
      </w:r>
    </w:p>
    <w:p>
      <w:pPr>
        <w:spacing w:after="120" w:line="280"/>
      </w:pPr>
      <w:r>
        <w:rPr>
          <w:rFonts w:ascii="Arial" w:cs="Arial" w:eastAsia="Arial" w:hAnsi="Arial"/>
          <w:sz w:val="22"/>
          <w:szCs w:val="22"/>
        </w:rPr>
        <w:t xml:space="preserve">Rather than feeding one token per timestep (which creates 60 tokens for a length-60 window and dilutes each token's semantic content), PatchTST divides the sequence into </w:t>
      </w:r>
      <w:r>
        <w:rPr>
          <w:rFonts w:ascii="Arial" w:cs="Arial" w:eastAsia="Arial" w:hAnsi="Arial"/>
          <w:b/>
          <w:bCs/>
          <w:sz w:val="22"/>
          <w:szCs w:val="22"/>
        </w:rPr>
        <w:t xml:space="preserve">non-overlapping patches</w:t>
      </w:r>
      <w:r>
        <w:rPr>
          <w:rFonts w:ascii="Arial" w:cs="Arial" w:eastAsia="Arial" w:hAnsi="Arial"/>
          <w:sz w:val="22"/>
          <w:szCs w:val="22"/>
        </w:rPr>
        <w:t xml:space="preserve"> of length P. In our configuration, P = 12, yielding 5 patches per channel. Each patch is linearly projected into a d-dimensional embedding.</w:t>
      </w:r>
    </w:p>
    <w:p>
      <w:pPr>
        <w:spacing w:after="120" w:line="280"/>
      </w:pPr>
      <w:r>
        <w:rPr>
          <w:rFonts w:ascii="Arial" w:cs="Arial" w:eastAsia="Arial" w:hAnsi="Arial"/>
          <w:sz w:val="22"/>
          <w:szCs w:val="22"/>
        </w:rPr>
        <w:t xml:space="preserve">This is analogous to how the Vision Transformer treats image patches: each token carries </w:t>
      </w:r>
      <w:r>
        <w:rPr>
          <w:rFonts w:ascii="Arial" w:cs="Arial" w:eastAsia="Arial" w:hAnsi="Arial"/>
          <w:b/>
          <w:bCs/>
          <w:sz w:val="22"/>
          <w:szCs w:val="22"/>
        </w:rPr>
        <w:t xml:space="preserve">local temporal context</w:t>
      </w:r>
      <w:r>
        <w:rPr>
          <w:rFonts w:ascii="Arial" w:cs="Arial" w:eastAsia="Arial" w:hAnsi="Arial"/>
          <w:sz w:val="22"/>
          <w:szCs w:val="22"/>
        </w:rPr>
        <w:t xml:space="preserve"> (a 12-second window of sensor data) rather than a single noisy point measurement. This makes the tokens semantically richer and reduces the sequence length by a factor of 12, drastically lowering the computational cost of self-attention from O(T²) to O((T/P)²).</w:t>
      </w:r>
    </w:p>
    <w:p>
      <w:pPr>
        <w:pStyle w:val="Heading3"/>
        <w:spacing w:after="80" w:before="180"/>
      </w:pPr>
      <w:r>
        <w:rPr>
          <w:rFonts w:ascii="Arial" w:cs="Arial" w:eastAsia="Arial" w:hAnsi="Arial"/>
          <w:b/>
          <w:bCs/>
          <w:color w:val="C55A11"/>
          <w:sz w:val="24"/>
          <w:szCs w:val="24"/>
        </w:rPr>
        <w:t xml:space="preserve">3.3.2  Channel-independent processing</w:t>
      </w:r>
    </w:p>
    <w:p>
      <w:pPr>
        <w:spacing w:after="120" w:line="280"/>
      </w:pPr>
      <w:r>
        <w:rPr>
          <w:rFonts w:ascii="Arial" w:cs="Arial" w:eastAsia="Arial" w:hAnsi="Arial"/>
          <w:sz w:val="22"/>
          <w:szCs w:val="22"/>
        </w:rPr>
        <w:t xml:space="preserve">Each sensor channel is processed independently through the patch embedding and Transformer encoder, then the channel representations are concatenated before the classification head. This </w:t>
      </w:r>
      <w:r>
        <w:rPr>
          <w:rFonts w:ascii="Arial" w:cs="Arial" w:eastAsia="Arial" w:hAnsi="Arial"/>
          <w:b/>
          <w:bCs/>
          <w:sz w:val="22"/>
          <w:szCs w:val="22"/>
        </w:rPr>
        <w:t xml:space="preserve">channel-independent</w:t>
      </w:r>
      <w:r>
        <w:rPr>
          <w:rFonts w:ascii="Arial" w:cs="Arial" w:eastAsia="Arial" w:hAnsi="Arial"/>
          <w:sz w:val="22"/>
          <w:szCs w:val="22"/>
        </w:rPr>
        <w:t xml:space="preserve"> design prevents channels from confusing each other's patterns during attention and allows the model to learn sensor-specific temporal signatures cleanly.</w:t>
      </w:r>
    </w:p>
    <w:p>
      <w:pPr>
        <w:pStyle w:val="Heading3"/>
        <w:spacing w:after="80" w:before="180"/>
      </w:pPr>
      <w:r>
        <w:rPr>
          <w:rFonts w:ascii="Arial" w:cs="Arial" w:eastAsia="Arial" w:hAnsi="Arial"/>
          <w:b/>
          <w:bCs/>
          <w:color w:val="C55A11"/>
          <w:sz w:val="24"/>
          <w:szCs w:val="24"/>
        </w:rPr>
        <w:t xml:space="preserve">3.3.3  Self-attention for long-range dependency</w:t>
      </w:r>
    </w:p>
    <w:p>
      <w:pPr>
        <w:spacing w:after="120" w:line="280"/>
      </w:pPr>
      <w:r>
        <w:rPr>
          <w:rFonts w:ascii="Arial" w:cs="Arial" w:eastAsia="Arial" w:hAnsi="Arial"/>
          <w:sz w:val="22"/>
          <w:szCs w:val="22"/>
        </w:rPr>
        <w:t xml:space="preserve">The self-attention mechanism computes a weighted sum over all patch positions simultaneously. For each query patch, it learns which other patches are relevant — regardless of their temporal distance. This directly enables the model to connect an early vibration anomaly (patch 1) with a later RPM drop (patch 4), which is precisely the signature of bearing wear failure.</w:t>
      </w:r>
    </w:p>
    <w:p>
      <w:pPr>
        <w:spacing w:after="120" w:line="280"/>
      </w:pPr>
      <w:r>
        <w:rPr>
          <w:rFonts w:ascii="Arial" w:cs="Arial" w:eastAsia="Arial" w:hAnsi="Arial"/>
          <w:sz w:val="22"/>
          <w:szCs w:val="22"/>
        </w:rPr>
        <w:t xml:space="preserve">Critically, attention weights are </w:t>
      </w:r>
      <w:r>
        <w:rPr>
          <w:rFonts w:ascii="Arial" w:cs="Arial" w:eastAsia="Arial" w:hAnsi="Arial"/>
          <w:b/>
          <w:bCs/>
          <w:sz w:val="22"/>
          <w:szCs w:val="22"/>
        </w:rPr>
        <w:t xml:space="preserve">inspectable</w:t>
      </w:r>
      <w:r>
        <w:rPr>
          <w:rFonts w:ascii="Arial" w:cs="Arial" w:eastAsia="Arial" w:hAnsi="Arial"/>
          <w:sz w:val="22"/>
          <w:szCs w:val="22"/>
        </w:rPr>
        <w:t xml:space="preserve">: after training, we can visualise which patches receive high attention immediately before a predicted failure, providing a degree of interpretability absent from LSTM models.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300"/>
        <w:gridCol w:w="2230"/>
        <w:gridCol w:w="2230"/>
      </w:tblGrid>
      <w:tr>
        <w:trPr>
          <w:tblHeader/>
        </w:trPr>
        <w:tc>
          <w:tcPr>
            <w:tcW w:type="dxa" w:w="2600"/>
            <w:tcBorders>
              <w:top w:val="single" w:color="2E75B6" w:sz="1"/>
              <w:left w:val="single" w:color="2E75B6" w:sz="1"/>
              <w:bottom w:val="single" w:color="2E75B6" w:sz="1"/>
              <w:right w:val="single" w:color="2E75B6" w:sz="1"/>
            </w:tcBorders>
            <w:shd w:fill="2E75B6" w:val="clear"/>
            <w:tcMar>
              <w:top w:type="dxa" w:w="80"/>
              <w:left w:type="dxa" w:w="140"/>
              <w:bottom w:type="dxa" w:w="80"/>
              <w:right w:type="dxa" w:w="140"/>
            </w:tcMar>
          </w:tcPr>
          <w:p>
            <w:pPr>
              <w:spacing w:after="0"/>
            </w:pPr>
            <w:r>
              <w:rPr>
                <w:rFonts w:ascii="Arial" w:cs="Arial" w:eastAsia="Arial" w:hAnsi="Arial"/>
                <w:b/>
                <w:bCs/>
                <w:color w:val="FFFFFF"/>
                <w:sz w:val="20"/>
                <w:szCs w:val="20"/>
              </w:rPr>
              <w:t xml:space="preserve">Criterion</w:t>
            </w:r>
          </w:p>
        </w:tc>
        <w:tc>
          <w:tcPr>
            <w:tcW w:type="dxa" w:w="2300"/>
            <w:tcBorders>
              <w:top w:val="single" w:color="2E75B6" w:sz="1"/>
              <w:left w:val="single" w:color="2E75B6" w:sz="1"/>
              <w:bottom w:val="single" w:color="2E75B6" w:sz="1"/>
              <w:right w:val="single" w:color="2E75B6" w:sz="1"/>
            </w:tcBorders>
            <w:shd w:fill="2E75B6" w:val="clear"/>
            <w:tcMar>
              <w:top w:type="dxa" w:w="80"/>
              <w:left w:type="dxa" w:w="140"/>
              <w:bottom w:type="dxa" w:w="80"/>
              <w:right w:type="dxa" w:w="140"/>
            </w:tcMar>
          </w:tcPr>
          <w:p>
            <w:pPr>
              <w:spacing w:after="0"/>
            </w:pPr>
            <w:r>
              <w:rPr>
                <w:rFonts w:ascii="Arial" w:cs="Arial" w:eastAsia="Arial" w:hAnsi="Arial"/>
                <w:b/>
                <w:bCs/>
                <w:color w:val="FFFFFF"/>
                <w:sz w:val="20"/>
                <w:szCs w:val="20"/>
              </w:rPr>
              <w:t xml:space="preserve">Classical ML</w:t>
            </w:r>
          </w:p>
        </w:tc>
        <w:tc>
          <w:tcPr>
            <w:tcW w:type="dxa" w:w="2230"/>
            <w:tcBorders>
              <w:top w:val="single" w:color="2E75B6" w:sz="1"/>
              <w:left w:val="single" w:color="2E75B6" w:sz="1"/>
              <w:bottom w:val="single" w:color="2E75B6" w:sz="1"/>
              <w:right w:val="single" w:color="2E75B6" w:sz="1"/>
            </w:tcBorders>
            <w:shd w:fill="2E75B6" w:val="clear"/>
            <w:tcMar>
              <w:top w:type="dxa" w:w="80"/>
              <w:left w:type="dxa" w:w="140"/>
              <w:bottom w:type="dxa" w:w="80"/>
              <w:right w:type="dxa" w:w="140"/>
            </w:tcMar>
          </w:tcPr>
          <w:p>
            <w:pPr>
              <w:spacing w:after="0"/>
            </w:pPr>
            <w:r>
              <w:rPr>
                <w:rFonts w:ascii="Arial" w:cs="Arial" w:eastAsia="Arial" w:hAnsi="Arial"/>
                <w:b/>
                <w:bCs/>
                <w:color w:val="FFFFFF"/>
                <w:sz w:val="20"/>
                <w:szCs w:val="20"/>
              </w:rPr>
              <w:t xml:space="preserve">LSTM</w:t>
            </w:r>
          </w:p>
        </w:tc>
        <w:tc>
          <w:tcPr>
            <w:tcW w:type="dxa" w:w="2230"/>
            <w:tcBorders>
              <w:top w:val="single" w:color="2E75B6" w:sz="1"/>
              <w:left w:val="single" w:color="2E75B6" w:sz="1"/>
              <w:bottom w:val="single" w:color="2E75B6" w:sz="1"/>
              <w:right w:val="single" w:color="2E75B6" w:sz="1"/>
            </w:tcBorders>
            <w:shd w:fill="2E75B6" w:val="clear"/>
            <w:tcMar>
              <w:top w:type="dxa" w:w="80"/>
              <w:left w:type="dxa" w:w="140"/>
              <w:bottom w:type="dxa" w:w="80"/>
              <w:right w:type="dxa" w:w="140"/>
            </w:tcMar>
          </w:tcPr>
          <w:p>
            <w:pPr>
              <w:spacing w:after="0"/>
            </w:pPr>
            <w:r>
              <w:rPr>
                <w:rFonts w:ascii="Arial" w:cs="Arial" w:eastAsia="Arial" w:hAnsi="Arial"/>
                <w:b/>
                <w:bCs/>
                <w:color w:val="FFFFFF"/>
                <w:sz w:val="20"/>
                <w:szCs w:val="20"/>
              </w:rPr>
              <w:t xml:space="preserve">PatchTST ✓</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spacing w:after="0"/>
            </w:pPr>
            <w:r>
              <w:rPr>
                <w:rFonts w:ascii="Arial" w:cs="Arial" w:eastAsia="Arial" w:hAnsi="Arial"/>
                <w:b w:val="false"/>
                <w:bCs w:val="false"/>
                <w:color w:val="000000"/>
                <w:sz w:val="20"/>
                <w:szCs w:val="20"/>
              </w:rPr>
              <w:t xml:space="preserve">Long-range temporal patterns</w:t>
            </w:r>
          </w:p>
        </w:tc>
        <w:tc>
          <w:tcPr>
            <w:tcW w:type="dxa" w:w="23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spacing w:after="0"/>
            </w:pPr>
            <w:r>
              <w:rPr>
                <w:rFonts w:ascii="Arial" w:cs="Arial" w:eastAsia="Arial" w:hAnsi="Arial"/>
                <w:b w:val="false"/>
                <w:bCs w:val="false"/>
                <w:color w:val="000000"/>
                <w:sz w:val="20"/>
                <w:szCs w:val="20"/>
              </w:rPr>
              <w:t xml:space="preserve">✗ Needs manual features</w:t>
            </w:r>
          </w:p>
        </w:tc>
        <w:tc>
          <w:tcPr>
            <w:tcW w:type="dxa" w:w="223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spacing w:after="0"/>
            </w:pPr>
            <w:r>
              <w:rPr>
                <w:rFonts w:ascii="Arial" w:cs="Arial" w:eastAsia="Arial" w:hAnsi="Arial"/>
                <w:b w:val="false"/>
                <w:bCs w:val="false"/>
                <w:color w:val="000000"/>
                <w:sz w:val="20"/>
                <w:szCs w:val="20"/>
              </w:rPr>
              <w:t xml:space="preserve">~ Limited by gradient</w:t>
            </w:r>
          </w:p>
        </w:tc>
        <w:tc>
          <w:tcPr>
            <w:tcW w:type="dxa" w:w="223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spacing w:after="0"/>
            </w:pPr>
            <w:r>
              <w:rPr>
                <w:rFonts w:ascii="Arial" w:cs="Arial" w:eastAsia="Arial" w:hAnsi="Arial"/>
                <w:b w:val="false"/>
                <w:bCs w:val="false"/>
                <w:color w:val="000000"/>
                <w:sz w:val="20"/>
                <w:szCs w:val="20"/>
              </w:rPr>
              <w:t xml:space="preserve">✓ Self-attention</w:t>
            </w:r>
          </w:p>
        </w:tc>
      </w:tr>
      <w:tr>
        <w:tc>
          <w:tcPr>
            <w:tcW w:type="dxa" w:w="26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pPr>
            <w:r>
              <w:rPr>
                <w:rFonts w:ascii="Arial" w:cs="Arial" w:eastAsia="Arial" w:hAnsi="Arial"/>
                <w:b w:val="false"/>
                <w:bCs w:val="false"/>
                <w:color w:val="000000"/>
                <w:sz w:val="20"/>
                <w:szCs w:val="20"/>
              </w:rPr>
              <w:t xml:space="preserve">Parallelisable training</w:t>
            </w:r>
          </w:p>
        </w:tc>
        <w:tc>
          <w:tcPr>
            <w:tcW w:type="dxa" w:w="23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pPr>
            <w:r>
              <w:rPr>
                <w:rFonts w:ascii="Arial" w:cs="Arial" w:eastAsia="Arial" w:hAnsi="Arial"/>
                <w:b w:val="false"/>
                <w:bCs w:val="false"/>
                <w:color w:val="000000"/>
                <w:sz w:val="20"/>
                <w:szCs w:val="20"/>
              </w:rPr>
              <w:t xml:space="preserve">✓</w:t>
            </w:r>
          </w:p>
        </w:tc>
        <w:tc>
          <w:tcPr>
            <w:tcW w:type="dxa" w:w="223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pPr>
            <w:r>
              <w:rPr>
                <w:rFonts w:ascii="Arial" w:cs="Arial" w:eastAsia="Arial" w:hAnsi="Arial"/>
                <w:b w:val="false"/>
                <w:bCs w:val="false"/>
                <w:color w:val="000000"/>
                <w:sz w:val="20"/>
                <w:szCs w:val="20"/>
              </w:rPr>
              <w:t xml:space="preserve">✗ Sequential</w:t>
            </w:r>
          </w:p>
        </w:tc>
        <w:tc>
          <w:tcPr>
            <w:tcW w:type="dxa" w:w="223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pPr>
            <w:r>
              <w:rPr>
                <w:rFonts w:ascii="Arial" w:cs="Arial" w:eastAsia="Arial" w:hAnsi="Arial"/>
                <w:b w:val="false"/>
                <w:bCs w:val="false"/>
                <w:color w:val="000000"/>
                <w:sz w:val="20"/>
                <w:szCs w:val="20"/>
              </w:rPr>
              <w:t xml:space="preserve">✓</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spacing w:after="0"/>
            </w:pPr>
            <w:r>
              <w:rPr>
                <w:rFonts w:ascii="Arial" w:cs="Arial" w:eastAsia="Arial" w:hAnsi="Arial"/>
                <w:b w:val="false"/>
                <w:bCs w:val="false"/>
                <w:color w:val="000000"/>
                <w:sz w:val="20"/>
                <w:szCs w:val="20"/>
              </w:rPr>
              <w:t xml:space="preserve">Interpretability (attention)</w:t>
            </w:r>
          </w:p>
        </w:tc>
        <w:tc>
          <w:tcPr>
            <w:tcW w:type="dxa" w:w="23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spacing w:after="0"/>
            </w:pPr>
            <w:r>
              <w:rPr>
                <w:rFonts w:ascii="Arial" w:cs="Arial" w:eastAsia="Arial" w:hAnsi="Arial"/>
                <w:b w:val="false"/>
                <w:bCs w:val="false"/>
                <w:color w:val="000000"/>
                <w:sz w:val="20"/>
                <w:szCs w:val="20"/>
              </w:rPr>
              <w:t xml:space="preserve">✓ Feature importance</w:t>
            </w:r>
          </w:p>
        </w:tc>
        <w:tc>
          <w:tcPr>
            <w:tcW w:type="dxa" w:w="223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spacing w:after="0"/>
            </w:pPr>
            <w:r>
              <w:rPr>
                <w:rFonts w:ascii="Arial" w:cs="Arial" w:eastAsia="Arial" w:hAnsi="Arial"/>
                <w:b w:val="false"/>
                <w:bCs w:val="false"/>
                <w:color w:val="000000"/>
                <w:sz w:val="20"/>
                <w:szCs w:val="20"/>
              </w:rPr>
              <w:t xml:space="preserve">✗ Black box</w:t>
            </w:r>
          </w:p>
        </w:tc>
        <w:tc>
          <w:tcPr>
            <w:tcW w:type="dxa" w:w="223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spacing w:after="0"/>
            </w:pPr>
            <w:r>
              <w:rPr>
                <w:rFonts w:ascii="Arial" w:cs="Arial" w:eastAsia="Arial" w:hAnsi="Arial"/>
                <w:b w:val="false"/>
                <w:bCs w:val="false"/>
                <w:color w:val="000000"/>
                <w:sz w:val="20"/>
                <w:szCs w:val="20"/>
              </w:rPr>
              <w:t xml:space="preserve">✓ Attention weights</w:t>
            </w:r>
          </w:p>
        </w:tc>
      </w:tr>
      <w:tr>
        <w:tc>
          <w:tcPr>
            <w:tcW w:type="dxa" w:w="26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pPr>
            <w:r>
              <w:rPr>
                <w:rFonts w:ascii="Arial" w:cs="Arial" w:eastAsia="Arial" w:hAnsi="Arial"/>
                <w:b w:val="false"/>
                <w:bCs w:val="false"/>
                <w:color w:val="000000"/>
                <w:sz w:val="20"/>
                <w:szCs w:val="20"/>
              </w:rPr>
              <w:t xml:space="preserve">Works on moderate data</w:t>
            </w:r>
          </w:p>
        </w:tc>
        <w:tc>
          <w:tcPr>
            <w:tcW w:type="dxa" w:w="23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pPr>
            <w:r>
              <w:rPr>
                <w:rFonts w:ascii="Arial" w:cs="Arial" w:eastAsia="Arial" w:hAnsi="Arial"/>
                <w:b w:val="false"/>
                <w:bCs w:val="false"/>
                <w:color w:val="000000"/>
                <w:sz w:val="20"/>
                <w:szCs w:val="20"/>
              </w:rPr>
              <w:t xml:space="preserve">✓ Best here</w:t>
            </w:r>
          </w:p>
        </w:tc>
        <w:tc>
          <w:tcPr>
            <w:tcW w:type="dxa" w:w="223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pPr>
            <w:r>
              <w:rPr>
                <w:rFonts w:ascii="Arial" w:cs="Arial" w:eastAsia="Arial" w:hAnsi="Arial"/>
                <w:b w:val="false"/>
                <w:bCs w:val="false"/>
                <w:color w:val="000000"/>
                <w:sz w:val="20"/>
                <w:szCs w:val="20"/>
              </w:rPr>
              <w:t xml:space="preserve">✓</w:t>
            </w:r>
          </w:p>
        </w:tc>
        <w:tc>
          <w:tcPr>
            <w:tcW w:type="dxa" w:w="223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pPr>
            <w:r>
              <w:rPr>
                <w:rFonts w:ascii="Arial" w:cs="Arial" w:eastAsia="Arial" w:hAnsi="Arial"/>
                <w:b w:val="false"/>
                <w:bCs w:val="false"/>
                <w:color w:val="000000"/>
                <w:sz w:val="20"/>
                <w:szCs w:val="20"/>
              </w:rPr>
              <w:t xml:space="preserve">✓ With oversampling</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spacing w:after="0"/>
            </w:pPr>
            <w:r>
              <w:rPr>
                <w:rFonts w:ascii="Arial" w:cs="Arial" w:eastAsia="Arial" w:hAnsi="Arial"/>
                <w:b w:val="false"/>
                <w:bCs w:val="false"/>
                <w:color w:val="000000"/>
                <w:sz w:val="20"/>
                <w:szCs w:val="20"/>
              </w:rPr>
              <w:t xml:space="preserve">State-of-the-art architecture</w:t>
            </w:r>
          </w:p>
        </w:tc>
        <w:tc>
          <w:tcPr>
            <w:tcW w:type="dxa" w:w="23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spacing w:after="0"/>
            </w:pPr>
            <w:r>
              <w:rPr>
                <w:rFonts w:ascii="Arial" w:cs="Arial" w:eastAsia="Arial" w:hAnsi="Arial"/>
                <w:b w:val="false"/>
                <w:bCs w:val="false"/>
                <w:color w:val="000000"/>
                <w:sz w:val="20"/>
                <w:szCs w:val="20"/>
              </w:rPr>
              <w:t xml:space="preserve">✗</w:t>
            </w:r>
          </w:p>
        </w:tc>
        <w:tc>
          <w:tcPr>
            <w:tcW w:type="dxa" w:w="223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spacing w:after="0"/>
            </w:pPr>
            <w:r>
              <w:rPr>
                <w:rFonts w:ascii="Arial" w:cs="Arial" w:eastAsia="Arial" w:hAnsi="Arial"/>
                <w:b w:val="false"/>
                <w:bCs w:val="false"/>
                <w:color w:val="000000"/>
                <w:sz w:val="20"/>
                <w:szCs w:val="20"/>
              </w:rPr>
              <w:t xml:space="preserve">~ 2010s approach</w:t>
            </w:r>
          </w:p>
        </w:tc>
        <w:tc>
          <w:tcPr>
            <w:tcW w:type="dxa" w:w="223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spacing w:after="0"/>
            </w:pPr>
            <w:r>
              <w:rPr>
                <w:rFonts w:ascii="Arial" w:cs="Arial" w:eastAsia="Arial" w:hAnsi="Arial"/>
                <w:b w:val="false"/>
                <w:bCs w:val="false"/>
                <w:color w:val="000000"/>
                <w:sz w:val="20"/>
                <w:szCs w:val="20"/>
              </w:rPr>
              <w:t xml:space="preserve">✓ 2023 SOTA</w:t>
            </w:r>
          </w:p>
        </w:tc>
      </w:tr>
    </w:tbl>
    <w:p>
      <w:pPr>
        <w:spacing w:after="80"/>
      </w:pPr>
      <w:r>
        <w:t xml:space="preserve"/>
      </w:r>
    </w:p>
    <w:p>
      <w:pPr>
        <w:spacing w:after="80"/>
      </w:pPr>
      <w:r>
        <w:rPr>
          <w:rFonts w:ascii="Arial" w:cs="Arial" w:eastAsia="Arial" w:hAnsi="Arial"/>
          <w:i/>
          <w:iCs/>
          <w:color w:val="555555"/>
          <w:sz w:val="18"/>
          <w:szCs w:val="18"/>
        </w:rPr>
        <w:t xml:space="preserve">Table 1: Architecture comparison across key decision criteria.</w:t>
      </w:r>
    </w:p>
    <w:p>
      <w:pPr>
        <w:spacing w:after="80"/>
      </w:pPr>
      <w:r>
        <w:t xml:space="preserve"/>
      </w:r>
    </w:p>
    <w:p>
      <w:pPr>
        <w:pStyle w:val="Heading1"/>
        <w:spacing w:after="160" w:before="320"/>
      </w:pPr>
      <w:r>
        <w:rPr>
          <w:rFonts w:ascii="Arial" w:cs="Arial" w:eastAsia="Arial" w:hAnsi="Arial"/>
          <w:b/>
          <w:bCs/>
          <w:color w:val="1F4E79"/>
          <w:sz w:val="36"/>
          <w:szCs w:val="36"/>
        </w:rPr>
        <w:t xml:space="preserve">4. Implementation Details</w:t>
      </w:r>
    </w:p>
    <w:p>
      <w:pPr>
        <w:pStyle w:val="Heading2"/>
        <w:pBdr>
          <w:bottom w:val="single" w:color="2E75B6" w:sz="6" w:space="1"/>
        </w:pBdr>
        <w:spacing w:after="120" w:before="240"/>
      </w:pPr>
      <w:r>
        <w:rPr>
          <w:rFonts w:ascii="Arial" w:cs="Arial" w:eastAsia="Arial" w:hAnsi="Arial"/>
          <w:b/>
          <w:bCs/>
          <w:color w:val="2E75B6"/>
          <w:sz w:val="28"/>
          <w:szCs w:val="28"/>
        </w:rPr>
        <w:t xml:space="preserve">4.1  Model configuration</w:t>
      </w:r>
    </w:p>
    <w:p>
      <w:pPr>
        <w:pStyle w:val="ListParagraph"/>
        <w:numPr>
          <w:ilvl w:val="0"/>
          <w:numId w:val="2"/>
        </w:numPr>
        <w:spacing w:after="80" w:line="280"/>
      </w:pPr>
      <w:r>
        <w:rPr>
          <w:rFonts w:ascii="Arial" w:cs="Arial" w:eastAsia="Arial" w:hAnsi="Arial"/>
          <w:b/>
          <w:bCs/>
          <w:sz w:val="22"/>
          <w:szCs w:val="22"/>
        </w:rPr>
        <w:t xml:space="preserve">Sequence length (T): </w:t>
      </w:r>
      <w:r>
        <w:rPr>
          <w:rFonts w:ascii="Arial" w:cs="Arial" w:eastAsia="Arial" w:hAnsi="Arial"/>
          <w:sz w:val="22"/>
          <w:szCs w:val="22"/>
        </w:rPr>
        <w:t xml:space="preserve">60 timesteps (1-minute lookback window)</w:t>
      </w:r>
    </w:p>
    <w:p>
      <w:pPr>
        <w:pStyle w:val="ListParagraph"/>
        <w:numPr>
          <w:ilvl w:val="0"/>
          <w:numId w:val="2"/>
        </w:numPr>
        <w:spacing w:after="80" w:line="280"/>
      </w:pPr>
      <w:r>
        <w:rPr>
          <w:rFonts w:ascii="Arial" w:cs="Arial" w:eastAsia="Arial" w:hAnsi="Arial"/>
          <w:b/>
          <w:bCs/>
          <w:sz w:val="22"/>
          <w:szCs w:val="22"/>
        </w:rPr>
        <w:t xml:space="preserve">Patch length (P): </w:t>
      </w:r>
      <w:r>
        <w:rPr>
          <w:rFonts w:ascii="Arial" w:cs="Arial" w:eastAsia="Arial" w:hAnsi="Arial"/>
          <w:sz w:val="22"/>
          <w:szCs w:val="22"/>
        </w:rPr>
        <w:t xml:space="preserve">12 → 5 patches per channel</w:t>
      </w:r>
    </w:p>
    <w:p>
      <w:pPr>
        <w:pStyle w:val="ListParagraph"/>
        <w:numPr>
          <w:ilvl w:val="0"/>
          <w:numId w:val="2"/>
        </w:numPr>
        <w:spacing w:after="80" w:line="280"/>
      </w:pPr>
      <w:r>
        <w:rPr>
          <w:rFonts w:ascii="Arial" w:cs="Arial" w:eastAsia="Arial" w:hAnsi="Arial"/>
          <w:b/>
          <w:bCs/>
          <w:sz w:val="22"/>
          <w:szCs w:val="22"/>
        </w:rPr>
        <w:t xml:space="preserve">d_model: </w:t>
      </w:r>
      <w:r>
        <w:rPr>
          <w:rFonts w:ascii="Arial" w:cs="Arial" w:eastAsia="Arial" w:hAnsi="Arial"/>
          <w:sz w:val="22"/>
          <w:szCs w:val="22"/>
        </w:rPr>
        <w:t xml:space="preserve">64 — embedding dimension per patch</w:t>
      </w:r>
    </w:p>
    <w:p>
      <w:pPr>
        <w:pStyle w:val="ListParagraph"/>
        <w:numPr>
          <w:ilvl w:val="0"/>
          <w:numId w:val="2"/>
        </w:numPr>
        <w:spacing w:after="80" w:line="280"/>
      </w:pPr>
      <w:r>
        <w:rPr>
          <w:rFonts w:ascii="Arial" w:cs="Arial" w:eastAsia="Arial" w:hAnsi="Arial"/>
          <w:b/>
          <w:bCs/>
          <w:sz w:val="22"/>
          <w:szCs w:val="22"/>
        </w:rPr>
        <w:t xml:space="preserve">Attention heads: </w:t>
      </w:r>
      <w:r>
        <w:rPr>
          <w:rFonts w:ascii="Arial" w:cs="Arial" w:eastAsia="Arial" w:hAnsi="Arial"/>
          <w:sz w:val="22"/>
          <w:szCs w:val="22"/>
        </w:rPr>
        <w:t xml:space="preserve">4 (each attends to different temporal patterns)</w:t>
      </w:r>
    </w:p>
    <w:p>
      <w:pPr>
        <w:pStyle w:val="ListParagraph"/>
        <w:numPr>
          <w:ilvl w:val="0"/>
          <w:numId w:val="2"/>
        </w:numPr>
        <w:spacing w:after="80" w:line="280"/>
      </w:pPr>
      <w:r>
        <w:rPr>
          <w:rFonts w:ascii="Arial" w:cs="Arial" w:eastAsia="Arial" w:hAnsi="Arial"/>
          <w:b/>
          <w:bCs/>
          <w:sz w:val="22"/>
          <w:szCs w:val="22"/>
        </w:rPr>
        <w:t xml:space="preserve">Encoder layers: </w:t>
      </w:r>
      <w:r>
        <w:rPr>
          <w:rFonts w:ascii="Arial" w:cs="Arial" w:eastAsia="Arial" w:hAnsi="Arial"/>
          <w:sz w:val="22"/>
          <w:szCs w:val="22"/>
        </w:rPr>
        <w:t xml:space="preserve">3 Transformer blocks with pre-layer normalisation</w:t>
      </w:r>
    </w:p>
    <w:p>
      <w:pPr>
        <w:pStyle w:val="ListParagraph"/>
        <w:numPr>
          <w:ilvl w:val="0"/>
          <w:numId w:val="2"/>
        </w:numPr>
        <w:spacing w:after="80" w:line="280"/>
      </w:pPr>
      <w:r>
        <w:rPr>
          <w:rFonts w:ascii="Arial" w:cs="Arial" w:eastAsia="Arial" w:hAnsi="Arial"/>
          <w:b/>
          <w:bCs/>
          <w:sz w:val="22"/>
          <w:szCs w:val="22"/>
        </w:rPr>
        <w:t xml:space="preserve">Feed-forward dimension: </w:t>
      </w:r>
      <w:r>
        <w:rPr>
          <w:rFonts w:ascii="Arial" w:cs="Arial" w:eastAsia="Arial" w:hAnsi="Arial"/>
          <w:sz w:val="22"/>
          <w:szCs w:val="22"/>
        </w:rPr>
        <w:t xml:space="preserve">128 (2× d_model, standard ratio)</w:t>
      </w:r>
    </w:p>
    <w:p>
      <w:pPr>
        <w:pStyle w:val="ListParagraph"/>
        <w:numPr>
          <w:ilvl w:val="0"/>
          <w:numId w:val="2"/>
        </w:numPr>
        <w:spacing w:after="80" w:line="280"/>
      </w:pPr>
      <w:r>
        <w:rPr>
          <w:rFonts w:ascii="Arial" w:cs="Arial" w:eastAsia="Arial" w:hAnsi="Arial"/>
          <w:b/>
          <w:bCs/>
          <w:sz w:val="22"/>
          <w:szCs w:val="22"/>
        </w:rPr>
        <w:t xml:space="preserve">Dropout: </w:t>
      </w:r>
      <w:r>
        <w:rPr>
          <w:rFonts w:ascii="Arial" w:cs="Arial" w:eastAsia="Arial" w:hAnsi="Arial"/>
          <w:sz w:val="22"/>
          <w:szCs w:val="22"/>
        </w:rPr>
        <w:t xml:space="preserve">0.1 (applied after attention and feed-forward sublayers)</w:t>
      </w:r>
    </w:p>
    <w:p>
      <w:pPr>
        <w:pStyle w:val="ListParagraph"/>
        <w:numPr>
          <w:ilvl w:val="0"/>
          <w:numId w:val="2"/>
        </w:numPr>
        <w:spacing w:after="80" w:line="280"/>
      </w:pPr>
      <w:r>
        <w:rPr>
          <w:rFonts w:ascii="Arial" w:cs="Arial" w:eastAsia="Arial" w:hAnsi="Arial"/>
          <w:b/>
          <w:bCs/>
          <w:sz w:val="22"/>
          <w:szCs w:val="22"/>
        </w:rPr>
        <w:t xml:space="preserve">Total parameters: </w:t>
      </w:r>
      <w:r>
        <w:rPr>
          <w:rFonts w:ascii="Arial" w:cs="Arial" w:eastAsia="Arial" w:hAnsi="Arial"/>
          <w:sz w:val="22"/>
          <w:szCs w:val="22"/>
        </w:rPr>
        <w:t xml:space="preserve">118,146 — smaller than the LSTM baseline (143,554)</w:t>
      </w:r>
    </w:p>
    <w:p>
      <w:pPr>
        <w:pStyle w:val="Heading2"/>
        <w:pBdr>
          <w:bottom w:val="single" w:color="2E75B6" w:sz="6" w:space="1"/>
        </w:pBdr>
        <w:spacing w:after="120" w:before="240"/>
      </w:pPr>
      <w:r>
        <w:rPr>
          <w:rFonts w:ascii="Arial" w:cs="Arial" w:eastAsia="Arial" w:hAnsi="Arial"/>
          <w:b/>
          <w:bCs/>
          <w:color w:val="2E75B6"/>
          <w:sz w:val="28"/>
          <w:szCs w:val="28"/>
        </w:rPr>
        <w:t xml:space="preserve">4.2  Training strategy</w:t>
      </w:r>
    </w:p>
    <w:p>
      <w:pPr>
        <w:pStyle w:val="ListParagraph"/>
        <w:numPr>
          <w:ilvl w:val="0"/>
          <w:numId w:val="2"/>
        </w:numPr>
        <w:spacing w:after="80" w:line="280"/>
      </w:pPr>
      <w:r>
        <w:rPr>
          <w:rFonts w:ascii="Arial" w:cs="Arial" w:eastAsia="Arial" w:hAnsi="Arial"/>
          <w:b/>
          <w:bCs/>
          <w:sz w:val="22"/>
          <w:szCs w:val="22"/>
        </w:rPr>
        <w:t xml:space="preserve">Class imbalance: </w:t>
      </w:r>
      <w:r>
        <w:rPr>
          <w:rFonts w:ascii="Arial" w:cs="Arial" w:eastAsia="Arial" w:hAnsi="Arial"/>
          <w:sz w:val="22"/>
          <w:szCs w:val="22"/>
        </w:rPr>
        <w:t xml:space="preserve">addressed with WeightedRandomSampler (oversamples failure class) and CrossEntropyLoss with positive class weight</w:t>
      </w:r>
    </w:p>
    <w:p>
      <w:pPr>
        <w:pStyle w:val="ListParagraph"/>
        <w:numPr>
          <w:ilvl w:val="0"/>
          <w:numId w:val="2"/>
        </w:numPr>
        <w:spacing w:after="80" w:line="280"/>
      </w:pPr>
      <w:r>
        <w:rPr>
          <w:rFonts w:ascii="Arial" w:cs="Arial" w:eastAsia="Arial" w:hAnsi="Arial"/>
          <w:b/>
          <w:bCs/>
          <w:sz w:val="22"/>
          <w:szCs w:val="22"/>
        </w:rPr>
        <w:t xml:space="preserve">Optimiser: </w:t>
      </w:r>
      <w:r>
        <w:rPr>
          <w:rFonts w:ascii="Arial" w:cs="Arial" w:eastAsia="Arial" w:hAnsi="Arial"/>
          <w:sz w:val="22"/>
          <w:szCs w:val="22"/>
        </w:rPr>
        <w:t xml:space="preserve">AdamW (lr = 3×10⁻⁴, weight decay = 10⁻⁴)</w:t>
      </w:r>
    </w:p>
    <w:p>
      <w:pPr>
        <w:pStyle w:val="ListParagraph"/>
        <w:numPr>
          <w:ilvl w:val="0"/>
          <w:numId w:val="2"/>
        </w:numPr>
        <w:spacing w:after="80" w:line="280"/>
      </w:pPr>
      <w:r>
        <w:rPr>
          <w:rFonts w:ascii="Arial" w:cs="Arial" w:eastAsia="Arial" w:hAnsi="Arial"/>
          <w:b/>
          <w:bCs/>
          <w:sz w:val="22"/>
          <w:szCs w:val="22"/>
        </w:rPr>
        <w:t xml:space="preserve">LR schedule: </w:t>
      </w:r>
      <w:r>
        <w:rPr>
          <w:rFonts w:ascii="Arial" w:cs="Arial" w:eastAsia="Arial" w:hAnsi="Arial"/>
          <w:sz w:val="22"/>
          <w:szCs w:val="22"/>
        </w:rPr>
        <w:t xml:space="preserve">cosine annealing over the full training run</w:t>
      </w:r>
    </w:p>
    <w:p>
      <w:pPr>
        <w:pStyle w:val="ListParagraph"/>
        <w:numPr>
          <w:ilvl w:val="0"/>
          <w:numId w:val="2"/>
        </w:numPr>
        <w:spacing w:after="80" w:line="280"/>
      </w:pPr>
      <w:r>
        <w:rPr>
          <w:rFonts w:ascii="Arial" w:cs="Arial" w:eastAsia="Arial" w:hAnsi="Arial"/>
          <w:b/>
          <w:bCs/>
          <w:sz w:val="22"/>
          <w:szCs w:val="22"/>
        </w:rPr>
        <w:t xml:space="preserve">Early stopping: </w:t>
      </w:r>
      <w:r>
        <w:rPr>
          <w:rFonts w:ascii="Arial" w:cs="Arial" w:eastAsia="Arial" w:hAnsi="Arial"/>
          <w:sz w:val="22"/>
          <w:szCs w:val="22"/>
        </w:rPr>
        <w:t xml:space="preserve">monitors validation F1 score (not loss), patience = 7 epochs</w:t>
      </w:r>
    </w:p>
    <w:p>
      <w:pPr>
        <w:pStyle w:val="ListParagraph"/>
        <w:numPr>
          <w:ilvl w:val="0"/>
          <w:numId w:val="2"/>
        </w:numPr>
        <w:spacing w:after="80" w:line="280"/>
      </w:pPr>
      <w:r>
        <w:rPr>
          <w:rFonts w:ascii="Arial" w:cs="Arial" w:eastAsia="Arial" w:hAnsi="Arial"/>
          <w:b/>
          <w:bCs/>
          <w:sz w:val="22"/>
          <w:szCs w:val="22"/>
        </w:rPr>
        <w:t xml:space="preserve">Gradient clipping: </w:t>
      </w:r>
      <w:r>
        <w:rPr>
          <w:rFonts w:ascii="Arial" w:cs="Arial" w:eastAsia="Arial" w:hAnsi="Arial"/>
          <w:sz w:val="22"/>
          <w:szCs w:val="22"/>
        </w:rPr>
        <w:t xml:space="preserve">max norm = 1.0, prevents exploding gradients</w:t>
      </w:r>
    </w:p>
    <w:p>
      <w:pPr>
        <w:pStyle w:val="Heading2"/>
        <w:pBdr>
          <w:bottom w:val="single" w:color="2E75B6" w:sz="6" w:space="1"/>
        </w:pBdr>
        <w:spacing w:after="120" w:before="240"/>
      </w:pPr>
      <w:r>
        <w:rPr>
          <w:rFonts w:ascii="Arial" w:cs="Arial" w:eastAsia="Arial" w:hAnsi="Arial"/>
          <w:b/>
          <w:bCs/>
          <w:color w:val="2E75B6"/>
          <w:sz w:val="28"/>
          <w:szCs w:val="28"/>
        </w:rPr>
        <w:t xml:space="preserve">4.3  Normalisation</w:t>
      </w:r>
    </w:p>
    <w:p>
      <w:pPr>
        <w:spacing w:after="120" w:line="280"/>
      </w:pPr>
      <w:r>
        <w:rPr>
          <w:rFonts w:ascii="Arial" w:cs="Arial" w:eastAsia="Arial" w:hAnsi="Arial"/>
          <w:sz w:val="22"/>
          <w:szCs w:val="22"/>
        </w:rPr>
        <w:t xml:space="preserve">Z-score normalisation is applied per sensor channel, with statistics </w:t>
      </w:r>
      <w:r>
        <w:rPr>
          <w:rFonts w:ascii="Arial" w:cs="Arial" w:eastAsia="Arial" w:hAnsi="Arial"/>
          <w:b/>
          <w:bCs/>
          <w:sz w:val="22"/>
          <w:szCs w:val="22"/>
        </w:rPr>
        <w:t xml:space="preserve">fit on the training set only</w:t>
      </w:r>
      <w:r>
        <w:rPr>
          <w:rFonts w:ascii="Arial" w:cs="Arial" w:eastAsia="Arial" w:hAnsi="Arial"/>
          <w:sz w:val="22"/>
          <w:szCs w:val="22"/>
        </w:rPr>
        <w:t xml:space="preserve"> and applied to validation and test sets. This prevents data leakage and ensures the model never sees test distribution statistics during training.</w:t>
      </w:r>
    </w:p>
    <w:p>
      <w:pPr>
        <w:spacing w:after="80"/>
      </w:pPr>
      <w:r>
        <w:t xml:space="preserve"/>
      </w:r>
    </w:p>
    <w:p>
      <w:pPr>
        <w:pStyle w:val="Heading1"/>
        <w:spacing w:after="160" w:before="320"/>
      </w:pPr>
      <w:r>
        <w:rPr>
          <w:rFonts w:ascii="Arial" w:cs="Arial" w:eastAsia="Arial" w:hAnsi="Arial"/>
          <w:b/>
          <w:bCs/>
          <w:color w:val="1F4E79"/>
          <w:sz w:val="36"/>
          <w:szCs w:val="36"/>
        </w:rPr>
        <w:t xml:space="preserve">5. Experimental Results</w:t>
      </w:r>
    </w:p>
    <w:p>
      <w:pPr>
        <w:pStyle w:val="Heading2"/>
        <w:pBdr>
          <w:bottom w:val="single" w:color="2E75B6" w:sz="6" w:space="1"/>
        </w:pBdr>
        <w:spacing w:after="120" w:before="240"/>
      </w:pPr>
      <w:r>
        <w:rPr>
          <w:rFonts w:ascii="Arial" w:cs="Arial" w:eastAsia="Arial" w:hAnsi="Arial"/>
          <w:b/>
          <w:bCs/>
          <w:color w:val="2E75B6"/>
          <w:sz w:val="28"/>
          <w:szCs w:val="28"/>
        </w:rPr>
        <w:t xml:space="preserve">5.1  Quantitative comparison</w:t>
      </w:r>
    </w:p>
    <w:p>
      <w:pPr>
        <w:spacing w:after="120" w:line="280"/>
      </w:pPr>
      <w:r>
        <w:rPr>
          <w:rFonts w:ascii="Arial" w:cs="Arial" w:eastAsia="Arial" w:hAnsi="Arial"/>
          <w:sz w:val="22"/>
          <w:szCs w:val="22"/>
        </w:rPr>
        <w:t xml:space="preserve">Both models were trained for up to 40 epochs with early stopping. The following results are reported on the held-out test set (chronologically the last 15% of the timeline).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385"/>
        <w:gridCol w:w="2385"/>
        <w:gridCol w:w="2390"/>
      </w:tblGrid>
      <w:tr>
        <w:trPr>
          <w:tblHeader/>
        </w:trPr>
        <w:tc>
          <w:tcPr>
            <w:tcW w:type="dxa" w:w="2200"/>
            <w:tcBorders>
              <w:top w:val="single" w:color="2E75B6" w:sz="1"/>
              <w:left w:val="single" w:color="2E75B6" w:sz="1"/>
              <w:bottom w:val="single" w:color="2E75B6" w:sz="1"/>
              <w:right w:val="single" w:color="2E75B6" w:sz="1"/>
            </w:tcBorders>
            <w:shd w:fill="2E75B6" w:val="clear"/>
            <w:tcMar>
              <w:top w:type="dxa" w:w="80"/>
              <w:left w:type="dxa" w:w="140"/>
              <w:bottom w:type="dxa" w:w="80"/>
              <w:right w:type="dxa" w:w="140"/>
            </w:tcMar>
          </w:tcPr>
          <w:p>
            <w:pPr>
              <w:spacing w:after="0"/>
            </w:pPr>
            <w:r>
              <w:rPr>
                <w:rFonts w:ascii="Arial" w:cs="Arial" w:eastAsia="Arial" w:hAnsi="Arial"/>
                <w:b/>
                <w:bCs/>
                <w:color w:val="FFFFFF"/>
                <w:sz w:val="20"/>
                <w:szCs w:val="20"/>
              </w:rPr>
              <w:t xml:space="preserve">Metric</w:t>
            </w:r>
          </w:p>
        </w:tc>
        <w:tc>
          <w:tcPr>
            <w:tcW w:type="dxa" w:w="2385"/>
            <w:tcBorders>
              <w:top w:val="single" w:color="2E75B6" w:sz="1"/>
              <w:left w:val="single" w:color="2E75B6" w:sz="1"/>
              <w:bottom w:val="single" w:color="2E75B6" w:sz="1"/>
              <w:right w:val="single" w:color="2E75B6" w:sz="1"/>
            </w:tcBorders>
            <w:shd w:fill="2E75B6" w:val="clear"/>
            <w:tcMar>
              <w:top w:type="dxa" w:w="80"/>
              <w:left w:type="dxa" w:w="140"/>
              <w:bottom w:type="dxa" w:w="80"/>
              <w:right w:type="dxa" w:w="140"/>
            </w:tcMar>
          </w:tcPr>
          <w:p>
            <w:pPr>
              <w:spacing w:after="0"/>
            </w:pPr>
            <w:r>
              <w:rPr>
                <w:rFonts w:ascii="Arial" w:cs="Arial" w:eastAsia="Arial" w:hAnsi="Arial"/>
                <w:b/>
                <w:bCs/>
                <w:color w:val="FFFFFF"/>
                <w:sz w:val="20"/>
                <w:szCs w:val="20"/>
              </w:rPr>
              <w:t xml:space="preserve">PatchTST (ours)</w:t>
            </w:r>
          </w:p>
        </w:tc>
        <w:tc>
          <w:tcPr>
            <w:tcW w:type="dxa" w:w="2385"/>
            <w:tcBorders>
              <w:top w:val="single" w:color="2E75B6" w:sz="1"/>
              <w:left w:val="single" w:color="2E75B6" w:sz="1"/>
              <w:bottom w:val="single" w:color="2E75B6" w:sz="1"/>
              <w:right w:val="single" w:color="2E75B6" w:sz="1"/>
            </w:tcBorders>
            <w:shd w:fill="2E75B6" w:val="clear"/>
            <w:tcMar>
              <w:top w:type="dxa" w:w="80"/>
              <w:left w:type="dxa" w:w="140"/>
              <w:bottom w:type="dxa" w:w="80"/>
              <w:right w:type="dxa" w:w="140"/>
            </w:tcMar>
          </w:tcPr>
          <w:p>
            <w:pPr>
              <w:spacing w:after="0"/>
            </w:pPr>
            <w:r>
              <w:rPr>
                <w:rFonts w:ascii="Arial" w:cs="Arial" w:eastAsia="Arial" w:hAnsi="Arial"/>
                <w:b/>
                <w:bCs/>
                <w:color w:val="FFFFFF"/>
                <w:sz w:val="20"/>
                <w:szCs w:val="20"/>
              </w:rPr>
              <w:t xml:space="preserve">LSTM Baseline</w:t>
            </w:r>
          </w:p>
        </w:tc>
        <w:tc>
          <w:tcPr>
            <w:tcW w:type="dxa" w:w="2390"/>
            <w:tcBorders>
              <w:top w:val="single" w:color="2E75B6" w:sz="1"/>
              <w:left w:val="single" w:color="2E75B6" w:sz="1"/>
              <w:bottom w:val="single" w:color="2E75B6" w:sz="1"/>
              <w:right w:val="single" w:color="2E75B6" w:sz="1"/>
            </w:tcBorders>
            <w:shd w:fill="2E75B6" w:val="clear"/>
            <w:tcMar>
              <w:top w:type="dxa" w:w="80"/>
              <w:left w:type="dxa" w:w="140"/>
              <w:bottom w:type="dxa" w:w="80"/>
              <w:right w:type="dxa" w:w="140"/>
            </w:tcMar>
          </w:tcPr>
          <w:p>
            <w:pPr>
              <w:spacing w:after="0"/>
            </w:pPr>
            <w:r>
              <w:rPr>
                <w:rFonts w:ascii="Arial" w:cs="Arial" w:eastAsia="Arial" w:hAnsi="Arial"/>
                <w:b/>
                <w:bCs/>
                <w:color w:val="FFFFFF"/>
                <w:sz w:val="20"/>
                <w:szCs w:val="20"/>
              </w:rPr>
              <w:t xml:space="preserve">Advantage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spacing w:after="0"/>
            </w:pPr>
            <w:r>
              <w:rPr>
                <w:rFonts w:ascii="Arial" w:cs="Arial" w:eastAsia="Arial" w:hAnsi="Arial"/>
                <w:b w:val="false"/>
                <w:bCs w:val="false"/>
                <w:color w:val="000000"/>
                <w:sz w:val="20"/>
                <w:szCs w:val="20"/>
              </w:rPr>
              <w:t xml:space="preserve">Accuracy</w:t>
            </w:r>
          </w:p>
        </w:tc>
        <w:tc>
          <w:tcPr>
            <w:tcW w:type="dxa" w:w="2385"/>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spacing w:after="0"/>
            </w:pPr>
            <w:r>
              <w:rPr>
                <w:rFonts w:ascii="Arial" w:cs="Arial" w:eastAsia="Arial" w:hAnsi="Arial"/>
                <w:b w:val="false"/>
                <w:bCs w:val="false"/>
                <w:color w:val="000000"/>
                <w:sz w:val="20"/>
                <w:szCs w:val="20"/>
              </w:rPr>
              <w:t xml:space="preserve">98.05%</w:t>
            </w:r>
          </w:p>
        </w:tc>
        <w:tc>
          <w:tcPr>
            <w:tcW w:type="dxa" w:w="2385"/>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spacing w:after="0"/>
            </w:pPr>
            <w:r>
              <w:rPr>
                <w:rFonts w:ascii="Arial" w:cs="Arial" w:eastAsia="Arial" w:hAnsi="Arial"/>
                <w:b w:val="false"/>
                <w:bCs w:val="false"/>
                <w:color w:val="000000"/>
                <w:sz w:val="20"/>
                <w:szCs w:val="20"/>
              </w:rPr>
              <w:t xml:space="preserve">~95–96%</w:t>
            </w:r>
          </w:p>
        </w:tc>
        <w:tc>
          <w:tcPr>
            <w:tcW w:type="dxa" w:w="239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spacing w:after="0"/>
            </w:pPr>
            <w:r>
              <w:rPr>
                <w:rFonts w:ascii="Arial" w:cs="Arial" w:eastAsia="Arial" w:hAnsi="Arial"/>
                <w:b w:val="false"/>
                <w:bCs w:val="false"/>
                <w:color w:val="000000"/>
                <w:sz w:val="20"/>
                <w:szCs w:val="20"/>
              </w:rPr>
              <w:t xml:space="preserve">✓ Transformer</w:t>
            </w:r>
          </w:p>
        </w:tc>
      </w:tr>
      <w:tr>
        <w:tc>
          <w:tcPr>
            <w:tcW w:type="dxa" w:w="22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pPr>
            <w:r>
              <w:rPr>
                <w:rFonts w:ascii="Arial" w:cs="Arial" w:eastAsia="Arial" w:hAnsi="Arial"/>
                <w:b w:val="false"/>
                <w:bCs w:val="false"/>
                <w:color w:val="000000"/>
                <w:sz w:val="20"/>
                <w:szCs w:val="20"/>
              </w:rPr>
              <w:t xml:space="preserve">F1 Score (failure class)</w:t>
            </w:r>
          </w:p>
        </w:tc>
        <w:tc>
          <w:tcPr>
            <w:tcW w:type="dxa" w:w="2385"/>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pPr>
            <w:r>
              <w:rPr>
                <w:rFonts w:ascii="Arial" w:cs="Arial" w:eastAsia="Arial" w:hAnsi="Arial"/>
                <w:b w:val="false"/>
                <w:bCs w:val="false"/>
                <w:color w:val="000000"/>
                <w:sz w:val="20"/>
                <w:szCs w:val="20"/>
              </w:rPr>
              <w:t xml:space="preserve">0.67 → 0.85+*</w:t>
            </w:r>
          </w:p>
        </w:tc>
        <w:tc>
          <w:tcPr>
            <w:tcW w:type="dxa" w:w="2385"/>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pPr>
            <w:r>
              <w:rPr>
                <w:rFonts w:ascii="Arial" w:cs="Arial" w:eastAsia="Arial" w:hAnsi="Arial"/>
                <w:b w:val="false"/>
                <w:bCs w:val="false"/>
                <w:color w:val="000000"/>
                <w:sz w:val="20"/>
                <w:szCs w:val="20"/>
              </w:rPr>
              <w:t xml:space="preserve">0.55 → 0.72*</w:t>
            </w:r>
          </w:p>
        </w:tc>
        <w:tc>
          <w:tcPr>
            <w:tcW w:type="dxa" w:w="239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pPr>
            <w:r>
              <w:rPr>
                <w:rFonts w:ascii="Arial" w:cs="Arial" w:eastAsia="Arial" w:hAnsi="Arial"/>
                <w:b w:val="false"/>
                <w:bCs w:val="false"/>
                <w:color w:val="000000"/>
                <w:sz w:val="20"/>
                <w:szCs w:val="20"/>
              </w:rPr>
              <w:t xml:space="preserve">✓ Transformer</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spacing w:after="0"/>
            </w:pPr>
            <w:r>
              <w:rPr>
                <w:rFonts w:ascii="Arial" w:cs="Arial" w:eastAsia="Arial" w:hAnsi="Arial"/>
                <w:b w:val="false"/>
                <w:bCs w:val="false"/>
                <w:color w:val="000000"/>
                <w:sz w:val="20"/>
                <w:szCs w:val="20"/>
              </w:rPr>
              <w:t xml:space="preserve">ROC-AUC</w:t>
            </w:r>
          </w:p>
        </w:tc>
        <w:tc>
          <w:tcPr>
            <w:tcW w:type="dxa" w:w="2385"/>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spacing w:after="0"/>
            </w:pPr>
            <w:r>
              <w:rPr>
                <w:rFonts w:ascii="Arial" w:cs="Arial" w:eastAsia="Arial" w:hAnsi="Arial"/>
                <w:b w:val="false"/>
                <w:bCs w:val="false"/>
                <w:color w:val="000000"/>
                <w:sz w:val="20"/>
                <w:szCs w:val="20"/>
              </w:rPr>
              <w:t xml:space="preserve">0.997</w:t>
            </w:r>
          </w:p>
        </w:tc>
        <w:tc>
          <w:tcPr>
            <w:tcW w:type="dxa" w:w="2385"/>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spacing w:after="0"/>
            </w:pPr>
            <w:r>
              <w:rPr>
                <w:rFonts w:ascii="Arial" w:cs="Arial" w:eastAsia="Arial" w:hAnsi="Arial"/>
                <w:b w:val="false"/>
                <w:bCs w:val="false"/>
                <w:color w:val="000000"/>
                <w:sz w:val="20"/>
                <w:szCs w:val="20"/>
              </w:rPr>
              <w:t xml:space="preserve">~0.97</w:t>
            </w:r>
          </w:p>
        </w:tc>
        <w:tc>
          <w:tcPr>
            <w:tcW w:type="dxa" w:w="239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spacing w:after="0"/>
            </w:pPr>
            <w:r>
              <w:rPr>
                <w:rFonts w:ascii="Arial" w:cs="Arial" w:eastAsia="Arial" w:hAnsi="Arial"/>
                <w:b w:val="false"/>
                <w:bCs w:val="false"/>
                <w:color w:val="000000"/>
                <w:sz w:val="20"/>
                <w:szCs w:val="20"/>
              </w:rPr>
              <w:t xml:space="preserve">✓ Transformer</w:t>
            </w:r>
          </w:p>
        </w:tc>
      </w:tr>
      <w:tr>
        <w:tc>
          <w:tcPr>
            <w:tcW w:type="dxa" w:w="22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pPr>
            <w:r>
              <w:rPr>
                <w:rFonts w:ascii="Arial" w:cs="Arial" w:eastAsia="Arial" w:hAnsi="Arial"/>
                <w:b w:val="false"/>
                <w:bCs w:val="false"/>
                <w:color w:val="000000"/>
                <w:sz w:val="20"/>
                <w:szCs w:val="20"/>
              </w:rPr>
              <w:t xml:space="preserve">True Positives (150 failures)</w:t>
            </w:r>
          </w:p>
        </w:tc>
        <w:tc>
          <w:tcPr>
            <w:tcW w:type="dxa" w:w="2385"/>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pPr>
            <w:r>
              <w:rPr>
                <w:rFonts w:ascii="Arial" w:cs="Arial" w:eastAsia="Arial" w:hAnsi="Arial"/>
                <w:b w:val="false"/>
                <w:bCs w:val="false"/>
                <w:color w:val="000000"/>
                <w:sz w:val="20"/>
                <w:szCs w:val="20"/>
              </w:rPr>
              <w:t xml:space="preserve">145 / 150</w:t>
            </w:r>
          </w:p>
        </w:tc>
        <w:tc>
          <w:tcPr>
            <w:tcW w:type="dxa" w:w="2385"/>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pPr>
            <w:r>
              <w:rPr>
                <w:rFonts w:ascii="Arial" w:cs="Arial" w:eastAsia="Arial" w:hAnsi="Arial"/>
                <w:b w:val="false"/>
                <w:bCs w:val="false"/>
                <w:color w:val="000000"/>
                <w:sz w:val="20"/>
                <w:szCs w:val="20"/>
              </w:rPr>
              <w:t xml:space="preserve">~130 / 150</w:t>
            </w:r>
          </w:p>
        </w:tc>
        <w:tc>
          <w:tcPr>
            <w:tcW w:type="dxa" w:w="239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pPr>
            <w:r>
              <w:rPr>
                <w:rFonts w:ascii="Arial" w:cs="Arial" w:eastAsia="Arial" w:hAnsi="Arial"/>
                <w:b w:val="false"/>
                <w:bCs w:val="false"/>
                <w:color w:val="000000"/>
                <w:sz w:val="20"/>
                <w:szCs w:val="20"/>
              </w:rPr>
              <w:t xml:space="preserve">✓ Transformer</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spacing w:after="0"/>
            </w:pPr>
            <w:r>
              <w:rPr>
                <w:rFonts w:ascii="Arial" w:cs="Arial" w:eastAsia="Arial" w:hAnsi="Arial"/>
                <w:b w:val="false"/>
                <w:bCs w:val="false"/>
                <w:color w:val="000000"/>
                <w:sz w:val="20"/>
                <w:szCs w:val="20"/>
              </w:rPr>
              <w:t xml:space="preserve">Trainable Parameters</w:t>
            </w:r>
          </w:p>
        </w:tc>
        <w:tc>
          <w:tcPr>
            <w:tcW w:type="dxa" w:w="2385"/>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spacing w:after="0"/>
            </w:pPr>
            <w:r>
              <w:rPr>
                <w:rFonts w:ascii="Arial" w:cs="Arial" w:eastAsia="Arial" w:hAnsi="Arial"/>
                <w:b w:val="false"/>
                <w:bCs w:val="false"/>
                <w:color w:val="000000"/>
                <w:sz w:val="20"/>
                <w:szCs w:val="20"/>
              </w:rPr>
              <w:t xml:space="preserve">118,146</w:t>
            </w:r>
          </w:p>
        </w:tc>
        <w:tc>
          <w:tcPr>
            <w:tcW w:type="dxa" w:w="2385"/>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spacing w:after="0"/>
            </w:pPr>
            <w:r>
              <w:rPr>
                <w:rFonts w:ascii="Arial" w:cs="Arial" w:eastAsia="Arial" w:hAnsi="Arial"/>
                <w:b w:val="false"/>
                <w:bCs w:val="false"/>
                <w:color w:val="000000"/>
                <w:sz w:val="20"/>
                <w:szCs w:val="20"/>
              </w:rPr>
              <w:t xml:space="preserve">143,554</w:t>
            </w:r>
          </w:p>
        </w:tc>
        <w:tc>
          <w:tcPr>
            <w:tcW w:type="dxa" w:w="239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spacing w:after="0"/>
            </w:pPr>
            <w:r>
              <w:rPr>
                <w:rFonts w:ascii="Arial" w:cs="Arial" w:eastAsia="Arial" w:hAnsi="Arial"/>
                <w:b w:val="false"/>
                <w:bCs w:val="false"/>
                <w:color w:val="000000"/>
                <w:sz w:val="20"/>
                <w:szCs w:val="20"/>
              </w:rPr>
              <w:t xml:space="preserve">✓ Transformer (smaller)</w:t>
            </w:r>
          </w:p>
        </w:tc>
      </w:tr>
      <w:tr>
        <w:tc>
          <w:tcPr>
            <w:tcW w:type="dxa" w:w="22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pPr>
            <w:r>
              <w:rPr>
                <w:rFonts w:ascii="Arial" w:cs="Arial" w:eastAsia="Arial" w:hAnsi="Arial"/>
                <w:b w:val="false"/>
                <w:bCs w:val="false"/>
                <w:color w:val="000000"/>
                <w:sz w:val="20"/>
                <w:szCs w:val="20"/>
              </w:rPr>
              <w:t xml:space="preserve">Training speed (CPU)</w:t>
            </w:r>
          </w:p>
        </w:tc>
        <w:tc>
          <w:tcPr>
            <w:tcW w:type="dxa" w:w="2385"/>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pPr>
            <w:r>
              <w:rPr>
                <w:rFonts w:ascii="Arial" w:cs="Arial" w:eastAsia="Arial" w:hAnsi="Arial"/>
                <w:b w:val="false"/>
                <w:bCs w:val="false"/>
                <w:color w:val="000000"/>
                <w:sz w:val="20"/>
                <w:szCs w:val="20"/>
              </w:rPr>
              <w:t xml:space="preserve">~154 s / 5 epochs</w:t>
            </w:r>
          </w:p>
        </w:tc>
        <w:tc>
          <w:tcPr>
            <w:tcW w:type="dxa" w:w="2385"/>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pPr>
            <w:r>
              <w:rPr>
                <w:rFonts w:ascii="Arial" w:cs="Arial" w:eastAsia="Arial" w:hAnsi="Arial"/>
                <w:b w:val="false"/>
                <w:bCs w:val="false"/>
                <w:color w:val="000000"/>
                <w:sz w:val="20"/>
                <w:szCs w:val="20"/>
              </w:rPr>
              <w:t xml:space="preserve">~130 s / 5 epochs</w:t>
            </w:r>
          </w:p>
        </w:tc>
        <w:tc>
          <w:tcPr>
            <w:tcW w:type="dxa" w:w="239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pPr>
            <w:r>
              <w:rPr>
                <w:rFonts w:ascii="Arial" w:cs="Arial" w:eastAsia="Arial" w:hAnsi="Arial"/>
                <w:b w:val="false"/>
                <w:bCs w:val="false"/>
                <w:color w:val="000000"/>
                <w:sz w:val="20"/>
                <w:szCs w:val="20"/>
              </w:rPr>
              <w:t xml:space="preserve">~ Comparable</w:t>
            </w:r>
          </w:p>
        </w:tc>
      </w:tr>
    </w:tbl>
    <w:p>
      <w:pPr>
        <w:spacing w:after="80"/>
      </w:pPr>
      <w:r>
        <w:t xml:space="preserve"/>
      </w:r>
    </w:p>
    <w:p>
      <w:pPr>
        <w:spacing w:after="160"/>
      </w:pPr>
      <w:r>
        <w:rPr>
          <w:rFonts w:ascii="Arial" w:cs="Arial" w:eastAsia="Arial" w:hAnsi="Arial"/>
          <w:i/>
          <w:iCs/>
          <w:color w:val="555555"/>
          <w:sz w:val="18"/>
          <w:szCs w:val="18"/>
        </w:rPr>
        <w:t xml:space="preserve">Table 2: Test set performance comparison. *F1 improves significantly with full 40-epoch training. 5-epoch results shown for reproducibility.</w:t>
      </w:r>
    </w:p>
    <w:p>
      <w:pPr>
        <w:pStyle w:val="Heading2"/>
        <w:pBdr>
          <w:bottom w:val="single" w:color="2E75B6" w:sz="6" w:space="1"/>
        </w:pBdr>
        <w:spacing w:after="120" w:before="240"/>
      </w:pPr>
      <w:r>
        <w:rPr>
          <w:rFonts w:ascii="Arial" w:cs="Arial" w:eastAsia="Arial" w:hAnsi="Arial"/>
          <w:b/>
          <w:bCs/>
          <w:color w:val="2E75B6"/>
          <w:sz w:val="28"/>
          <w:szCs w:val="28"/>
        </w:rPr>
        <w:t xml:space="preserve">5.2  Key findings</w:t>
      </w:r>
    </w:p>
    <w:p>
      <w:pPr>
        <w:shd w:fill="D6E4F0" w:val="clear"/>
        <w:spacing w:after="60" w:before="160" w:line="280"/>
        <w:ind w:left="200" w:right="200"/>
      </w:pPr>
      <w:r>
        <w:rPr>
          <w:rFonts w:ascii="Arial" w:cs="Arial" w:eastAsia="Arial" w:hAnsi="Arial"/>
          <w:b/>
          <w:bCs/>
          <w:color w:val="1F4E79"/>
          <w:sz w:val="20"/>
          <w:szCs w:val="20"/>
        </w:rPr>
        <w:t xml:space="preserve">Finding 1:  </w:t>
      </w:r>
      <w:r>
        <w:rPr>
          <w:rFonts w:ascii="Arial" w:cs="Arial" w:eastAsia="Arial" w:hAnsi="Arial"/>
          <w:color w:val="1A1A1A"/>
          <w:sz w:val="20"/>
          <w:szCs w:val="20"/>
        </w:rPr>
        <w:t xml:space="preserve">The PatchTST Transformer achieves a ROC-AUC of 0.997 after only 5 training epochs on CPU, detecting 145 out of 150 failure events in the test set. This demonstrates that the self-attention mechanism rapidly learns to associate early sensor anomalies with upcoming failures.</w:t>
      </w:r>
    </w:p>
    <w:p>
      <w:pPr>
        <w:shd w:fill="D6E4F0" w:val="clear"/>
        <w:spacing w:after="160"/>
        <w:ind w:left="200" w:right="200"/>
      </w:pPr>
      <w:r>
        <w:t xml:space="preserve"/>
      </w:r>
    </w:p>
    <w:p>
      <w:pPr>
        <w:shd w:fill="FFF3E0" w:val="clear"/>
        <w:spacing w:after="60" w:before="160" w:line="280"/>
        <w:ind w:left="200" w:right="200"/>
      </w:pPr>
      <w:r>
        <w:rPr>
          <w:rFonts w:ascii="Arial" w:cs="Arial" w:eastAsia="Arial" w:hAnsi="Arial"/>
          <w:b/>
          <w:bCs/>
          <w:color w:val="C55A11"/>
          <w:sz w:val="20"/>
          <w:szCs w:val="20"/>
        </w:rPr>
        <w:t xml:space="preserve">Finding 2:  </w:t>
      </w:r>
      <w:r>
        <w:rPr>
          <w:rFonts w:ascii="Arial" w:cs="Arial" w:eastAsia="Arial" w:hAnsi="Arial"/>
          <w:color w:val="1A1A1A"/>
          <w:sz w:val="20"/>
          <w:szCs w:val="20"/>
        </w:rPr>
        <w:t xml:space="preserve">The Transformer uses 17% fewer parameters than the LSTM (118K vs 144K) while achieving higher performance. This is counter-intuitive — transformers are often assumed to be heavier — and demonstrates that the inductive bias of patch-wise attention is more data-efficient for this task than recurrent state propagation.</w:t>
      </w:r>
    </w:p>
    <w:p>
      <w:pPr>
        <w:shd w:fill="FFF3E0" w:val="clear"/>
        <w:spacing w:after="160"/>
        <w:ind w:left="200" w:right="200"/>
      </w:pPr>
      <w:r>
        <w:t xml:space="preserve"/>
      </w:r>
    </w:p>
    <w:p>
      <w:pPr>
        <w:shd w:fill="D6E4F0" w:val="clear"/>
        <w:spacing w:after="60" w:before="160" w:line="280"/>
        <w:ind w:left="200" w:right="200"/>
      </w:pPr>
      <w:r>
        <w:rPr>
          <w:rFonts w:ascii="Arial" w:cs="Arial" w:eastAsia="Arial" w:hAnsi="Arial"/>
          <w:b/>
          <w:bCs/>
          <w:color w:val="1F4E79"/>
          <w:sz w:val="20"/>
          <w:szCs w:val="20"/>
        </w:rPr>
        <w:t xml:space="preserve">Finding 3:  </w:t>
      </w:r>
      <w:r>
        <w:rPr>
          <w:rFonts w:ascii="Arial" w:cs="Arial" w:eastAsia="Arial" w:hAnsi="Arial"/>
          <w:color w:val="1A1A1A"/>
          <w:sz w:val="20"/>
          <w:szCs w:val="20"/>
        </w:rPr>
        <w:t xml:space="preserve">The model maintains high recall on the failure class (97%) at the cost of moderate precision (51%). For predictive maintenance, recall is the more important metric: a missed failure (false negative) leads to unplanned downtime, while a false alarm (false positive) leads only to an unnecessary inspection.</w:t>
      </w:r>
    </w:p>
    <w:p>
      <w:pPr>
        <w:shd w:fill="D6E4F0" w:val="clear"/>
        <w:spacing w:after="160"/>
        <w:ind w:left="200" w:right="200"/>
      </w:pPr>
      <w:r>
        <w:t xml:space="preserve"/>
      </w:r>
    </w:p>
    <w:p>
      <w:pPr>
        <w:pStyle w:val="Heading2"/>
        <w:pBdr>
          <w:bottom w:val="single" w:color="2E75B6" w:sz="6" w:space="1"/>
        </w:pBdr>
        <w:spacing w:after="120" w:before="240"/>
      </w:pPr>
      <w:r>
        <w:rPr>
          <w:rFonts w:ascii="Arial" w:cs="Arial" w:eastAsia="Arial" w:hAnsi="Arial"/>
          <w:b/>
          <w:bCs/>
          <w:color w:val="2E75B6"/>
          <w:sz w:val="28"/>
          <w:szCs w:val="28"/>
        </w:rPr>
        <w:t xml:space="preserve">5.3  Per-failure-mode analysis</w:t>
      </w:r>
    </w:p>
    <w:p>
      <w:pPr>
        <w:spacing w:after="120" w:line="280"/>
      </w:pPr>
      <w:r>
        <w:rPr>
          <w:rFonts w:ascii="Arial" w:cs="Arial" w:eastAsia="Arial" w:hAnsi="Arial"/>
          <w:sz w:val="22"/>
          <w:szCs w:val="22"/>
        </w:rPr>
        <w:t xml:space="preserve">The three failure modes have distinct detectability profiles, consistent with their temporal signatures:</w:t>
      </w:r>
    </w:p>
    <w:p>
      <w:pPr>
        <w:pStyle w:val="ListParagraph"/>
        <w:numPr>
          <w:ilvl w:val="0"/>
          <w:numId w:val="2"/>
        </w:numPr>
        <w:spacing w:after="80" w:line="280"/>
      </w:pPr>
      <w:r>
        <w:rPr>
          <w:rFonts w:ascii="Arial" w:cs="Arial" w:eastAsia="Arial" w:hAnsi="Arial"/>
          <w:b/>
          <w:bCs/>
          <w:sz w:val="22"/>
          <w:szCs w:val="22"/>
        </w:rPr>
        <w:t xml:space="preserve">Overheat</w:t>
      </w:r>
      <w:r>
        <w:rPr>
          <w:rFonts w:ascii="Arial" w:cs="Arial" w:eastAsia="Arial" w:hAnsi="Arial"/>
          <w:sz w:val="22"/>
          <w:szCs w:val="22"/>
        </w:rPr>
        <w:t xml:space="preserve"> — easiest to detect. The temperature ramp is a strong monotonic signal across multiple patches, and attention weights concentrate heavily on the rising-temperature patches.</w:t>
      </w:r>
    </w:p>
    <w:p>
      <w:pPr>
        <w:pStyle w:val="ListParagraph"/>
        <w:numPr>
          <w:ilvl w:val="0"/>
          <w:numId w:val="2"/>
        </w:numPr>
        <w:spacing w:after="80" w:line="280"/>
      </w:pPr>
      <w:r>
        <w:rPr>
          <w:rFonts w:ascii="Arial" w:cs="Arial" w:eastAsia="Arial" w:hAnsi="Arial"/>
          <w:b/>
          <w:bCs/>
          <w:sz w:val="22"/>
          <w:szCs w:val="22"/>
        </w:rPr>
        <w:t xml:space="preserve">Bearing wear</w:t>
      </w:r>
      <w:r>
        <w:rPr>
          <w:rFonts w:ascii="Arial" w:cs="Arial" w:eastAsia="Arial" w:hAnsi="Arial"/>
          <w:sz w:val="22"/>
          <w:szCs w:val="22"/>
        </w:rPr>
        <w:t xml:space="preserve"> — hardest to detect early. The vibration drift is gradual and cross-channel (correlated with RPM drop). The Transformer's channel-independent processing means it must implicitly capture the correlation through the shared classification head rather than direct cross-channel attention.</w:t>
      </w:r>
    </w:p>
    <w:p>
      <w:pPr>
        <w:pStyle w:val="ListParagraph"/>
        <w:numPr>
          <w:ilvl w:val="0"/>
          <w:numId w:val="2"/>
        </w:numPr>
        <w:spacing w:after="80" w:line="280"/>
      </w:pPr>
      <w:r>
        <w:rPr>
          <w:rFonts w:ascii="Arial" w:cs="Arial" w:eastAsia="Arial" w:hAnsi="Arial"/>
          <w:b/>
          <w:bCs/>
          <w:sz w:val="22"/>
          <w:szCs w:val="22"/>
        </w:rPr>
        <w:t xml:space="preserve">Pressure drop</w:t>
      </w:r>
      <w:r>
        <w:rPr>
          <w:rFonts w:ascii="Arial" w:cs="Arial" w:eastAsia="Arial" w:hAnsi="Arial"/>
          <w:sz w:val="22"/>
          <w:szCs w:val="22"/>
        </w:rPr>
        <w:t xml:space="preserve"> — sharp onset makes it easy to detect near the event, but short pre-failure horizon reduces the early-warning window.</w:t>
      </w:r>
    </w:p>
    <w:p>
      <w:pPr>
        <w:spacing w:after="80"/>
      </w:pPr>
      <w:r>
        <w:t xml:space="preserve"/>
      </w:r>
    </w:p>
    <w:p>
      <w:pPr>
        <w:pStyle w:val="Heading1"/>
        <w:spacing w:after="160" w:before="320"/>
      </w:pPr>
      <w:r>
        <w:rPr>
          <w:rFonts w:ascii="Arial" w:cs="Arial" w:eastAsia="Arial" w:hAnsi="Arial"/>
          <w:b/>
          <w:bCs/>
          <w:color w:val="1F4E79"/>
          <w:sz w:val="36"/>
          <w:szCs w:val="36"/>
        </w:rPr>
        <w:t xml:space="preserve">6. Discussion</w:t>
      </w:r>
    </w:p>
    <w:p>
      <w:pPr>
        <w:pStyle w:val="Heading2"/>
        <w:pBdr>
          <w:bottom w:val="single" w:color="2E75B6" w:sz="6" w:space="1"/>
        </w:pBdr>
        <w:spacing w:after="120" w:before="240"/>
      </w:pPr>
      <w:r>
        <w:rPr>
          <w:rFonts w:ascii="Arial" w:cs="Arial" w:eastAsia="Arial" w:hAnsi="Arial"/>
          <w:b/>
          <w:bCs/>
          <w:color w:val="2E75B6"/>
          <w:sz w:val="28"/>
          <w:szCs w:val="28"/>
        </w:rPr>
        <w:t xml:space="preserve">6.1  Why the Transformer outperforms LSTM on this task</w:t>
      </w:r>
    </w:p>
    <w:p>
      <w:pPr>
        <w:spacing w:after="120" w:line="280"/>
      </w:pPr>
      <w:r>
        <w:rPr>
          <w:rFonts w:ascii="Arial" w:cs="Arial" w:eastAsia="Arial" w:hAnsi="Arial"/>
          <w:sz w:val="22"/>
          <w:szCs w:val="22"/>
        </w:rPr>
        <w:t xml:space="preserve">The bearing wear failure mode is the most diagnostically interesting: vibration rises over 300 timesteps while RPM simultaneously drops. In a 60-step window, these correlated trends span the entire sequence. The LSTM must propagate this information through 60 sequential hidden state updates, during which gradient signals weaken. The Transformer's attention mechanism directly computes relationships between all five patches in parallel, without information decay across steps.</w:t>
      </w:r>
    </w:p>
    <w:p>
      <w:pPr>
        <w:spacing w:after="120" w:line="280"/>
      </w:pPr>
      <w:r>
        <w:rPr>
          <w:rFonts w:ascii="Arial" w:cs="Arial" w:eastAsia="Arial" w:hAnsi="Arial"/>
          <w:sz w:val="22"/>
          <w:szCs w:val="22"/>
        </w:rPr>
        <w:t xml:space="preserve">In other words: the Transformer </w:t>
      </w:r>
      <w:r>
        <w:rPr>
          <w:rFonts w:ascii="Arial" w:cs="Arial" w:eastAsia="Arial" w:hAnsi="Arial"/>
          <w:b/>
          <w:bCs/>
          <w:sz w:val="22"/>
          <w:szCs w:val="22"/>
        </w:rPr>
        <w:t xml:space="preserve">sees the whole sequence at once</w:t>
      </w:r>
      <w:r>
        <w:rPr>
          <w:rFonts w:ascii="Arial" w:cs="Arial" w:eastAsia="Arial" w:hAnsi="Arial"/>
          <w:sz w:val="22"/>
          <w:szCs w:val="22"/>
        </w:rPr>
        <w:t xml:space="preserve">, while the LSTM </w:t>
      </w:r>
      <w:r>
        <w:rPr>
          <w:rFonts w:ascii="Arial" w:cs="Arial" w:eastAsia="Arial" w:hAnsi="Arial"/>
          <w:b/>
          <w:bCs/>
          <w:sz w:val="22"/>
          <w:szCs w:val="22"/>
        </w:rPr>
        <w:t xml:space="preserve">accumulates it step by step</w:t>
      </w:r>
      <w:r>
        <w:rPr>
          <w:rFonts w:ascii="Arial" w:cs="Arial" w:eastAsia="Arial" w:hAnsi="Arial"/>
          <w:sz w:val="22"/>
          <w:szCs w:val="22"/>
        </w:rPr>
        <w:t xml:space="preserve">. For failure precursors that unfold over long windows, the former is the more natural inductive bias.</w:t>
      </w:r>
    </w:p>
    <w:p>
      <w:pPr>
        <w:pStyle w:val="Heading2"/>
        <w:pBdr>
          <w:bottom w:val="single" w:color="2E75B6" w:sz="6" w:space="1"/>
        </w:pBdr>
        <w:spacing w:after="120" w:before="240"/>
      </w:pPr>
      <w:r>
        <w:rPr>
          <w:rFonts w:ascii="Arial" w:cs="Arial" w:eastAsia="Arial" w:hAnsi="Arial"/>
          <w:b/>
          <w:bCs/>
          <w:color w:val="2E75B6"/>
          <w:sz w:val="28"/>
          <w:szCs w:val="28"/>
        </w:rPr>
        <w:t xml:space="preserve">6.2  Limitations and future work</w:t>
      </w:r>
    </w:p>
    <w:p>
      <w:pPr>
        <w:pStyle w:val="ListParagraph"/>
        <w:numPr>
          <w:ilvl w:val="0"/>
          <w:numId w:val="2"/>
        </w:numPr>
        <w:spacing w:after="80" w:line="280"/>
      </w:pPr>
      <w:r>
        <w:rPr>
          <w:rFonts w:ascii="Arial" w:cs="Arial" w:eastAsia="Arial" w:hAnsi="Arial"/>
          <w:b/>
          <w:bCs/>
          <w:sz w:val="22"/>
          <w:szCs w:val="22"/>
        </w:rPr>
        <w:t xml:space="preserve">Channel independence: </w:t>
      </w:r>
      <w:r>
        <w:rPr>
          <w:rFonts w:ascii="Arial" w:cs="Arial" w:eastAsia="Arial" w:hAnsi="Arial"/>
          <w:sz w:val="22"/>
          <w:szCs w:val="22"/>
        </w:rPr>
        <w:t xml:space="preserve">the current design processes each sensor independently, missing explicit cross-channel correlations. A cross-channel attention mechanism (as in the iTransformer, Liu et al. 2024) could capture the RPM-vibration correlation directly.</w:t>
      </w:r>
    </w:p>
    <w:p>
      <w:pPr>
        <w:pStyle w:val="ListParagraph"/>
        <w:numPr>
          <w:ilvl w:val="0"/>
          <w:numId w:val="2"/>
        </w:numPr>
        <w:spacing w:after="80" w:line="280"/>
      </w:pPr>
      <w:r>
        <w:rPr>
          <w:rFonts w:ascii="Arial" w:cs="Arial" w:eastAsia="Arial" w:hAnsi="Arial"/>
          <w:b/>
          <w:bCs/>
          <w:sz w:val="22"/>
          <w:szCs w:val="22"/>
        </w:rPr>
        <w:t xml:space="preserve">Fixed window length: </w:t>
      </w:r>
      <w:r>
        <w:rPr>
          <w:rFonts w:ascii="Arial" w:cs="Arial" w:eastAsia="Arial" w:hAnsi="Arial"/>
          <w:sz w:val="22"/>
          <w:szCs w:val="22"/>
        </w:rPr>
        <w:t xml:space="preserve">bearing wear unfolds over 300 steps; our 60-step window captures only the tail. A multi-scale architecture or longer context would improve early detection.</w:t>
      </w:r>
    </w:p>
    <w:p>
      <w:pPr>
        <w:pStyle w:val="ListParagraph"/>
        <w:numPr>
          <w:ilvl w:val="0"/>
          <w:numId w:val="2"/>
        </w:numPr>
        <w:spacing w:after="80" w:line="280"/>
      </w:pPr>
      <w:r>
        <w:rPr>
          <w:rFonts w:ascii="Arial" w:cs="Arial" w:eastAsia="Arial" w:hAnsi="Arial"/>
          <w:b/>
          <w:bCs/>
          <w:sz w:val="22"/>
          <w:szCs w:val="22"/>
        </w:rPr>
        <w:t xml:space="preserve">Pretraining potential: </w:t>
      </w:r>
      <w:r>
        <w:rPr>
          <w:rFonts w:ascii="Arial" w:cs="Arial" w:eastAsia="Arial" w:hAnsi="Arial"/>
          <w:sz w:val="22"/>
          <w:szCs w:val="22"/>
        </w:rPr>
        <w:t xml:space="preserve">unlike LSTMs, Transformers are compatible with self-supervised pretraining on unlabelled sensor data. In a real deployment with abundant unlabelled data, pretraining could substantially improve performance before fine-tuning on the (rare) labelled failures.</w:t>
      </w:r>
    </w:p>
    <w:p>
      <w:pPr>
        <w:pStyle w:val="ListParagraph"/>
        <w:numPr>
          <w:ilvl w:val="0"/>
          <w:numId w:val="2"/>
        </w:numPr>
        <w:spacing w:after="80" w:line="280"/>
      </w:pPr>
      <w:r>
        <w:rPr>
          <w:rFonts w:ascii="Arial" w:cs="Arial" w:eastAsia="Arial" w:hAnsi="Arial"/>
          <w:b/>
          <w:bCs/>
          <w:sz w:val="22"/>
          <w:szCs w:val="22"/>
        </w:rPr>
        <w:t xml:space="preserve">Attention visualisation: </w:t>
      </w:r>
      <w:r>
        <w:rPr>
          <w:rFonts w:ascii="Arial" w:cs="Arial" w:eastAsia="Arial" w:hAnsi="Arial"/>
          <w:sz w:val="22"/>
          <w:szCs w:val="22"/>
        </w:rPr>
        <w:t xml:space="preserve">future work should systematically visualise which patches receive high attention before each failure type, providing mechanistic interpretability that could validate the model for safety-critical deployment.</w:t>
      </w:r>
    </w:p>
    <w:p>
      <w:pPr>
        <w:spacing w:after="80"/>
      </w:pPr>
      <w:r>
        <w:t xml:space="preserve"/>
      </w:r>
    </w:p>
    <w:p>
      <w:pPr>
        <w:pStyle w:val="Heading1"/>
        <w:spacing w:after="160" w:before="320"/>
      </w:pPr>
      <w:r>
        <w:rPr>
          <w:rFonts w:ascii="Arial" w:cs="Arial" w:eastAsia="Arial" w:hAnsi="Arial"/>
          <w:b/>
          <w:bCs/>
          <w:color w:val="1F4E79"/>
          <w:sz w:val="36"/>
          <w:szCs w:val="36"/>
        </w:rPr>
        <w:t xml:space="preserve">7. Conclusion</w:t>
      </w:r>
    </w:p>
    <w:p>
      <w:pPr>
        <w:spacing w:after="120" w:line="280"/>
      </w:pPr>
      <w:r>
        <w:rPr>
          <w:rFonts w:ascii="Arial" w:cs="Arial" w:eastAsia="Arial" w:hAnsi="Arial"/>
          <w:sz w:val="22"/>
          <w:szCs w:val="22"/>
        </w:rPr>
        <w:t xml:space="preserve">We presented a PatchTST-based Transformer for predictive maintenance on a synthetic multivariate sensor dataset with three failure modes. The model achieves </w:t>
      </w:r>
      <w:r>
        <w:rPr>
          <w:rFonts w:ascii="Arial" w:cs="Arial" w:eastAsia="Arial" w:hAnsi="Arial"/>
          <w:b/>
          <w:bCs/>
          <w:sz w:val="22"/>
          <w:szCs w:val="22"/>
        </w:rPr>
        <w:t xml:space="preserve">ROC-AUC 0.997</w:t>
      </w:r>
      <w:r>
        <w:rPr>
          <w:rFonts w:ascii="Arial" w:cs="Arial" w:eastAsia="Arial" w:hAnsi="Arial"/>
          <w:sz w:val="22"/>
          <w:szCs w:val="22"/>
        </w:rPr>
        <w:t xml:space="preserve"> and detects </w:t>
      </w:r>
      <w:r>
        <w:rPr>
          <w:rFonts w:ascii="Arial" w:cs="Arial" w:eastAsia="Arial" w:hAnsi="Arial"/>
          <w:b/>
          <w:bCs/>
          <w:sz w:val="22"/>
          <w:szCs w:val="22"/>
        </w:rPr>
        <w:t xml:space="preserve">96.7% of failure events</w:t>
      </w:r>
      <w:r>
        <w:rPr>
          <w:rFonts w:ascii="Arial" w:cs="Arial" w:eastAsia="Arial" w:hAnsi="Arial"/>
          <w:sz w:val="22"/>
          <w:szCs w:val="22"/>
        </w:rPr>
        <w:t xml:space="preserve"> on the test set while using fewer parameters than the LSTM baseline. The key architectural advantage is patch tokenisation combined with self-attention, which naturally captures the long-range temporal dependencies characteristic of industrial failure precursors.</w:t>
      </w:r>
    </w:p>
    <w:p>
      <w:pPr>
        <w:spacing w:after="120" w:line="280"/>
      </w:pPr>
      <w:r>
        <w:rPr>
          <w:rFonts w:ascii="Arial" w:cs="Arial" w:eastAsia="Arial" w:hAnsi="Arial"/>
          <w:sz w:val="22"/>
          <w:szCs w:val="22"/>
        </w:rPr>
        <w:t xml:space="preserve">The Transformer was selected over classical ML (lacks temporal modelling) and LSTM (sequential processing, gradient decay) because it provides the best alignment between </w:t>
      </w:r>
      <w:r>
        <w:rPr>
          <w:rFonts w:ascii="Arial" w:cs="Arial" w:eastAsia="Arial" w:hAnsi="Arial"/>
          <w:b/>
          <w:bCs/>
          <w:sz w:val="22"/>
          <w:szCs w:val="22"/>
        </w:rPr>
        <w:t xml:space="preserve">the structure of the problem</w:t>
      </w:r>
      <w:r>
        <w:rPr>
          <w:rFonts w:ascii="Arial" w:cs="Arial" w:eastAsia="Arial" w:hAnsi="Arial"/>
          <w:sz w:val="22"/>
          <w:szCs w:val="22"/>
        </w:rPr>
        <w:t xml:space="preserve"> — multi-step failure signatures requiring long-range pattern matching — and </w:t>
      </w:r>
      <w:r>
        <w:rPr>
          <w:rFonts w:ascii="Arial" w:cs="Arial" w:eastAsia="Arial" w:hAnsi="Arial"/>
          <w:b/>
          <w:bCs/>
          <w:sz w:val="22"/>
          <w:szCs w:val="22"/>
        </w:rPr>
        <w:t xml:space="preserve">the structure of the architecture</w:t>
      </w:r>
      <w:r>
        <w:rPr>
          <w:rFonts w:ascii="Arial" w:cs="Arial" w:eastAsia="Arial" w:hAnsi="Arial"/>
          <w:sz w:val="22"/>
          <w:szCs w:val="22"/>
        </w:rPr>
        <w:t xml:space="preserve"> — parallel attention over local temporal patches. The experimental results confirm this alignment quantitatively.</w:t>
      </w:r>
    </w:p>
    <w:p>
      <w:pPr>
        <w:spacing w:after="80"/>
      </w:pPr>
      <w:r>
        <w:t xml:space="preserve"/>
      </w:r>
    </w:p>
    <w:p>
      <w:pPr>
        <w:shd w:fill="D6E4F0" w:val="clear"/>
        <w:spacing w:after="60" w:before="160" w:line="280"/>
        <w:ind w:left="200" w:right="200"/>
      </w:pPr>
      <w:r>
        <w:rPr>
          <w:rFonts w:ascii="Arial" w:cs="Arial" w:eastAsia="Arial" w:hAnsi="Arial"/>
          <w:b/>
          <w:bCs/>
          <w:color w:val="1F4E79"/>
          <w:sz w:val="20"/>
          <w:szCs w:val="20"/>
        </w:rPr>
        <w:t xml:space="preserve">Sentence for presentation:  </w:t>
      </w:r>
      <w:r>
        <w:rPr>
          <w:rFonts w:ascii="Arial" w:cs="Arial" w:eastAsia="Arial" w:hAnsi="Arial"/>
          <w:color w:val="1A1A1A"/>
          <w:sz w:val="20"/>
          <w:szCs w:val="20"/>
        </w:rPr>
        <w:t xml:space="preserve">"We chose the PatchTST Transformer because machine failures don't happen at a single timestep — they unfold over seconds or minutes. Self-attention lets the model directly connect an early vibration anomaly with a later RPM drop, regardless of how many steps apart they are. An LSTM has to carry that information through dozens of sequential updates, and the signal degrades. The results confirm this: our Transformer detects 97% of failures with a ROC-AUC of 0.997, outperforming the LSTM baseline with fewer parameters."</w:t>
      </w:r>
    </w:p>
    <w:p>
      <w:pPr>
        <w:shd w:fill="D6E4F0" w:val="clear"/>
        <w:spacing w:after="160"/>
        <w:ind w:left="200" w:right="200"/>
      </w:pPr>
      <w:r>
        <w:t xml:space="preserve"/>
      </w:r>
    </w:p>
    <w:p>
      <w:pPr>
        <w:spacing w:after="80"/>
      </w:pPr>
      <w:r>
        <w:t xml:space="preserve"/>
      </w:r>
    </w:p>
    <w:p>
      <w:pPr>
        <w:pStyle w:val="Heading1"/>
        <w:spacing w:after="160" w:before="320"/>
      </w:pPr>
      <w:r>
        <w:rPr>
          <w:rFonts w:ascii="Arial" w:cs="Arial" w:eastAsia="Arial" w:hAnsi="Arial"/>
          <w:b/>
          <w:bCs/>
          <w:color w:val="1F4E79"/>
          <w:sz w:val="36"/>
          <w:szCs w:val="36"/>
        </w:rPr>
        <w:t xml:space="preserve">References</w:t>
      </w:r>
    </w:p>
    <w:p>
      <w:pPr>
        <w:spacing w:after="120" w:line="280"/>
      </w:pPr>
      <w:r>
        <w:rPr>
          <w:rFonts w:ascii="Arial" w:cs="Arial" w:eastAsia="Arial" w:hAnsi="Arial"/>
          <w:i/>
          <w:iCs/>
          <w:sz w:val="22"/>
          <w:szCs w:val="22"/>
        </w:rPr>
        <w:t xml:space="preserve">Nie, Y., Nguyen, N. H., Sinthong, P., &amp; Kalagnanam, J. (2023). A Time Series is Worth 64 Words: Long-term Forecasting with Transformers. NeurIPS 2023.</w:t>
      </w:r>
    </w:p>
    <w:p>
      <w:pPr>
        <w:spacing w:after="120" w:line="280"/>
      </w:pPr>
      <w:r>
        <w:rPr>
          <w:rFonts w:ascii="Arial" w:cs="Arial" w:eastAsia="Arial" w:hAnsi="Arial"/>
          <w:i/>
          <w:iCs/>
          <w:sz w:val="22"/>
          <w:szCs w:val="22"/>
        </w:rPr>
        <w:t xml:space="preserve">Vaswani, A., et al. (2017). Attention is all you need. NeurIPS 2017.</w:t>
      </w:r>
    </w:p>
    <w:p>
      <w:pPr>
        <w:spacing w:after="120" w:line="280"/>
      </w:pPr>
      <w:r>
        <w:rPr>
          <w:rFonts w:ascii="Arial" w:cs="Arial" w:eastAsia="Arial" w:hAnsi="Arial"/>
          <w:i/>
          <w:iCs/>
          <w:sz w:val="22"/>
          <w:szCs w:val="22"/>
        </w:rPr>
        <w:t xml:space="preserve">Hochreiter, S., &amp; Schmidhuber, J. (1997). Long short-term memory. Neural Computation, 9(8).</w:t>
      </w:r>
    </w:p>
    <w:p>
      <w:pPr>
        <w:spacing w:after="120" w:line="280"/>
      </w:pPr>
      <w:r>
        <w:rPr>
          <w:rFonts w:ascii="Arial" w:cs="Arial" w:eastAsia="Arial" w:hAnsi="Arial"/>
          <w:i/>
          <w:iCs/>
          <w:sz w:val="22"/>
          <w:szCs w:val="22"/>
        </w:rPr>
        <w:t xml:space="preserve">Zhao, H., et al. (2019). Predicting equipment failures in industrial IoT with transformer models. IEEE Transactions on Industrial Informatics.</w:t>
      </w:r>
    </w:p>
    <w:p>
      <w:pPr>
        <w:spacing w:after="120" w:line="280"/>
      </w:pPr>
      <w:r>
        <w:rPr>
          <w:rFonts w:ascii="Arial" w:cs="Arial" w:eastAsia="Arial" w:hAnsi="Arial"/>
          <w:i/>
          <w:iCs/>
          <w:sz w:val="22"/>
          <w:szCs w:val="22"/>
        </w:rPr>
        <w:t xml:space="preserve">Liu, Y., et al. (2024). iTransformer: Inverted Transformers Are Effective for Time Series Forecasting. ICLR 2024.</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tabs>
        <w:tab w:val="right" w:pos="9026"/>
      </w:tabs>
      <w:spacing w:after="0"/>
    </w:pPr>
    <w:r>
      <w:rPr>
        <w:rFonts w:ascii="Arial" w:cs="Arial" w:eastAsia="Arial" w:hAnsi="Arial"/>
        <w:color w:val="888888"/>
        <w:sz w:val="18"/>
        <w:szCs w:val="18"/>
      </w:rPr>
      <w:t xml:space="preserve">Method Selection Report</w:t>
    </w:r>
    <w:r>
      <w:rPr>
        <w:rFonts w:ascii="Arial" w:cs="Arial" w:eastAsia="Arial" w:hAnsi="Arial"/>
        <w:color w:val="888888"/>
        <w:sz w:val="18"/>
        <w:szCs w:val="18"/>
      </w:rPr>
      <w:t xml:space="preserve">	Page </w:t>
    </w:r>
    <w:pgNum/>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spacing w:after="0"/>
    </w:pPr>
    <w:r>
      <w:rPr>
        <w:rFonts w:ascii="Arial" w:cs="Arial" w:eastAsia="Arial" w:hAnsi="Arial"/>
        <w:color w:val="666666"/>
        <w:sz w:val="18"/>
        <w:szCs w:val="18"/>
      </w:rPr>
      <w:t xml:space="preserve">Predictive Maintenance — Deep Learning Project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4E79"/>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2E75B6"/>
      <w:sz w:val="28"/>
      <w:szCs w:val="28"/>
    </w:rPr>
  </w:style>
  <w:style w:type="paragraph" w:styleId="Heading3">
    <w:name w:val="Heading 3"/>
    <w:basedOn w:val="Normal"/>
    <w:next w:val="Normal"/>
    <w:qFormat/>
    <w:pPr>
      <w:spacing w:after="80" w:before="180"/>
      <w:outlineLvl w:val="2"/>
    </w:pPr>
    <w:rPr>
      <w:rFonts w:ascii="Arial" w:cs="Arial" w:eastAsia="Arial" w:hAnsi="Arial"/>
      <w:b/>
      <w:bCs/>
      <w:color w:val="C55A1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2026-05-09T11:38:53.864Z</dcterms:created>
  <dcterms:modified xsi:type="dcterms:W3CDTF">2026-05-09T11:38:53.865Z</dcterms:modified>
</cp:coreProperties>
</file>

<file path=docProps/custom.xml><?xml version="1.0" encoding="utf-8"?>
<Properties xmlns="http://schemas.openxmlformats.org/officeDocument/2006/custom-properties" xmlns:vt="http://schemas.openxmlformats.org/officeDocument/2006/docPropsVTypes"/>
</file>