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690" w:rsidRDefault="00666696">
      <w:pPr>
        <w:rPr>
          <w:b/>
        </w:rPr>
      </w:pPr>
      <w:proofErr w:type="spellStart"/>
      <w:r w:rsidRPr="00666696">
        <w:rPr>
          <w:b/>
        </w:rPr>
        <w:t>Feldertafeln</w:t>
      </w:r>
      <w:proofErr w:type="spellEnd"/>
      <w:r w:rsidRPr="00666696">
        <w:rPr>
          <w:b/>
        </w:rPr>
        <w:t xml:space="preserve"> zur Bestimmung von Wahrscheinlichkeiten.</w:t>
      </w:r>
    </w:p>
    <w:p w:rsidR="00666696" w:rsidRDefault="00666696">
      <w:r>
        <w:t xml:space="preserve">Manchmal sind </w:t>
      </w:r>
      <w:proofErr w:type="spellStart"/>
      <w:r>
        <w:t>Feldertafeln</w:t>
      </w:r>
      <w:proofErr w:type="spellEnd"/>
      <w:r>
        <w:t xml:space="preserve"> besser geeignet als Bäume. Zum Bestimmen der Augensumme zweier Würfel kann man z.B. eine 6x6 Tafel aufstellen  und dann die Zahl der günstigen Ergebnisse für ein Ereignis ablesen.</w:t>
      </w:r>
    </w:p>
    <w:p w:rsidR="00666696" w:rsidRDefault="00666696">
      <w:pPr>
        <w:rPr>
          <w:rFonts w:eastAsiaTheme="minorEastAsia"/>
        </w:rPr>
      </w:pPr>
      <w:r>
        <w:t>Oft werde</w:t>
      </w:r>
      <w:r w:rsidR="002A4F03">
        <w:t>n</w:t>
      </w:r>
      <w:r>
        <w:t xml:space="preserve"> zwei verschiedene Merkmale</w:t>
      </w:r>
      <w:r w:rsidR="002A4F03">
        <w:t xml:space="preserve"> A und B</w:t>
      </w:r>
      <w:r>
        <w:t xml:space="preserve"> in der Ausprägung </w:t>
      </w:r>
      <w:r w:rsidR="002A4F03">
        <w:br/>
      </w:r>
      <w:r>
        <w:t xml:space="preserve">trifft zu </w:t>
      </w:r>
      <w:r w:rsidR="002A4F03">
        <w:t>–</w:t>
      </w:r>
      <w:r>
        <w:t>A</w:t>
      </w:r>
      <w:r w:rsidR="002A4F03">
        <w:t>, B</w:t>
      </w:r>
      <w:r w:rsidR="00650A3D">
        <w:t>-</w:t>
      </w:r>
      <w:r>
        <w:t xml:space="preserve"> oder trifft nicht zu </w:t>
      </w:r>
      <w:r w:rsidR="00650A3D">
        <w:t>-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2A4F03" w:rsidRPr="002A4F03">
        <w:t xml:space="preserve"> </w:t>
      </w:r>
      <w:r w:rsidR="002A4F03">
        <w:t>betrachtet</w:t>
      </w:r>
      <w:r w:rsidR="002A4F03">
        <w:t>.</w:t>
      </w:r>
    </w:p>
    <w:p w:rsidR="00666696" w:rsidRDefault="00666696">
      <w:pPr>
        <w:rPr>
          <w:rFonts w:eastAsiaTheme="minorEastAsia"/>
        </w:rPr>
      </w:pPr>
      <w:r>
        <w:rPr>
          <w:rFonts w:eastAsiaTheme="minorEastAsia"/>
        </w:rPr>
        <w:t xml:space="preserve">Dann entsteht eine </w:t>
      </w:r>
      <w:proofErr w:type="spellStart"/>
      <w:r>
        <w:rPr>
          <w:rFonts w:eastAsiaTheme="minorEastAsia"/>
        </w:rPr>
        <w:t>Vierfeldertafel</w:t>
      </w:r>
      <w:proofErr w:type="spellEnd"/>
      <w:r>
        <w:rPr>
          <w:rFonts w:eastAsiaTheme="minorEastAsia"/>
        </w:rPr>
        <w:t>.</w:t>
      </w:r>
    </w:p>
    <w:p w:rsidR="00666696" w:rsidRDefault="00666696">
      <w:pPr>
        <w:rPr>
          <w:rFonts w:eastAsiaTheme="minorEastAsia"/>
        </w:rPr>
      </w:pPr>
      <w:proofErr w:type="spellStart"/>
      <w:r>
        <w:rPr>
          <w:rFonts w:eastAsiaTheme="minorEastAsia"/>
        </w:rPr>
        <w:t>Bsp</w:t>
      </w:r>
      <w:proofErr w:type="spellEnd"/>
      <w:r>
        <w:rPr>
          <w:rFonts w:eastAsiaTheme="minorEastAsia"/>
        </w:rPr>
        <w:t>: 200 Jugendliche wurden zu ihrer Ernährung befragt. Von den 105 Mädchen gaben 28 an, sich vegetarisch (oder sogar vegan) zu ernähren. Wogegen 82 Jungen sagten, dass sie auch Fleisch essen.</w:t>
      </w:r>
    </w:p>
    <w:p w:rsidR="00391CD1" w:rsidRDefault="00391CD1">
      <w:pPr>
        <w:rPr>
          <w:rFonts w:eastAsiaTheme="minorEastAsia"/>
        </w:rPr>
      </w:pPr>
      <w:r>
        <w:rPr>
          <w:rFonts w:eastAsiaTheme="minorEastAsia"/>
        </w:rPr>
        <w:t>Die Gruppe soll repräsentativ  sein.</w:t>
      </w:r>
    </w:p>
    <w:p w:rsidR="00666696" w:rsidRDefault="00666696">
      <w:pPr>
        <w:rPr>
          <w:rFonts w:eastAsiaTheme="minorEastAsia"/>
        </w:rPr>
      </w:pPr>
      <w:r>
        <w:rPr>
          <w:rFonts w:eastAsiaTheme="minorEastAsia"/>
        </w:rPr>
        <w:t>Merkmal 1: Geschlecht: J,M;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Merkmal 2 vegetarische Ernährung V,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>.</w:t>
      </w:r>
    </w:p>
    <w:p w:rsidR="00666696" w:rsidRPr="00666696" w:rsidRDefault="00666696">
      <w:r>
        <w:rPr>
          <w:rFonts w:eastAsiaTheme="minorEastAsia"/>
        </w:rPr>
        <w:t xml:space="preserve">Tabelle: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66696" w:rsidTr="00666696">
        <w:tc>
          <w:tcPr>
            <w:tcW w:w="2303" w:type="dxa"/>
          </w:tcPr>
          <w:p w:rsidR="00666696" w:rsidRDefault="00666696">
            <w:r>
              <w:t>Merkmale</w:t>
            </w:r>
          </w:p>
        </w:tc>
        <w:tc>
          <w:tcPr>
            <w:tcW w:w="2303" w:type="dxa"/>
          </w:tcPr>
          <w:p w:rsidR="00666696" w:rsidRDefault="00666696">
            <w:r>
              <w:t>V</w:t>
            </w:r>
          </w:p>
        </w:tc>
        <w:tc>
          <w:tcPr>
            <w:tcW w:w="2303" w:type="dxa"/>
          </w:tcPr>
          <w:p w:rsidR="00666696" w:rsidRDefault="002A4F03"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 w:rsidR="00666696">
              <w:rPr>
                <w:rFonts w:eastAsiaTheme="minorEastAsia"/>
              </w:rPr>
              <w:t>.</w:t>
            </w:r>
          </w:p>
        </w:tc>
        <w:tc>
          <w:tcPr>
            <w:tcW w:w="2303" w:type="dxa"/>
          </w:tcPr>
          <w:p w:rsidR="00666696" w:rsidRDefault="00666696"/>
        </w:tc>
      </w:tr>
      <w:tr w:rsidR="00666696" w:rsidTr="00666696">
        <w:tc>
          <w:tcPr>
            <w:tcW w:w="2303" w:type="dxa"/>
          </w:tcPr>
          <w:p w:rsidR="00666696" w:rsidRDefault="00666696">
            <w:r>
              <w:t>J</w:t>
            </w:r>
          </w:p>
        </w:tc>
        <w:tc>
          <w:tcPr>
            <w:tcW w:w="2303" w:type="dxa"/>
          </w:tcPr>
          <w:p w:rsidR="00666696" w:rsidRDefault="00666696"/>
        </w:tc>
        <w:tc>
          <w:tcPr>
            <w:tcW w:w="2303" w:type="dxa"/>
          </w:tcPr>
          <w:p w:rsidR="00666696" w:rsidRDefault="00666696">
            <w:r>
              <w:t>82</w:t>
            </w:r>
          </w:p>
        </w:tc>
        <w:tc>
          <w:tcPr>
            <w:tcW w:w="2303" w:type="dxa"/>
          </w:tcPr>
          <w:p w:rsidR="00666696" w:rsidRDefault="00666696"/>
        </w:tc>
      </w:tr>
      <w:tr w:rsidR="00666696" w:rsidTr="00666696">
        <w:tc>
          <w:tcPr>
            <w:tcW w:w="2303" w:type="dxa"/>
          </w:tcPr>
          <w:p w:rsidR="00666696" w:rsidRDefault="00666696">
            <w:r>
              <w:t>M</w:t>
            </w:r>
          </w:p>
        </w:tc>
        <w:tc>
          <w:tcPr>
            <w:tcW w:w="2303" w:type="dxa"/>
          </w:tcPr>
          <w:p w:rsidR="00666696" w:rsidRDefault="00666696">
            <w:r>
              <w:t>28</w:t>
            </w:r>
          </w:p>
        </w:tc>
        <w:tc>
          <w:tcPr>
            <w:tcW w:w="2303" w:type="dxa"/>
          </w:tcPr>
          <w:p w:rsidR="00666696" w:rsidRDefault="00666696"/>
        </w:tc>
        <w:tc>
          <w:tcPr>
            <w:tcW w:w="2303" w:type="dxa"/>
          </w:tcPr>
          <w:p w:rsidR="00666696" w:rsidRDefault="00666696">
            <w:r>
              <w:t>105</w:t>
            </w:r>
          </w:p>
        </w:tc>
      </w:tr>
      <w:tr w:rsidR="00666696" w:rsidTr="00666696">
        <w:tc>
          <w:tcPr>
            <w:tcW w:w="2303" w:type="dxa"/>
          </w:tcPr>
          <w:p w:rsidR="00666696" w:rsidRDefault="00666696"/>
        </w:tc>
        <w:tc>
          <w:tcPr>
            <w:tcW w:w="2303" w:type="dxa"/>
          </w:tcPr>
          <w:p w:rsidR="00666696" w:rsidRDefault="00666696"/>
        </w:tc>
        <w:tc>
          <w:tcPr>
            <w:tcW w:w="2303" w:type="dxa"/>
          </w:tcPr>
          <w:p w:rsidR="00666696" w:rsidRDefault="00666696"/>
        </w:tc>
        <w:tc>
          <w:tcPr>
            <w:tcW w:w="2303" w:type="dxa"/>
          </w:tcPr>
          <w:p w:rsidR="00666696" w:rsidRDefault="00666696" w:rsidP="00666696">
            <w:r>
              <w:t>Gesamt: 200</w:t>
            </w:r>
          </w:p>
        </w:tc>
      </w:tr>
    </w:tbl>
    <w:p w:rsidR="00666696" w:rsidRDefault="00666696"/>
    <w:p w:rsidR="00666696" w:rsidRDefault="00666696">
      <w:r>
        <w:t>Ergänzen der Tabelle aus der Gesamtzahl: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66696" w:rsidTr="009A58D0">
        <w:tc>
          <w:tcPr>
            <w:tcW w:w="2303" w:type="dxa"/>
          </w:tcPr>
          <w:p w:rsidR="00666696" w:rsidRDefault="00666696" w:rsidP="009A58D0">
            <w:r>
              <w:t>Merkmale</w:t>
            </w:r>
          </w:p>
        </w:tc>
        <w:tc>
          <w:tcPr>
            <w:tcW w:w="2303" w:type="dxa"/>
          </w:tcPr>
          <w:p w:rsidR="00666696" w:rsidRDefault="00666696" w:rsidP="009A58D0">
            <w:r>
              <w:t>V</w:t>
            </w:r>
          </w:p>
        </w:tc>
        <w:tc>
          <w:tcPr>
            <w:tcW w:w="2303" w:type="dxa"/>
          </w:tcPr>
          <w:p w:rsidR="00666696" w:rsidRDefault="002A4F03" w:rsidP="009A58D0"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 w:rsidR="00666696">
              <w:rPr>
                <w:rFonts w:eastAsiaTheme="minorEastAsia"/>
              </w:rPr>
              <w:t>.</w:t>
            </w:r>
          </w:p>
        </w:tc>
        <w:tc>
          <w:tcPr>
            <w:tcW w:w="2303" w:type="dxa"/>
          </w:tcPr>
          <w:p w:rsidR="00666696" w:rsidRDefault="00666696" w:rsidP="009A58D0"/>
        </w:tc>
      </w:tr>
      <w:tr w:rsidR="00666696" w:rsidTr="009A58D0">
        <w:tc>
          <w:tcPr>
            <w:tcW w:w="2303" w:type="dxa"/>
          </w:tcPr>
          <w:p w:rsidR="00666696" w:rsidRDefault="00666696" w:rsidP="009A58D0">
            <w:r>
              <w:t>J</w:t>
            </w:r>
          </w:p>
        </w:tc>
        <w:tc>
          <w:tcPr>
            <w:tcW w:w="2303" w:type="dxa"/>
          </w:tcPr>
          <w:p w:rsidR="00666696" w:rsidRDefault="00666696" w:rsidP="009A58D0">
            <w:r w:rsidRPr="00715282">
              <w:rPr>
                <w:color w:val="00B050"/>
              </w:rPr>
              <w:t>13</w:t>
            </w:r>
          </w:p>
        </w:tc>
        <w:tc>
          <w:tcPr>
            <w:tcW w:w="2303" w:type="dxa"/>
          </w:tcPr>
          <w:p w:rsidR="00666696" w:rsidRDefault="00666696" w:rsidP="009A58D0">
            <w:r>
              <w:t>82</w:t>
            </w:r>
          </w:p>
        </w:tc>
        <w:tc>
          <w:tcPr>
            <w:tcW w:w="2303" w:type="dxa"/>
          </w:tcPr>
          <w:p w:rsidR="00666696" w:rsidRDefault="00666696" w:rsidP="009A58D0">
            <w:r w:rsidRPr="00715282">
              <w:rPr>
                <w:color w:val="00B050"/>
              </w:rPr>
              <w:t>95</w:t>
            </w:r>
          </w:p>
        </w:tc>
      </w:tr>
      <w:tr w:rsidR="00666696" w:rsidTr="009A58D0">
        <w:tc>
          <w:tcPr>
            <w:tcW w:w="2303" w:type="dxa"/>
          </w:tcPr>
          <w:p w:rsidR="00666696" w:rsidRDefault="00666696" w:rsidP="009A58D0">
            <w:r>
              <w:t>M</w:t>
            </w:r>
          </w:p>
        </w:tc>
        <w:tc>
          <w:tcPr>
            <w:tcW w:w="2303" w:type="dxa"/>
          </w:tcPr>
          <w:p w:rsidR="00666696" w:rsidRDefault="00666696" w:rsidP="009A58D0">
            <w:r>
              <w:t>28</w:t>
            </w:r>
          </w:p>
        </w:tc>
        <w:tc>
          <w:tcPr>
            <w:tcW w:w="2303" w:type="dxa"/>
          </w:tcPr>
          <w:p w:rsidR="00666696" w:rsidRDefault="00666696" w:rsidP="009A58D0">
            <w:r w:rsidRPr="00715282">
              <w:rPr>
                <w:color w:val="00B050"/>
              </w:rPr>
              <w:t>77</w:t>
            </w:r>
          </w:p>
        </w:tc>
        <w:tc>
          <w:tcPr>
            <w:tcW w:w="2303" w:type="dxa"/>
          </w:tcPr>
          <w:p w:rsidR="00666696" w:rsidRDefault="00666696" w:rsidP="009A58D0">
            <w:r>
              <w:t>105</w:t>
            </w:r>
          </w:p>
        </w:tc>
      </w:tr>
      <w:tr w:rsidR="00666696" w:rsidTr="009A58D0">
        <w:tc>
          <w:tcPr>
            <w:tcW w:w="2303" w:type="dxa"/>
          </w:tcPr>
          <w:p w:rsidR="00666696" w:rsidRDefault="00666696" w:rsidP="009A58D0"/>
        </w:tc>
        <w:tc>
          <w:tcPr>
            <w:tcW w:w="2303" w:type="dxa"/>
          </w:tcPr>
          <w:p w:rsidR="00666696" w:rsidRDefault="00715282" w:rsidP="009A58D0">
            <w:r w:rsidRPr="00715282">
              <w:rPr>
                <w:color w:val="00B050"/>
              </w:rPr>
              <w:t>41</w:t>
            </w:r>
          </w:p>
        </w:tc>
        <w:tc>
          <w:tcPr>
            <w:tcW w:w="2303" w:type="dxa"/>
          </w:tcPr>
          <w:p w:rsidR="00666696" w:rsidRDefault="00715282" w:rsidP="009A58D0">
            <w:r w:rsidRPr="00715282">
              <w:rPr>
                <w:color w:val="00B050"/>
              </w:rPr>
              <w:t>159</w:t>
            </w:r>
          </w:p>
        </w:tc>
        <w:tc>
          <w:tcPr>
            <w:tcW w:w="2303" w:type="dxa"/>
          </w:tcPr>
          <w:p w:rsidR="00666696" w:rsidRDefault="00666696" w:rsidP="009A58D0">
            <w:r>
              <w:t>Gesamt: 200</w:t>
            </w:r>
          </w:p>
        </w:tc>
      </w:tr>
    </w:tbl>
    <w:p w:rsidR="00715282" w:rsidRDefault="00715282"/>
    <w:p w:rsidR="00715282" w:rsidRDefault="003C2A4A">
      <w:r>
        <w:t xml:space="preserve">Es gab also 41 </w:t>
      </w:r>
      <w:proofErr w:type="spellStart"/>
      <w:r>
        <w:t>Vegetari</w:t>
      </w:r>
      <w:r w:rsidR="00715282">
        <w:t>erInnen</w:t>
      </w:r>
      <w:proofErr w:type="spellEnd"/>
      <w:r w:rsidR="00715282">
        <w:t xml:space="preserve"> von 200 Befragten. </w:t>
      </w:r>
    </w:p>
    <w:p w:rsidR="00715282" w:rsidRDefault="00715282">
      <w:r>
        <w:t>Die Wahrscheinlichkeit, dass sich ein Jugendlicher veg</w:t>
      </w:r>
      <w:r w:rsidR="003C2A4A">
        <w:t>etarisch,</w:t>
      </w:r>
      <w:r>
        <w:t xml:space="preserve"> ernährt ist P(V)=20,5%.</w:t>
      </w:r>
    </w:p>
    <w:p w:rsidR="00391CD1" w:rsidRDefault="00391CD1">
      <w:r>
        <w:t>Teilen wir alle Angaben durch die Gesamtzahl erhalten wir (gerundet) die Wahrscheinlichkeiten.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91CD1" w:rsidTr="00921F1D">
        <w:tc>
          <w:tcPr>
            <w:tcW w:w="2303" w:type="dxa"/>
          </w:tcPr>
          <w:p w:rsidR="00391CD1" w:rsidRDefault="00391CD1" w:rsidP="009A58D0">
            <w:r>
              <w:t>Merkmale</w:t>
            </w:r>
          </w:p>
        </w:tc>
        <w:tc>
          <w:tcPr>
            <w:tcW w:w="2303" w:type="dxa"/>
            <w:tcBorders>
              <w:bottom w:val="single" w:sz="4" w:space="0" w:color="auto"/>
            </w:tcBorders>
          </w:tcPr>
          <w:p w:rsidR="00391CD1" w:rsidRDefault="00391CD1" w:rsidP="009A58D0">
            <w:r>
              <w:t>V</w:t>
            </w:r>
          </w:p>
        </w:tc>
        <w:tc>
          <w:tcPr>
            <w:tcW w:w="2303" w:type="dxa"/>
            <w:tcBorders>
              <w:bottom w:val="single" w:sz="4" w:space="0" w:color="auto"/>
            </w:tcBorders>
          </w:tcPr>
          <w:p w:rsidR="00391CD1" w:rsidRDefault="002A4F03" w:rsidP="009A58D0"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 w:rsidR="00391CD1">
              <w:rPr>
                <w:rFonts w:eastAsiaTheme="minorEastAsia"/>
              </w:rPr>
              <w:t>.</w:t>
            </w:r>
          </w:p>
        </w:tc>
        <w:tc>
          <w:tcPr>
            <w:tcW w:w="2303" w:type="dxa"/>
          </w:tcPr>
          <w:p w:rsidR="00391CD1" w:rsidRDefault="00391CD1" w:rsidP="009A58D0"/>
        </w:tc>
      </w:tr>
      <w:tr w:rsidR="00921F1D" w:rsidTr="00921F1D">
        <w:tc>
          <w:tcPr>
            <w:tcW w:w="2303" w:type="dxa"/>
            <w:tcBorders>
              <w:right w:val="single" w:sz="4" w:space="0" w:color="auto"/>
            </w:tcBorders>
          </w:tcPr>
          <w:p w:rsidR="00391CD1" w:rsidRDefault="00391CD1" w:rsidP="009A58D0">
            <w:r>
              <w:t>J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1CD1" w:rsidRDefault="00391CD1" w:rsidP="009A58D0">
            <w:r>
              <w:rPr>
                <w:color w:val="00B050"/>
              </w:rPr>
              <w:t>0.065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1CD1" w:rsidRDefault="00391CD1" w:rsidP="009A58D0">
            <w:r>
              <w:t>0.41</w:t>
            </w:r>
          </w:p>
        </w:tc>
        <w:tc>
          <w:tcPr>
            <w:tcW w:w="2303" w:type="dxa"/>
            <w:tcBorders>
              <w:left w:val="single" w:sz="4" w:space="0" w:color="auto"/>
            </w:tcBorders>
          </w:tcPr>
          <w:p w:rsidR="00391CD1" w:rsidRDefault="00391CD1" w:rsidP="009A58D0">
            <w:r>
              <w:rPr>
                <w:color w:val="00B050"/>
              </w:rPr>
              <w:t>0.475</w:t>
            </w:r>
          </w:p>
        </w:tc>
      </w:tr>
      <w:tr w:rsidR="00921F1D" w:rsidTr="00921F1D">
        <w:tc>
          <w:tcPr>
            <w:tcW w:w="2303" w:type="dxa"/>
            <w:tcBorders>
              <w:right w:val="single" w:sz="4" w:space="0" w:color="auto"/>
            </w:tcBorders>
          </w:tcPr>
          <w:p w:rsidR="00391CD1" w:rsidRDefault="00391CD1" w:rsidP="009A58D0">
            <w:r>
              <w:t>M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1CD1" w:rsidRDefault="00391CD1" w:rsidP="009A58D0">
            <w:r>
              <w:t>0.14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1CD1" w:rsidRDefault="00391CD1" w:rsidP="009A58D0">
            <w:r>
              <w:rPr>
                <w:color w:val="00B050"/>
              </w:rPr>
              <w:t>0.385</w:t>
            </w:r>
          </w:p>
        </w:tc>
        <w:tc>
          <w:tcPr>
            <w:tcW w:w="2303" w:type="dxa"/>
            <w:tcBorders>
              <w:left w:val="single" w:sz="4" w:space="0" w:color="auto"/>
            </w:tcBorders>
          </w:tcPr>
          <w:p w:rsidR="00391CD1" w:rsidRDefault="00391CD1" w:rsidP="009A58D0">
            <w:r>
              <w:t>0.525</w:t>
            </w:r>
          </w:p>
        </w:tc>
      </w:tr>
      <w:tr w:rsidR="00391CD1" w:rsidTr="00921F1D">
        <w:tc>
          <w:tcPr>
            <w:tcW w:w="2303" w:type="dxa"/>
          </w:tcPr>
          <w:p w:rsidR="00391CD1" w:rsidRDefault="00391CD1" w:rsidP="009A58D0"/>
        </w:tc>
        <w:tc>
          <w:tcPr>
            <w:tcW w:w="2303" w:type="dxa"/>
            <w:tcBorders>
              <w:top w:val="single" w:sz="4" w:space="0" w:color="auto"/>
            </w:tcBorders>
          </w:tcPr>
          <w:p w:rsidR="00391CD1" w:rsidRDefault="00391CD1" w:rsidP="009A58D0">
            <w:r>
              <w:rPr>
                <w:color w:val="00B050"/>
              </w:rPr>
              <w:t>0.205</w:t>
            </w:r>
          </w:p>
        </w:tc>
        <w:tc>
          <w:tcPr>
            <w:tcW w:w="2303" w:type="dxa"/>
            <w:tcBorders>
              <w:top w:val="single" w:sz="4" w:space="0" w:color="auto"/>
            </w:tcBorders>
          </w:tcPr>
          <w:p w:rsidR="00391CD1" w:rsidRDefault="005972F4" w:rsidP="009A58D0">
            <w:r>
              <w:rPr>
                <w:color w:val="00B050"/>
              </w:rPr>
              <w:t>0.795</w:t>
            </w:r>
          </w:p>
        </w:tc>
        <w:tc>
          <w:tcPr>
            <w:tcW w:w="2303" w:type="dxa"/>
          </w:tcPr>
          <w:p w:rsidR="00391CD1" w:rsidRDefault="00391CD1" w:rsidP="00391CD1">
            <w:r>
              <w:t>Gesamt: 1</w:t>
            </w:r>
          </w:p>
        </w:tc>
      </w:tr>
    </w:tbl>
    <w:p w:rsidR="00391CD1" w:rsidRDefault="00391CD1"/>
    <w:p w:rsidR="00391CD1" w:rsidRDefault="00391CD1">
      <w:r>
        <w:t xml:space="preserve">Dabei stehen in den inneren </w:t>
      </w:r>
      <w:r w:rsidR="00921F1D">
        <w:t xml:space="preserve">4 </w:t>
      </w:r>
      <w:r>
        <w:t>Feldern die „und“ Verknüpfungen</w:t>
      </w:r>
      <w:r w:rsidR="003C2A4A">
        <w:t xml:space="preserve"> = </w:t>
      </w:r>
      <w:proofErr w:type="gramStart"/>
      <w:r w:rsidR="003C2A4A">
        <w:t xml:space="preserve">Durchschnitt </w:t>
      </w:r>
      <w:proofErr w:type="gramEnd"/>
      <m:oMath>
        <m:r>
          <w:rPr>
            <w:rFonts w:ascii="Cambria Math" w:hAnsi="Cambria Math"/>
          </w:rPr>
          <m:t>A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</m:t>
            </m:r>
          </m:e>
        </m:nary>
      </m:oMath>
      <w:r>
        <w:t xml:space="preserve">. </w:t>
      </w:r>
      <w:r w:rsidR="00921F1D">
        <w:t xml:space="preserve">Deshalb </w:t>
      </w:r>
      <w:proofErr w:type="spellStart"/>
      <w:r w:rsidR="00921F1D">
        <w:t>Vie</w:t>
      </w:r>
      <w:r w:rsidR="003C2A4A">
        <w:t>r</w:t>
      </w:r>
      <w:r w:rsidR="00921F1D">
        <w:t>feldertafel</w:t>
      </w:r>
      <w:proofErr w:type="spellEnd"/>
      <w:r w:rsidR="00921F1D">
        <w:t>.</w:t>
      </w:r>
      <w:r>
        <w:br/>
        <w:t xml:space="preserve">Die Wahrscheinlichkeit dass ein Befragter ein männlicher Vegetarier ist beträgt: </w:t>
      </w:r>
      <w:r w:rsidR="005972F4">
        <w:t>P(J</w:t>
      </w:r>
      <m:oMath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V</m:t>
            </m:r>
          </m:e>
        </m:nary>
        <m:r>
          <w:rPr>
            <w:rFonts w:ascii="Cambria Math" w:hAnsi="Cambria Math"/>
          </w:rPr>
          <m:t>)=</m:t>
        </m:r>
      </m:oMath>
      <w:r>
        <w:t>0.065</w:t>
      </w:r>
    </w:p>
    <w:p w:rsidR="005972F4" w:rsidRDefault="005972F4">
      <w:r>
        <w:t xml:space="preserve">Die „oder“ Verknüpfung </w:t>
      </w:r>
      <w:r w:rsidR="003C2A4A">
        <w:t xml:space="preserve">= Vereinigung </w:t>
      </w:r>
      <m:oMath>
        <m:r>
          <w:rPr>
            <w:rFonts w:ascii="Cambria Math" w:hAnsi="Cambria Math"/>
          </w:rPr>
          <m:t>A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</m:t>
            </m:r>
          </m:e>
        </m:nary>
        <m:r>
          <w:rPr>
            <w:rFonts w:ascii="Cambria Math" w:hAnsi="Cambria Math"/>
          </w:rPr>
          <m:t xml:space="preserve">   </m:t>
        </m:r>
      </m:oMath>
      <w:r>
        <w:t>erhält man aus der Summe der Felder, auf die eines oder beide Merkmale zutreffen: Die Wahrscheinlichkeit dass ein Befragter ein Mädchen oder ein Vegetarier ist beträgt:</w:t>
      </w:r>
    </w:p>
    <w:p w:rsidR="005972F4" w:rsidRDefault="005972F4">
      <w:pPr>
        <w:rPr>
          <w:rFonts w:eastAsiaTheme="minorEastAsia"/>
        </w:rPr>
      </w:pPr>
      <w:r>
        <w:lastRenderedPageBreak/>
        <w:t>P(M</w:t>
      </w: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V</m:t>
            </m:r>
          </m:e>
        </m:nary>
      </m:oMath>
      <w:r>
        <w:rPr>
          <w:rFonts w:eastAsiaTheme="minorEastAsia"/>
        </w:rPr>
        <w:t>)=0.14+0.385+0.065=0.59</w:t>
      </w:r>
      <w:r>
        <w:rPr>
          <w:rFonts w:eastAsiaTheme="minorEastAsia"/>
        </w:rPr>
        <w:tab/>
        <w:t>=1-</w:t>
      </w:r>
      <w:proofErr w:type="gramStart"/>
      <w:r>
        <w:rPr>
          <w:rFonts w:eastAsiaTheme="minorEastAsia"/>
        </w:rPr>
        <w:t>0.41 ,</w:t>
      </w:r>
      <w:proofErr w:type="gramEnd"/>
      <w:r>
        <w:rPr>
          <w:rFonts w:eastAsiaTheme="minorEastAsia"/>
        </w:rPr>
        <w:t xml:space="preserve"> denn ausgeschlossen sind nur die männlichen Fleischesser.</w:t>
      </w:r>
    </w:p>
    <w:p w:rsidR="003C2A4A" w:rsidRDefault="003C2A4A">
      <w:pPr>
        <w:rPr>
          <w:rFonts w:eastAsiaTheme="minorEastAsia"/>
        </w:rPr>
      </w:pPr>
      <w:r>
        <w:rPr>
          <w:rFonts w:eastAsiaTheme="minorEastAsia"/>
        </w:rPr>
        <w:t>Interessant sind auch Fragen, bei denen nur eine Randgruppe, also ein Merkmal zugelassen ist:</w:t>
      </w:r>
    </w:p>
    <w:p w:rsidR="003C2A4A" w:rsidRDefault="003C2A4A">
      <w:pPr>
        <w:rPr>
          <w:rFonts w:eastAsiaTheme="minorEastAsia"/>
        </w:rPr>
      </w:pPr>
      <w:r>
        <w:rPr>
          <w:rFonts w:eastAsiaTheme="minorEastAsia"/>
        </w:rPr>
        <w:t>Mit welcher Wahrscheinlichkeit ist ein vegetarisch lebender Jugendlicher weiblich?</w:t>
      </w:r>
      <w:r>
        <w:rPr>
          <w:rFonts w:eastAsiaTheme="minorEastAsia"/>
        </w:rPr>
        <w:br/>
        <w:t>(zugelassen: alle Vegetarier(Bedingung)</w:t>
      </w:r>
      <w:r w:rsidR="002A4F03">
        <w:rPr>
          <w:rFonts w:eastAsiaTheme="minorEastAsia"/>
        </w:rPr>
        <w:t>; gesucht:</w:t>
      </w:r>
      <w:bookmarkStart w:id="0" w:name="_GoBack"/>
      <w:bookmarkEnd w:id="0"/>
      <w:r>
        <w:rPr>
          <w:rFonts w:eastAsiaTheme="minorEastAsia"/>
        </w:rPr>
        <w:t xml:space="preserve">  davon weiblich)</w:t>
      </w:r>
      <w:r>
        <w:rPr>
          <w:rFonts w:eastAsiaTheme="minorEastAsia"/>
        </w:rPr>
        <w:br/>
        <w:t xml:space="preserve">Hier spricht man von der </w:t>
      </w:r>
      <w:r w:rsidRPr="003C2A4A">
        <w:rPr>
          <w:rFonts w:eastAsiaTheme="minorEastAsia"/>
          <w:b/>
        </w:rPr>
        <w:t>Bedingten Wahrscheinlichkeit</w:t>
      </w:r>
    </w:p>
    <w:p w:rsidR="003C2A4A" w:rsidRDefault="003C2A4A">
      <w:pPr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V</w:t>
      </w:r>
      <w:r>
        <w:rPr>
          <w:rFonts w:eastAsiaTheme="minorEastAsia"/>
        </w:rPr>
        <w:t>(M)=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28</m:t>
            </m:r>
          </m:num>
          <m:den>
            <m:r>
              <w:rPr>
                <w:rFonts w:ascii="Cambria Math" w:eastAsiaTheme="minorEastAsia" w:hAnsi="Cambria Math"/>
              </w:rPr>
              <m:t>41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0.14</m:t>
            </m:r>
          </m:num>
          <m:den>
            <m:r>
              <w:rPr>
                <w:rFonts w:ascii="Cambria Math" w:eastAsiaTheme="minorEastAsia" w:hAnsi="Cambria Math"/>
              </w:rPr>
              <m:t>0.205</m:t>
            </m:r>
          </m:den>
        </m:f>
        <m:r>
          <w:rPr>
            <w:rFonts w:ascii="Cambria Math" w:eastAsiaTheme="minorEastAsia" w:hAnsi="Cambria Math"/>
          </w:rPr>
          <m:t>=0.6829≈68,3%</m:t>
        </m:r>
      </m:oMath>
      <w:r>
        <w:rPr>
          <w:rFonts w:eastAsiaTheme="minorEastAsia"/>
        </w:rPr>
        <w:t xml:space="preserve">    </w:t>
      </w:r>
    </w:p>
    <w:p w:rsidR="003C2A4A" w:rsidRDefault="003C2A4A">
      <w:pPr>
        <w:rPr>
          <w:rFonts w:eastAsiaTheme="minorEastAsia"/>
        </w:rPr>
      </w:pPr>
      <w:r>
        <w:rPr>
          <w:rFonts w:eastAsiaTheme="minorEastAsia"/>
        </w:rPr>
        <w:t>P von A unter der Bedingung B : P</w:t>
      </w:r>
      <w:r>
        <w:rPr>
          <w:rFonts w:eastAsiaTheme="minorEastAsia"/>
          <w:vertAlign w:val="subscript"/>
        </w:rPr>
        <w:t>B</w:t>
      </w:r>
      <w:r>
        <w:rPr>
          <w:rFonts w:eastAsiaTheme="minorEastAsia"/>
        </w:rPr>
        <w:t>(A)=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inneres Feld: A und B </m:t>
            </m:r>
            <m:r>
              <w:rPr>
                <w:rFonts w:ascii="Cambria Math" w:eastAsiaTheme="minorEastAsia" w:hAnsi="Cambria Math"/>
              </w:rPr>
              <m:t>tre</m:t>
            </m:r>
            <m:r>
              <w:rPr>
                <w:rFonts w:ascii="Cambria Math" w:eastAsiaTheme="minorEastAsia" w:hAnsi="Cambria Math"/>
              </w:rPr>
              <m:t>ffen zu</m:t>
            </m:r>
          </m:num>
          <m:den>
            <m:r>
              <w:rPr>
                <w:rFonts w:ascii="Cambria Math" w:eastAsiaTheme="minorEastAsia" w:hAnsi="Cambria Math"/>
              </w:rPr>
              <m:t>äußeres Feld: B trifft zu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B)</m:t>
                </m:r>
              </m:e>
            </m:nary>
          </m:num>
          <m:den>
            <m:r>
              <w:rPr>
                <w:rFonts w:ascii="Cambria Math" w:eastAsiaTheme="minorEastAsia" w:hAnsi="Cambria Math"/>
              </w:rPr>
              <m:t>P(B)</m:t>
            </m:r>
          </m:den>
        </m:f>
      </m:oMath>
    </w:p>
    <w:p w:rsidR="003C2A4A" w:rsidRPr="002A4F03" w:rsidRDefault="002A4F03">
      <w:pPr>
        <w:rPr>
          <w:rFonts w:eastAsiaTheme="minorEastAsia"/>
          <w:b/>
        </w:rPr>
      </w:pPr>
      <w:r w:rsidRPr="002A4F03">
        <w:rPr>
          <w:rFonts w:eastAsiaTheme="minorEastAsia"/>
          <w:b/>
        </w:rPr>
        <w:t>Du kannst dir auch wieder ein paar Videos dazu ansehen:</w:t>
      </w:r>
    </w:p>
    <w:p w:rsidR="002A4F03" w:rsidRDefault="002A4F03" w:rsidP="002A4F03">
      <w:pPr>
        <w:pStyle w:val="Listenabsatz"/>
        <w:numPr>
          <w:ilvl w:val="0"/>
          <w:numId w:val="1"/>
        </w:numPr>
      </w:pPr>
      <w:r>
        <w:t>Locker mit viel Wiederholung von Bäumen</w:t>
      </w:r>
      <w:r>
        <w:t>:</w:t>
      </w:r>
    </w:p>
    <w:p w:rsidR="002A4F03" w:rsidRDefault="002A4F03" w:rsidP="002A4F03">
      <w:r w:rsidRPr="008151B3">
        <w:t>https://www.youtube.com/watch?v=rujW05NvT6c</w:t>
      </w:r>
    </w:p>
    <w:p w:rsidR="002A4F03" w:rsidRDefault="002A4F03" w:rsidP="002A4F03">
      <w:pPr>
        <w:pStyle w:val="Listenabsatz"/>
        <w:numPr>
          <w:ilvl w:val="0"/>
          <w:numId w:val="1"/>
        </w:numPr>
      </w:pPr>
      <w:r>
        <w:t>W</w:t>
      </w:r>
      <w:r>
        <w:t>elche Fragestellungen treten auf?</w:t>
      </w:r>
    </w:p>
    <w:p w:rsidR="002A4F03" w:rsidRDefault="002A4F03" w:rsidP="002A4F03">
      <w:hyperlink r:id="rId6" w:history="1">
        <w:r w:rsidRPr="006E6344">
          <w:rPr>
            <w:rStyle w:val="Hyperlink"/>
          </w:rPr>
          <w:t>https://www.youtube.com/watch?v=1sul8_7SLN8</w:t>
        </w:r>
      </w:hyperlink>
    </w:p>
    <w:p w:rsidR="002A4F03" w:rsidRDefault="002A4F03" w:rsidP="002A4F03">
      <w:pPr>
        <w:pStyle w:val="Listenabsatz"/>
        <w:numPr>
          <w:ilvl w:val="0"/>
          <w:numId w:val="1"/>
        </w:numPr>
      </w:pPr>
      <w:r>
        <w:t>Textaufgabe</w:t>
      </w:r>
      <w:r>
        <w:t xml:space="preserve"> lösen</w:t>
      </w:r>
    </w:p>
    <w:p w:rsidR="002A4F03" w:rsidRDefault="002A4F03" w:rsidP="002A4F03">
      <w:r w:rsidRPr="008151B3">
        <w:t>https://www.youtube.com/watch?v=sNrGDA-XFZI</w:t>
      </w:r>
    </w:p>
    <w:p w:rsidR="002A4F03" w:rsidRDefault="002A4F03">
      <w:pPr>
        <w:rPr>
          <w:rFonts w:eastAsiaTheme="minorEastAsia"/>
        </w:rPr>
      </w:pPr>
    </w:p>
    <w:p w:rsidR="00B61BE6" w:rsidRPr="00B61BE6" w:rsidRDefault="00B61BE6">
      <w:pPr>
        <w:rPr>
          <w:rFonts w:eastAsiaTheme="minorEastAsia"/>
          <w:b/>
        </w:rPr>
      </w:pPr>
      <w:r w:rsidRPr="00B61BE6">
        <w:rPr>
          <w:rFonts w:eastAsiaTheme="minorEastAsia"/>
          <w:b/>
        </w:rPr>
        <w:t>Bearbeite nun LB.S 58-59</w:t>
      </w:r>
    </w:p>
    <w:p w:rsidR="00B61BE6" w:rsidRPr="003C2A4A" w:rsidRDefault="00B61BE6">
      <w:r>
        <w:rPr>
          <w:rFonts w:eastAsiaTheme="minorEastAsia"/>
        </w:rPr>
        <w:t xml:space="preserve">Tipp: wenn nur Prozente gegeben sind, kannst du auch mit einer genügend großen Gesamtzahl, also </w:t>
      </w:r>
      <w:proofErr w:type="spellStart"/>
      <w:r>
        <w:rPr>
          <w:rFonts w:eastAsiaTheme="minorEastAsia"/>
        </w:rPr>
        <w:t>z.B</w:t>
      </w:r>
      <w:proofErr w:type="spellEnd"/>
      <w:r>
        <w:rPr>
          <w:rFonts w:eastAsiaTheme="minorEastAsia"/>
        </w:rPr>
        <w:t xml:space="preserve"> 1000 starten.</w:t>
      </w:r>
    </w:p>
    <w:sectPr w:rsidR="00B61BE6" w:rsidRPr="003C2A4A" w:rsidSect="00921F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41546"/>
    <w:multiLevelType w:val="hybridMultilevel"/>
    <w:tmpl w:val="EDC421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696"/>
    <w:rsid w:val="002A4F03"/>
    <w:rsid w:val="00391CD1"/>
    <w:rsid w:val="003C2A4A"/>
    <w:rsid w:val="00435690"/>
    <w:rsid w:val="005972F4"/>
    <w:rsid w:val="00650A3D"/>
    <w:rsid w:val="00666696"/>
    <w:rsid w:val="00715282"/>
    <w:rsid w:val="00921F1D"/>
    <w:rsid w:val="00B61BE6"/>
    <w:rsid w:val="00BC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6669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6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669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66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A4F0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A4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6669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6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669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66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A4F0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A4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sul8_7SLN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7</cp:revision>
  <dcterms:created xsi:type="dcterms:W3CDTF">2020-03-25T07:59:00Z</dcterms:created>
  <dcterms:modified xsi:type="dcterms:W3CDTF">2020-03-26T07:45:00Z</dcterms:modified>
</cp:coreProperties>
</file>