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1E3A8A"/>
          <w:sz w:val="32"/>
        </w:rPr>
        <w:t>Relatório de Entrega: Padrões de Projeto, Persistência Relacional e Linha de Produção de Software (LPS)</w:t>
      </w:r>
    </w:p>
    <w:p>
      <w:pPr>
        <w:spacing w:after="160"/>
      </w:pPr>
      <w:r>
        <w:rPr>
          <w:rFonts w:ascii="Arial" w:hAnsi="Arial"/>
          <w:b/>
          <w:color w:val="4B5563"/>
          <w:sz w:val="22"/>
        </w:rPr>
        <w:t>Projeto: HRTech Core — Plataforma Modular de Recursos Humanos (PUCPR)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4709"/>
        <w:gridCol w:w="4709"/>
      </w:tblGrid>
      <w:tr>
        <w:tc>
          <w:tcPr>
            <w:tcW w:type="dxa" w:w="3312"/>
            <w:shd w:fill="F3F4F6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8"/>
              </w:rPr>
              <w:t>Instituição / Escola:</w:t>
            </w:r>
          </w:p>
        </w:tc>
        <w:tc>
          <w:tcPr>
            <w:tcW w:type="dxa" w:w="6768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Pontifícia Universidade Católica do Paraná (PUCPR) — Escola Politécnica</w:t>
            </w:r>
          </w:p>
        </w:tc>
      </w:tr>
      <w:tr>
        <w:tc>
          <w:tcPr>
            <w:tcW w:type="dxa" w:w="3312"/>
            <w:shd w:fill="F3F4F6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8"/>
              </w:rPr>
              <w:t>Disciplina / Semestre:</w:t>
            </w:r>
          </w:p>
        </w:tc>
        <w:tc>
          <w:tcPr>
            <w:tcW w:type="dxa" w:w="6768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Medição e Análise de Software (2026-2)</w:t>
            </w:r>
          </w:p>
        </w:tc>
      </w:tr>
      <w:tr>
        <w:tc>
          <w:tcPr>
            <w:tcW w:type="dxa" w:w="3312"/>
            <w:shd w:fill="F3F4F6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8"/>
              </w:rPr>
              <w:t>Equipe de Alunos (5 membros):</w:t>
            </w:r>
          </w:p>
        </w:tc>
        <w:tc>
          <w:tcPr>
            <w:tcW w:type="dxa" w:w="6768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Fernando Lopes Duarte, Andryus, Felipe, Valentin, Nicholas</w:t>
            </w:r>
          </w:p>
        </w:tc>
      </w:tr>
      <w:tr>
        <w:tc>
          <w:tcPr>
            <w:tcW w:type="dxa" w:w="3312"/>
            <w:shd w:fill="F3F4F6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8"/>
              </w:rPr>
              <w:t>Escopo da Entrega:</w:t>
            </w:r>
          </w:p>
        </w:tc>
        <w:tc>
          <w:tcPr>
            <w:tcW w:type="dxa" w:w="6768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Item 01 (12 Entidades + 8 Padrões) e Item 02 (Banco SQLite 12 tabelas, 10 CRUDs e LPS)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Equipe de Engenharia (5 Integrantes) e Divisão de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3139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Papel Principal no Projeto</w:t>
            </w:r>
          </w:p>
        </w:tc>
        <w:tc>
          <w:tcPr>
            <w:tcW w:type="dxa" w:w="3139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Módulos &amp; CRUDs Sob Responsabilidade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Fernando Lopes Duarte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Arquiteto Core, Database Lead &amp; LPS Engineer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CRUD 1: Gestão de Tenants (Empresas)</w:t>
              <w:br/>
              <w:t>CRUD 2: Gestão de Usuários e RBAC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Andryus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Engenheiro de Domínio &amp; Estrutura Organizacional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CRUD 3: Cadastro de Colaboradores</w:t>
              <w:br/>
              <w:t>CRUD 4: Gestão de Cargos e Departamentos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Felipe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Engenheiro de Compliance &amp; Ponto Eletrônico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CRUD 5: Registro de Ponto (Portaria 671 &amp; SHA-256)</w:t>
              <w:br/>
              <w:t>CRUD 6: Gestão de Ajustes e Abonos de Ponto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Valentin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Engenheiro de Benefícios &amp; Direitos Trabalhistas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CRUD 7: Gestão e Agendamento de Férias CLT</w:t>
              <w:br/>
              <w:t>CRUD 8: Catálogo e Manutenção de Benefícios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Nicholas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Engenheiro de SST &amp; Integração de Seguros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CRUD 9: Controle de EPIs (NR-6) e Exames ASO (NR-7)</w:t>
              <w:br/>
              <w:t>CRUD 10: Apólices do Portal do Corretor FinCorp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1. Apresentação e Contexto da Entrega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Professor, a nossa equipe de 5 alunos desenvolveu a arquitetura de backend e o relatório técnico da plataforma HRTech Core, cumprindo integralmente os requisitos dos slides da disciplina: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1. Item 01 do Slide — Padrões de Projeto (Opção 01): Modelagem rigorosa de 12 Entidades de Domínio tipadas em PHP 8.3.6, apoiadas por Value Objects imutáveis (CNPJ, CPF com máscara LGPD, Centavos Inteiros com Fowler Allocation e Geolocalização Haversine) e 8 Padrões de Projeto operacionais (2 Singletons, 3 Template Methods e 3 Strategies).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2. Item 02 do Slide — Banco de Dados Relacional, 10 CRUDs e Variabilidade LPS: Camada SQLite com 12 tabelas, 11 índices de performance, chaves estrangeiras com cascata e transações ACID; 10 operações CRUD distribuídas entre os 5 alunos (2 por integrante); e o motor de Linha de Produção de Software (LPS) demonstrando regras de negócio altamente variáveis entre os perfis de Tecnologia, Indústria e Financeiro.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A plataforma conta com uma suíte de 868 asserções de testes unitários e de integração com 100% de aprovação, testes adversariais de estresse contra injeção SQL e quebra de regras da LPS, um runner de linha de comando (run_demo.php) e um protótipo web com 17 telas.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2. Item 01 do Slide: 12 Classes de Domínio &amp; 8 Padrões de Projeto (Opção 01)</w:t>
      </w: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2.1 As 12 Entidades de Domínio e Value Objects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As entidades de domínio foram estruturadas em src/Domain/Entities/ aplicando os princípios de Clean Architecture e DDD. A tabela a seguir especifica cada entidade e suas responsabilidades: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139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Entidade de Domínio</w:t>
            </w:r>
          </w:p>
        </w:tc>
        <w:tc>
          <w:tcPr>
            <w:tcW w:type="dxa" w:w="3139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 Funcional e Regras de Negócio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01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Tenant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Empresa cliente na modalidade multi-tenant. Contém CNPJ validado, razão social, nome fantasia, segmento de mercado (Tech, Indústria, Financeiro) e licenças ativas.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02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User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Credencial de acesso e autenticação com hash bcrypt seguro, RBAC com matriz de permissões, suporte a MFA e associação com colaborador.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03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Employee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Colaborador corporativo com CPF validado, regime contratual (CLT, PJ, Estagiário), remuneração em centavos inteiros, saldo de férias e saldo de banco de horas em minutos.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04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Department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Unidade organizacional interna com código alfanumérico único por tenant, nome, centro de custo e vinculação do gestor responsável.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05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Role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Cargo corporativo com nível hierárquico numérico de 1 a 100 (utilizado para aprovação de alçadas) e permissões de acesso em JSON.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06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TimeLog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Registro eletrônico de ponto sob a Portaria 671/2021 MTE. Possui NSR sequencial, carimbo de tempo ISO 8601, geolocalização e hash SHA-256 encadeado. Imutável por design.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07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TimeAdjustmentRequest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Solicitação de retificação ou inclusão manual de ponto com justificativa, comprovante e fluxo formal de aprovação pelo gestor (PENDING, APPROVED, REJECTED).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08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VacationRequest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Solicitação de férias sob os Artigos 129 a 145 da CLT. Valida período mínimo de 5 dias corridos, abono pecuniário (venda de 1/3) e adiantamento do 13º salário.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09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Benefit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Pacote de benefícios (Vale-Transporte, Vale-Alimentação, Plano de Saúde) com valor mensal em centavos e percentual de coparticipação do colaborador.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EquipmentASO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Gestão de EPIs entregues com Certificado de Aprovação (NR-6) e controle de exames médicos ocupacionais ASO (NR-7) com parecer Apto/Inapto e CRM do médico.</w:t>
            </w:r>
          </w:p>
        </w:tc>
      </w:tr>
      <w:tr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InsurancePolicy</w:t>
            </w:r>
          </w:p>
        </w:tc>
        <w:tc>
          <w:tcPr>
            <w:tcW w:type="dxa" w:w="3139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Apólice de seguro de vida corporativo e seguro D&amp;O operados no Portal do Corretor FinCorp Seguros, com prêmio mensal e capital total segurado.</w:t>
            </w:r>
          </w:p>
        </w:tc>
      </w:tr>
      <w:tr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7"/>
              </w:rPr>
              <w:t>AuditLog</w:t>
            </w:r>
          </w:p>
        </w:tc>
        <w:tc>
          <w:tcPr>
            <w:tcW w:type="dxa" w:w="3139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Trilha de auditoria criptográfica imutável para atendimento à LGPD e SOX. Registra ator, ação, deltas de estado e assinatura SHA-256 encadeada.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</w:tblPr>
      <w:tblGrid>
        <w:gridCol w:w="9418"/>
      </w:tblGrid>
      <w:tr>
        <w:tc>
          <w:tcPr>
            <w:tcW w:type="dxa" w:w="9418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E40AF"/>
                <w:sz w:val="19"/>
              </w:rPr>
              <w:t xml:space="preserve">📌 INTEGRIDADE POR VALUE OBJECTS: </w:t>
            </w:r>
            <w:r>
              <w:rPr>
                <w:rFonts w:ascii="Arial" w:hAnsi="Arial"/>
                <w:color w:val="1E3A8A"/>
                <w:sz w:val="19"/>
              </w:rPr>
              <w:t>Para blindar a integridade dos dados, implementamos 4 Value Objects imutáveis: Cnpj e Cpf (validação módulo 11 e máscara LGPD), Money (centavos inteiros imunes a erros de arredondamento IEEE 754 de ponto flutuante com partição justa de Martin Fowler) e GeoLocation (cálculo de cerca eletrônica via fórmula de Haversine).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2.2 Os 8 Padrões de Projeto Implementados (Opção 01)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A equipe consolidou a implementação dos 8 padrões da Opção 01 solicitada no slide: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1"/>
        </w:rPr>
        <w:t>A) 2 Padrões Singleton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1. TenantContextManager (src/Patterns/Singleton/TenantContextManager.php): Garante que a requisição ativa opere estritamente no escopo da empresa cliente correta, impedindo vazamento cruzado de dados (cross-tenant leakage). Possui o método runInContext() que gerencia escopos temporários com restauração garantida em bloco finally.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2. AuditLogger (src/Patterns/Singleton/AuditLogger.php): Cria um livro-razão imutável de eventos corporativos encadeados criptograficamente via SHA-256. Cada registro inclui o hash do evento anterior (previous_hash), permitindo validação integral da cadeia através do método verifyChainIntegrity().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1"/>
        </w:rPr>
        <w:t>B) 3 Padrões Template Method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1. PayrollCalculatorTemplate (src/Patterns/TemplateMethod/Payroll/): Define o algoritmo macro de fechamento da folha através do método final calculatePayroll(). As etapas invariantes (validação de elegibilidade e montagem do holerite) são fixas, enquanto os passos variantes são delegados às subclasses concretas: CltPayroll (tabelas progressivas oficiais de INSS e IRRF), PjPayroll (retenções fiscais empresariais IRRF 1,5% e CSRF 4,65%) e InternPayroll (isenção de encargos trabalhistas sob a Lei 11.788/2008).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2. TimeLogImporterTemplate (src/Patterns/TemplateMethod/Importer/): Padroniza o fluxo de ingestão de marcações de ponto com os métodos CsvImporter (arquivos legados com mapeamento de sinônimos), JsonImporter (webhooks móveis) e ApiImporter (relógios de ponto homologados REP com verificação de Bearer Token).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3. ReportGeneratorTemplate (src/Patterns/TemplateMethod/Report/): Orquestra a extração, isolamento por tenant, cabeçalho, paginação e exportação nos formatos PdfReportGenerator (relatório textual paginado), ExcelReportGenerator (leiaute tabular com totalizadores de soma exata) e JsonReportGenerator (metadados analíticos estruturados).</w:t>
      </w: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1"/>
        </w:rPr>
        <w:t>C) 3 Padrões Strategy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1. OvertimeStrategy (src/Patterns/Strategy/Overtime/): Implementa o cálculo legal de horas extras com Standard50Strategy (acréscimo de 50% em dias úteis conforme Art. 59 §1 da CLT), Sunday100Strategy (acréscimo de 100% em domingos e feriados conforme Súmula 146 do TST) e BankHoursStrategy (remuneração financeira R$ 0,00 e crédito de minutos compensatórios no saldo do colaborador conforme Art. 59 §2 da CLT).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2. BenefitDiscountStrategy (src/Patterns/Strategy/BenefitDiscount/): Descontos salariais de coparticipação com TransportationVoucherStrategy (limite legal estrito de até 6% do salário-base conforme Lei 7.418/1985), HealthPlanStrategy (coparticipação escalonada por faixas etárias da ANS) e MealVoucherStrategy (coparticipação limitada a 20% pelo Programa de Alimentação do Trabalhador - PAT).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3. PerformanceBonusStrategy (src/Patterns/Strategy/Performance/): Bonificação flexível com OkrStrategy (metas ágeis trimestrais com overachievement de até 120%), Evaluation360Strategy (média balanceada entre gestor, autoavaliação e pares para ambientes industriais) e KpiStrategy (indicadores numéricos com cláusula de corte mínima, métricas inversas e bônus agressivo para o setor financeiro).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3. Item 02 do Slide: Banco de Dados Relacional, 10 CRUDs e Variabilidade LPS</w:t>
      </w: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3.1 Banco de Dados Relacional SQLite (12 Tabelas e 11 Índices)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A camada de banco de dados foi construída com a classe DatabaseManager (PDO SQLite), operando no arquivo local database.sqlite. O banco é configurado com modo WAL (Write-Ahead Logging) e chaves estrangeiras ativas (PRAGMA foreign_keys = ON;). A integridade transacional é assegurada pelo método transaction(callable), com rollback automático em falhas.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Foram estruturadas 12 tabelas relacionais completas: tenants, departments, roles, employees, users, time_logs, time_adjustment_requests, vacation_requests, benefits, equipment_aso, insurance_policies e audit_logs. Para suportar a arquitetura multi-tenant com alta performance, foram definidos 11 índices estratégicos.</w:t>
      </w: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3.2 Mapeamento dos 10 CRUDs pelos 5 Integrantes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Os 10 módulos CRUD foram equitativamente divididos entre os 5 integrantes do grupo, seguindo o fluxo arquitetural Repositório Concreto -&gt; Serviço de Negócio: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Integrante</w:t>
            </w:r>
          </w:p>
        </w:tc>
        <w:tc>
          <w:tcPr>
            <w:tcW w:type="dxa" w:w="235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CRUD</w:t>
            </w:r>
          </w:p>
        </w:tc>
        <w:tc>
          <w:tcPr>
            <w:tcW w:type="dxa" w:w="235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Módulo / Entidade</w:t>
            </w:r>
          </w:p>
        </w:tc>
        <w:tc>
          <w:tcPr>
            <w:tcW w:type="dxa" w:w="235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Regras de Negócio e Validações</w:t>
            </w:r>
          </w:p>
        </w:tc>
      </w:tr>
      <w:tr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Fernando Lopes Duarte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1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Gestão de Tenants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Validação formal de CNPJ (módulo 11), unicidade no sistema e controle de licenças ativas.</w:t>
            </w:r>
          </w:p>
        </w:tc>
      </w:tr>
      <w:tr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Fernando Lopes Duarte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2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Gestão de Usuários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Hash bcrypt (password_hash), proteção de complexidade de senha, controle MFA e unicidade de username por tenant.</w:t>
            </w:r>
          </w:p>
        </w:tc>
      </w:tr>
      <w:tr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Andryus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3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Cadastro de Colaboradores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Validação formal de CPF, salários armazenados em centavos, saldo inicial de 30 dias de férias e crédito/débito de banco de horas.</w:t>
            </w:r>
          </w:p>
        </w:tc>
      </w:tr>
      <w:tr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Andryus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4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Cargos e Departamentos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Unicidade de código departamental por tenant, centros de custo e níveis de hierarquia de 1 a 100 para aprovações.</w:t>
            </w:r>
          </w:p>
        </w:tc>
      </w:tr>
      <w:tr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Felipe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5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Ponto Eletrônico (Portaria 671)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Sequenciamento de NSR, geolocalização com tolerância, assinatura SHA-256 e imutabilidade estrita (rejeição de UPDATE e DELETE).</w:t>
            </w:r>
          </w:p>
        </w:tc>
      </w:tr>
      <w:tr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Felipe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6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Ajustes de Ponto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Solicitação formal de inclusão manual de batidas, parecer com justificativa e workflow de aprovação pelo gestor com carimbo.</w:t>
            </w:r>
          </w:p>
        </w:tc>
      </w:tr>
      <w:tr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Valentin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7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Solicitações de Férias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Cumprimento dos Artigos 129 a 145 da CLT, período mínimo de 5 dias, abono pecuniário (1/3) e débito automático no saldo de férias.</w:t>
            </w:r>
          </w:p>
        </w:tc>
      </w:tr>
      <w:tr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Valentin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8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Gestão de Benefícios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Parametrização de benefícios (VT, VR, VA, Saúde), controle de coparticipação percentual e verificação de tetos legais.</w:t>
            </w:r>
          </w:p>
        </w:tc>
      </w:tr>
      <w:tr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Nicholas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9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Controle de EPIs e ASO</w:t>
            </w:r>
          </w:p>
        </w:tc>
        <w:tc>
          <w:tcPr>
            <w:tcW w:type="dxa" w:w="235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Controle de EPI com Certificado de Aprovação (NR-6) e exames ocupacionais admissionais e periódicos com CRM e parecer Apto/Inapto (NR-7).</w:t>
            </w:r>
          </w:p>
        </w:tc>
      </w:tr>
      <w:tr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6"/>
              </w:rPr>
              <w:t>Nicholas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center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CRUD 10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Apólices FinCorp Seguros</w:t>
            </w:r>
          </w:p>
        </w:tc>
        <w:tc>
          <w:tcPr>
            <w:tcW w:type="dxa" w:w="23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Emissão, renovação e cancelamento de apólices de vida corporativas e D&amp;O, prêmios mensais e controle de capital segurado.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3.3 Motor de Variabilidade da Linha de Produção de Software (LPS)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O motor de variabilidade (LpsVariabilityEngine) personaliza as regras de negócio e módulos da aplicação conforme o perfil de mercado do cliente: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Feature Flag</w:t>
            </w:r>
          </w:p>
        </w:tc>
        <w:tc>
          <w:tcPr>
            <w:tcW w:type="dxa" w:w="188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Finalidade na Regra de Negócio</w:t>
            </w:r>
          </w:p>
        </w:tc>
        <w:tc>
          <w:tcPr>
            <w:tcW w:type="dxa" w:w="188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</w:t>
            </w:r>
          </w:p>
        </w:tc>
        <w:tc>
          <w:tcPr>
            <w:tcW w:type="dxa" w:w="188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Indústria</w:t>
            </w:r>
          </w:p>
        </w:tc>
        <w:tc>
          <w:tcPr>
            <w:tcW w:type="dxa" w:w="1884"/>
            <w:shd w:fill="1E3A8A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Financeiro</w:t>
            </w:r>
          </w:p>
        </w:tc>
      </w:tr>
      <w:tr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bank_of_hours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Compensação de jornada suplementar em banco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</w:tr>
      <w:tr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overtime_payout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Pagamento de horas extras em dinheiro no holerite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</w:tr>
      <w:tr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risk_ppe_required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Exigência de EPIs (NR-6) e Atestado ASO (NR-7)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Dispensado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OBRIGATÓRIO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Dispensado</w:t>
            </w:r>
          </w:p>
        </w:tc>
      </w:tr>
      <w:tr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flexible_benefits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Cartão multibenefícios com saldo flexível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</w:tr>
      <w:tr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d_and_o_insurance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Seguro de responsabilidade para diretores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</w:tr>
      <w:tr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biometric_punch_mandatory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Exigência estrita de biometria no ponto eletrônico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OBRIGATÓRIO</w:t>
            </w:r>
          </w:p>
        </w:tc>
      </w:tr>
      <w:tr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chartered_transport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Fornecimento de transporte fretado próprio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</w:tr>
      <w:tr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executive_health_plan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Plano médico executivo hospitalar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</w:tr>
      <w:tr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aggressive_bonus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Multiplicador de bonificação executiva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</w:tr>
      <w:tr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strict_lgpd_audit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Trilha de auditoria estendida para conformidade SOX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</w:tr>
      <w:tr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374151"/>
                <w:sz w:val="16"/>
              </w:rPr>
              <w:t>fincorp_life_policy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Apólice de seguro de vida do Portal do Corretor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 w:val="0"/>
                <w:i w:val="0"/>
                <w:color w:val="374151"/>
                <w:sz w:val="16"/>
              </w:rPr>
              <w:t>Inativo</w:t>
            </w:r>
          </w:p>
        </w:tc>
        <w:tc>
          <w:tcPr>
            <w:tcW w:type="dxa" w:w="1884"/>
            <w:shd w:fill="F9FAFB"/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 w:line="240" w:lineRule="exact"/>
              <w:jc w:val="left"/>
            </w:pPr>
            <w:r>
              <w:rPr>
                <w:rFonts w:ascii="Arial" w:hAnsi="Arial"/>
                <w:b/>
                <w:i w:val="0"/>
                <w:color w:val="1E3A8A"/>
                <w:sz w:val="16"/>
              </w:rPr>
              <w:t>ATIVO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374151"/>
          <w:sz w:val="21"/>
        </w:rPr>
        <w:t>Bloqueio Preventivo de Segurança Ocupacional (Work Eligibility Blocking)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Um dos destaques da LPS é a proteção no chão de fábrica da Indústria. O método validateWorkEligibility() bloqueia sumariamente o início do turno de um colaborador caso: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• O colaborador não possua registro de Atestado de Saúde Ocupacional (código ASO_MISSING);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• O médico tenha considerado o colaborador clinicamente inapto (código ASO_UNFIT);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• O exame médico periódico de ASO estiver vencido sob a NR-7 (código ASO_EXPIRED);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• O Certificado de Aprovação (CA) do EPI entregue estiver vencido sob a NR-6 (código PPE_CA_EXPIRED).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9418"/>
      </w:tblGrid>
      <w:tr>
        <w:tc>
          <w:tcPr>
            <w:tcW w:type="dxa" w:w="941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20" w:lineRule="exact"/>
            </w:pPr>
            <w:r>
              <w:rPr>
                <w:rFonts w:ascii="Courier New" w:hAnsi="Courier New"/>
                <w:color w:val="0F172A"/>
                <w:sz w:val="17"/>
              </w:rPr>
              <w:t>// Bloqueio de turno fabril no LpsVariabilityEngine.php:</w:t>
              <w:br/>
              <w:t>if ($aso === null) {</w:t>
              <w:br/>
              <w:t xml:space="preserve">    return ['allowed' =&gt; false, 'reason' =&gt; 'Trabalho bloqueado: Sem ASO cadastrado.', 'code' =&gt; 'ASO_MISSING'];</w:t>
              <w:br/>
              <w:t>}</w:t>
              <w:br/>
              <w:t>if (!$aso-&gt;isFit) {</w:t>
              <w:br/>
              <w:t xml:space="preserve">    return ['allowed' =&gt; false, 'reason' =&gt; 'Trabalho bloqueado: Colaborador INAPTO.', 'code' =&gt; 'ASO_UNFIT'];</w:t>
              <w:br/>
              <w:t>}</w:t>
              <w:br/>
              <w:t>if ($aso-&gt;isExamExpired()) {</w:t>
              <w:br/>
              <w:t xml:space="preserve">    return ['allowed' =&gt; false, 'reason' =&gt; 'Trabalho bloqueado: ASO vencido (NR-7).', 'code' =&gt; 'ASO_EXPIRED'];</w:t>
              <w:br/>
              <w:t>}</w:t>
              <w:br/>
              <w:t>if ($aso-&gt;isCaExpired()) {</w:t>
              <w:br/>
              <w:t xml:space="preserve">    return ['allowed' =&gt; false, 'reason' =&gt; 'Trabalho bloqueado: EPI com CA vencido (NR-6).', 'code' =&gt; 'PPE_CA_EXPIRED'];</w:t>
              <w:br/>
              <w:t>}</w:t>
              <w:br/>
              <w:t>return ['allowed' =&gt; true, 'reason' =&gt; 'Colaborador liberado para o turno.', 'code' =&gt; 'COMPLIANT'];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4. Guia Passo a Passo de Execução para Avaliação</w:t>
      </w: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4.1 Execução do Script CLI de Demonstração Unificada (run_demo.php)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Para executar a demonstração completa da plataforma no terminal: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9418"/>
      </w:tblGrid>
      <w:tr>
        <w:tc>
          <w:tcPr>
            <w:tcW w:type="dxa" w:w="941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20" w:lineRule="exact"/>
            </w:pPr>
            <w:r>
              <w:rPr>
                <w:rFonts w:ascii="Courier New" w:hAnsi="Courier New"/>
                <w:color w:val="0F172A"/>
                <w:sz w:val="17"/>
              </w:rPr>
              <w:t>cd hrtech_backend_patterns</w:t>
              <w:br/>
              <w:t>php run_demo.php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O script recria a base SQLite, popula dados de teste, roda os 8 Design Patterns, executa os 10 CRUDs dos 5 alunos e demonstra a variabilidade LPS nos perfis Tech, Indústria e Financeiro.</w:t>
      </w: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4.2 Execução das Suítes de Testes Automatizados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A plataforma conta com 868 asserções regressivas e 676 asserções adversariais (100% aprovadas):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9418"/>
      </w:tblGrid>
      <w:tr>
        <w:tc>
          <w:tcPr>
            <w:tcW w:type="dxa" w:w="941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20" w:lineRule="exact"/>
            </w:pPr>
            <w:r>
              <w:rPr>
                <w:rFonts w:ascii="Courier New" w:hAnsi="Courier New"/>
                <w:color w:val="0F172A"/>
                <w:sz w:val="17"/>
              </w:rPr>
              <w:t># Suíte Regressiva Oficial (868 asserções):</w:t>
              <w:br/>
              <w:t>php tests/m1_verify.php   # Value Objects, Enums e Contratos (132 asserções)</w:t>
              <w:br/>
              <w:t>php tests/m2_verify.php   # 12 Entidades de Domínio e Multi-Tenant (376 asserções)</w:t>
              <w:br/>
              <w:t>php tests/m3_verify.php   # 2 Singletons, 3 Templates e 3 Strategies (200 asserções)</w:t>
              <w:br/>
              <w:t>php tests/m4_verify.php   # SQLite 12 tabelas, 10 CRUDs e Motor LPS (160 asserções)</w:t>
              <w:br/>
              <w:br/>
              <w:t># Suíte de Estresse e Adversarial (676 asserções):</w:t>
              <w:br/>
              <w:t>php tests/m4_adversarial_cruds.php  # Teste contra SQLi e Foreign Keys (416 asserções)</w:t>
              <w:br/>
              <w:t>php tests/m4_adversarial_lps.php    # Fuzzing de 10.000 iterações na LPS (260 asserções)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111827"/>
          <w:sz w:val="23"/>
        </w:rPr>
        <w:t>4.3 Acesso ao Protótipo Web Navegável (Porta 8085)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Para inspecionar as 17 telas funcionais do protótipo visual: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9418"/>
      </w:tblGrid>
      <w:tr>
        <w:tc>
          <w:tcPr>
            <w:tcW w:type="dxa" w:w="941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 w:line="220" w:lineRule="exact"/>
            </w:pPr>
            <w:r>
              <w:rPr>
                <w:rFonts w:ascii="Courier New" w:hAnsi="Courier New"/>
                <w:color w:val="0F172A"/>
                <w:sz w:val="17"/>
              </w:rPr>
              <w:t># Na raiz do projeto:</w:t>
              <w:br/>
              <w:t>python3 -m http.server 8085</w:t>
              <w:br/>
              <w:t># Acesse no navegador: http://localhost:8085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No protótipo web, o usuário pode interagir com o organograma, registrar batidas de ponto com geolocalização e alternar os segmentos da LPS em tempo real.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5. Conclusão e Considerações da Equipe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A equipe concluiu o projeto HRTech Core consolidando com rigor os objetivos da disciplina de Medição e Análise de Software. O projeto comprova a aplicação prática de padrões de projeto consolidados (GoF), tipagem moderna do PHP 8.3, persistência transacional relacional e arquitetura de Linha de Produção de Software com alto grau de parametrização e conformidade legal.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374151"/>
          <w:sz w:val="20"/>
        </w:rPr>
        <w:t>Agradecemos ao professor pela oportunidade prática de aprendizado e estamos à disposição para eventuais esclarecimentos técnicos.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