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52" w:before="1728"/>
      </w:pPr>
      <w:r>
        <w:rPr>
          <w:rFonts w:ascii="Inter Tight" w:cs="Inter Tight" w:eastAsia="Inter Tight" w:hAnsi="Inter Tight"/>
          <w:b w:val="false"/>
          <w:bCs w:val="false"/>
          <w:color w:val="9C4F24"/>
          <w:spacing w:val="-8"/>
          <w:sz w:val="56"/>
          <w:szCs w:val="56"/>
        </w:rPr>
        <w:t xml:space="preserve">C9D</w:t>
      </w:r>
      <w:r>
        <w:rPr>
          <w:rFonts w:ascii="Inter Tight" w:cs="Inter Tight" w:eastAsia="Inter Tight" w:hAnsi="Inter Tight"/>
          <w:b w:val="false"/>
          <w:bCs w:val="false"/>
          <w:color w:val="1A1612"/>
          <w:spacing w:val="-8"/>
          <w:sz w:val="56"/>
          <w:szCs w:val="56"/>
        </w:rPr>
        <w:t xml:space="preserve"> Consulting</w:t>
      </w:r>
    </w:p>
    <w:p>
      <w:pPr>
        <w:tabs>
          <w:tab w:val="right" w:pos="9026"/>
        </w:tabs>
        <w:spacing w:after="288" w:before="720"/>
      </w:pPr>
      <w:r>
        <w:rPr>
          <w:rFonts w:ascii="JetBrains Mono" w:cs="JetBrains Mono" w:eastAsia="JetBrains Mono" w:hAnsi="JetBrains Mono"/>
          <w:color w:val="8A7E6A"/>
          <w:sz w:val="18"/>
          <w:szCs w:val="18"/>
        </w:rPr>
        <w:t xml:space="preserve">FILE-C9D-ENG-2026-XXX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Inter Tight" w:cs="Inter Tight" w:eastAsia="Inter Tight" w:hAnsi="Inter Tight"/>
          <w:b/>
          <w:bCs/>
          <w:color w:val="9C4F24"/>
          <w:spacing w:val="40"/>
          <w:sz w:val="16"/>
          <w:szCs w:val="16"/>
        </w:rPr>
        <w:t xml:space="preserve">CLIENT CONFIDENTIAL</w:t>
      </w:r>
    </w:p>
    <w:p>
      <w:pPr>
        <w:pBdr>
          <w:bottom w:val="single" w:color="A89C82" w:sz="6" w:space="4"/>
        </w:pBdr>
        <w:spacing w:after="173" w:before="173"/>
      </w:pPr>
    </w:p>
    <w:p>
      <w:pPr>
        <w:spacing w:before="2016"/>
      </w:pPr>
    </w:p>
    <w:p>
      <w:pPr>
        <w:spacing w:after="403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20"/>
          <w:szCs w:val="20"/>
        </w:rPr>
        <w:t xml:space="preserve">SECTION 01 — ENGAGEMENT DOSSIER</w:t>
      </w:r>
    </w:p>
    <w:p>
      <w:pPr>
        <w:spacing w:after="346" w:line="240" w:lineRule="auto"/>
      </w:pPr>
      <w:r>
        <w:rPr>
          <w:rFonts w:ascii="Inter Tight" w:cs="Inter Tight" w:eastAsia="Inter Tight" w:hAnsi="Inter Tight"/>
          <w:color w:val="1A1612"/>
          <w:spacing w:val="-18"/>
          <w:sz w:val="88"/>
          <w:szCs w:val="88"/>
        </w:rPr>
        <w:t xml:space="preserve">Document title.</w:t>
      </w:r>
    </w:p>
    <w:p>
      <w:pPr>
        <w:spacing w:after="2304"/>
      </w:pPr>
      <w:r>
        <w:rPr>
          <w:rFonts w:ascii="Inter Tight" w:cs="Inter Tight" w:eastAsia="Inter Tight" w:hAnsi="Inter Tight"/>
          <w:color w:val="5A5042"/>
          <w:sz w:val="32"/>
          <w:szCs w:val="32"/>
        </w:rPr>
        <w:t xml:space="preserve">Subtitle sits here in </w:t>
      </w:r>
      <w:r>
        <w:rPr>
          <w:rFonts w:ascii="Instrument Serif" w:cs="Instrument Serif" w:eastAsia="Instrument Serif" w:hAnsi="Instrument Serif"/>
          <w:i/>
          <w:iCs/>
          <w:color w:val="9C4F24"/>
        </w:rPr>
        <w:t xml:space="preserve">regular Inter Tight</w:t>
      </w:r>
      <w:r>
        <w:rPr>
          <w:rFonts w:ascii="Inter Tight" w:cs="Inter Tight" w:eastAsia="Inter Tight" w:hAnsi="Inter Tight"/>
          <w:color w:val="5A5042"/>
          <w:sz w:val="32"/>
          <w:szCs w:val="32"/>
        </w:rPr>
        <w:t xml:space="preserve">.</w:t>
      </w:r>
    </w:p>
    <w:p>
      <w:pPr>
        <w:spacing w:after="115"/>
      </w:pPr>
      <w:r>
        <w:rPr>
          <w:rFonts w:ascii="JetBrains Mono" w:cs="JetBrains Mono" w:eastAsia="JetBrains Mono" w:hAnsi="JetBrains Mono"/>
          <w:b/>
          <w:bCs/>
          <w:color w:val="8A7E6A"/>
          <w:spacing w:val="40"/>
          <w:sz w:val="18"/>
          <w:szCs w:val="18"/>
        </w:rPr>
        <w:t xml:space="preserve">PREPARED BY</w:t>
      </w:r>
    </w:p>
    <w:p>
      <w:pPr>
        <w:spacing w:after="72"/>
      </w:pPr>
      <w:r>
        <w:rPr>
          <w:rFonts w:ascii="Inter Tight" w:cs="Inter Tight" w:eastAsia="Inter Tight" w:hAnsi="Inter Tight"/>
          <w:color w:val="1A1612"/>
          <w:spacing w:val="-6"/>
          <w:sz w:val="32"/>
          <w:szCs w:val="32"/>
        </w:rPr>
        <w:t xml:space="preserve">Brandon Wilburn</w:t>
      </w:r>
    </w:p>
    <w:p>
      <w:pPr>
        <w:spacing w:after="2304"/>
      </w:pPr>
      <w:r>
        <w:rPr>
          <w:rFonts w:ascii="Inter Tight" w:cs="Inter Tight" w:eastAsia="Inter Tight" w:hAnsi="Inter Tight"/>
          <w:color w:val="9C4F24"/>
          <w:sz w:val="26"/>
          <w:szCs w:val="26"/>
        </w:rPr>
        <w:t xml:space="preserve">C9D</w:t>
      </w:r>
      <w:r>
        <w:rPr>
          <w:rFonts w:ascii="Inter Tight" w:cs="Inter Tight" w:eastAsia="Inter Tight" w:hAnsi="Inter Tight"/>
          <w:color w:val="1A1612"/>
          <w:sz w:val="26"/>
          <w:szCs w:val="26"/>
        </w:rPr>
        <w:t xml:space="preserve"> Consulting</w:t>
      </w:r>
      <w:r>
        <w:rPr>
          <w:rFonts w:ascii="Inter Tight" w:cs="Inter Tight" w:eastAsia="Inter Tight" w:hAnsi="Inter Tight"/>
          <w:color w:val="8A7E6A"/>
          <w:sz w:val="26"/>
          <w:szCs w:val="26"/>
        </w:rPr>
        <w:t xml:space="preserve">   ·   </w:t>
      </w:r>
      <w:r>
        <w:rPr>
          <w:rFonts w:ascii="Inter Tight" w:cs="Inter Tight" w:eastAsia="Inter Tight" w:hAnsi="Inter Tight"/>
          <w:i w:val="false"/>
          <w:iCs w:val="false"/>
          <w:color w:val="5A5042"/>
          <w:sz w:val="22"/>
          <w:szCs w:val="22"/>
        </w:rPr>
        <w:t xml:space="preserve">A practice of Brandon Wilburn.</w:t>
      </w:r>
    </w:p>
    <w:p>
      <w:pPr>
        <w:pBdr>
          <w:bottom w:val="single" w:color="C8BDA5" w:sz="6" w:space="4"/>
        </w:pBdr>
        <w:spacing w:after="173" w:before="173"/>
      </w:pPr>
    </w:p>
    <w:p>
      <w:pPr>
        <w:tabs>
          <w:tab w:val="center" w:pos="4500"/>
          <w:tab w:val="right" w:pos="9026"/>
        </w:tabs>
      </w:pPr>
      <w:r>
        <w:rPr>
          <w:rFonts w:ascii="JetBrains Mono" w:cs="JetBrains Mono" w:eastAsia="JetBrains Mono" w:hAnsi="JetBrains Mono"/>
          <w:color w:val="5A5042"/>
          <w:sz w:val="18"/>
          <w:szCs w:val="18"/>
        </w:rPr>
        <w:t xml:space="preserve">DATE   ·   MONTH YEAR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5A5042"/>
          <w:sz w:val="18"/>
          <w:szCs w:val="18"/>
        </w:rPr>
        <w:t xml:space="preserve">VERSION 1.0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5A5042"/>
          <w:sz w:val="18"/>
          <w:szCs w:val="18"/>
        </w:rPr>
        <w:t xml:space="preserve">c9d.consulting</w:t>
      </w:r>
    </w:p>
    <w:p>
      <w:r>
        <w:br w:type="page"/>
      </w:r>
    </w:p>
    <w:p>
      <w:pPr>
        <w:spacing w:after="115" w:before="288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18"/>
          <w:szCs w:val="18"/>
        </w:rPr>
        <w:t xml:space="preserve">SECTION 01</w:t>
      </w:r>
    </w:p>
    <w:p>
      <w:pPr>
        <w:pStyle w:val="Heading1"/>
        <w:spacing w:after="202"/>
      </w:pPr>
      <w:r>
        <w:rPr>
          <w:rFonts w:ascii="Inter Tight" w:cs="Inter Tight" w:eastAsia="Inter Tight" w:hAnsi="Inter Tight"/>
          <w:color w:val="1A1612"/>
          <w:spacing w:val="-12"/>
          <w:sz w:val="60"/>
          <w:szCs w:val="60"/>
        </w:rPr>
        <w:t xml:space="preserve">Style: Heading 1.</w:t>
      </w:r>
    </w:p>
    <w:p>
      <w:pPr>
        <w:pBdr>
          <w:bottom w:val="single" w:color="A89C82" w:sz="6" w:space="4"/>
        </w:pBdr>
        <w:spacing w:after="173" w:before="173"/>
      </w:pPr>
    </w:p>
    <w:p>
      <w:pPr>
        <w:spacing w:after="158" w:line="36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Body text style. Inter Tight regular weight, size 11pt, color warm ink #2E2820. Line height set to 1.5x for scanning ease. Left-aligned always, never justified — justified body reads as consulting-firm-generic; left-aligned reads as memo. Paragraph spacing sits at 8pt after, which gives visible separation without introducing gutters between related paragraphs.</w:t>
      </w:r>
    </w:p>
    <w:p>
      <w:pPr>
        <w:spacing w:after="346" w:line="36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A second body paragraph follows the first with an 8pt gap. Cross-paragraph reading rhythm should feel like a well-structured operating memo — dense but not cramped, deliberate but not decorative.</w:t>
      </w:r>
    </w:p>
    <w:p>
      <w:pPr>
        <w:pStyle w:val="Heading2"/>
        <w:spacing w:after="144" w:before="461"/>
      </w:pPr>
      <w:r>
        <w:rPr>
          <w:rFonts w:ascii="Inter Tight" w:cs="Inter Tight" w:eastAsia="Inter Tight" w:hAnsi="Inter Tight"/>
          <w:color w:val="1A1612"/>
          <w:spacing w:val="-6"/>
          <w:sz w:val="36"/>
          <w:szCs w:val="36"/>
        </w:rPr>
        <w:t xml:space="preserve">Style: Heading 2.</w:t>
      </w:r>
    </w:p>
    <w:p>
      <w:pPr>
        <w:spacing w:after="346" w:line="36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Heading 2 is the subsection style. Ranks below H1, above H3. Use for major sub-topics inside a section.</w:t>
      </w:r>
    </w:p>
    <w:p>
      <w:pPr>
        <w:pStyle w:val="Heading3"/>
        <w:spacing w:after="115" w:before="346"/>
      </w:pPr>
      <w:r>
        <w:rPr>
          <w:rFonts w:ascii="Inter Tight" w:cs="Inter Tight" w:eastAsia="Inter Tight" w:hAnsi="Inter Tight"/>
          <w:b/>
          <w:bCs/>
          <w:color w:val="1A1612"/>
          <w:spacing w:val="-3"/>
          <w:sz w:val="26"/>
          <w:szCs w:val="26"/>
        </w:rPr>
        <w:t xml:space="preserve">Style: Heading 3.</w:t>
      </w:r>
    </w:p>
    <w:p>
      <w:pPr>
        <w:spacing w:after="461" w:line="36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H3 is the deepest heading used in Dossier documents. Deeper hierarchies read as bureaucratic. Prefer flatter structure with strong H2s.</w:t>
      </w:r>
    </w:p>
    <w:p>
      <w:pPr>
        <w:spacing w:after="115" w:before="288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18"/>
          <w:szCs w:val="18"/>
        </w:rPr>
        <w:t xml:space="preserve">FINDING 01</w:t>
      </w:r>
    </w:p>
    <w:p>
      <w:pPr>
        <w:pBdr>
          <w:left w:val="single" w:color="9C4F24" w:sz="24" w:space="12"/>
        </w:pBdr>
        <w:shd w:fill="EBE5D6" w:color="auto" w:val="clear"/>
        <w:spacing w:after="202"/>
        <w:ind w:left="346"/>
      </w:pPr>
      <w:r>
        <w:rPr>
          <w:rFonts w:ascii="Inter Tight" w:cs="Inter Tight" w:eastAsia="Inter Tight" w:hAnsi="Inter Tight"/>
          <w:color w:val="1A1612"/>
          <w:spacing w:val="-4"/>
          <w:sz w:val="28"/>
          <w:szCs w:val="28"/>
        </w:rPr>
        <w:t xml:space="preserve">Callout style — evidence blocks and key findings.</w:t>
      </w:r>
    </w:p>
    <w:p>
      <w:pPr>
        <w:pBdr>
          <w:left w:val="single" w:color="9C4F24" w:sz="24" w:space="12"/>
        </w:pBdr>
        <w:shd w:fill="EBE5D6" w:color="auto" w:val="clear"/>
        <w:spacing w:after="202" w:line="360" w:lineRule="auto"/>
        <w:ind w:left="346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The callout carries a left border in sodium amber (#9C4F24) at 3pt thickness. Background is #EBE5D6 (warm secondary paper). Use for findings, key claims, evidence blocks, or any content that should read as "signed off." Do NOT overuse — a document with more than 5 callouts on a single page reads as decorated, not documented.</w:t>
      </w:r>
    </w:p>
    <w:p>
      <w:pPr>
        <w:spacing w:after="403"/>
      </w:pPr>
    </w:p>
    <w:p>
      <w:pPr>
        <w:spacing w:after="403" w:before="230" w:line="400" w:lineRule="auto"/>
        <w:ind w:left="864" w:right="864"/>
        <w:jc w:val="left"/>
      </w:pPr>
      <w:r>
        <w:rPr>
          <w:rFonts w:ascii="Instrument Serif" w:cs="Instrument Serif" w:eastAsia="Instrument Serif" w:hAnsi="Instrument Serif"/>
          <w:i/>
          <w:iCs/>
          <w:color w:val="9C4F24"/>
        </w:rPr>
        <w:t xml:space="preserve">"A pullquote reads in Instrument Serif italic, accent color. Reserved use only — one to three per document. The italic is the accent face; never used for body."</w:t>
      </w:r>
    </w:p>
    <w:p>
      <w:pPr>
        <w:pBdr>
          <w:top w:val="single" w:color="C8BDA5" w:sz="4" w:space="4"/>
          <w:bottom w:val="single" w:color="C8BDA5" w:sz="4" w:space="4"/>
          <w:left w:val="single" w:color="C8BDA5" w:sz="4" w:space="4"/>
          <w:right w:val="single" w:color="C8BDA5" w:sz="4" w:space="4"/>
        </w:pBdr>
        <w:shd w:fill="EBE5D6" w:color="auto" w:val="clear"/>
        <w:spacing w:after="202"/>
        <w:ind w:left="173" w:right="173"/>
      </w:pPr>
      <w:r>
        <w:rPr>
          <w:rFonts w:ascii="JetBrains Mono" w:cs="JetBrains Mono" w:eastAsia="JetBrains Mono" w:hAnsi="JetBrains Mono"/>
          <w:color w:val="2E2820"/>
          <w:sz w:val="18"/>
          <w:szCs w:val="18"/>
        </w:rPr>
        <w:t xml:space="preserve">DECISION-014   ·   Approved   ·   Owner: Brandon Wilburn   ·   Date: 2026-02-14</w:t>
      </w:r>
    </w:p>
    <w:p>
      <w:pPr>
        <w:spacing w:after="230"/>
      </w:pPr>
    </w:p>
    <w:p>
      <w:pPr>
        <w:spacing w:after="115" w:before="288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18"/>
          <w:szCs w:val="18"/>
        </w:rPr>
        <w:t xml:space="preserve">SUB-FINDINGS</w:t>
      </w:r>
    </w:p>
    <w:p>
      <w:pPr>
        <w:pStyle w:val="ListParagraph"/>
        <w:numPr>
          <w:ilvl w:val="0"/>
          <w:numId w:val="2"/>
        </w:numPr>
        <w:spacing w:after="115" w:line="32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Bulleted list style. Custom bullet at 6pt, subtle, hangs to the left of the text.</w:t>
      </w:r>
    </w:p>
    <w:p>
      <w:pPr>
        <w:pStyle w:val="ListParagraph"/>
        <w:numPr>
          <w:ilvl w:val="0"/>
          <w:numId w:val="2"/>
        </w:numPr>
        <w:spacing w:after="115" w:line="32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Never uses default Word round bullets — those read as "not styled."</w:t>
      </w:r>
    </w:p>
    <w:p>
      <w:pPr>
        <w:pStyle w:val="ListParagraph"/>
        <w:numPr>
          <w:ilvl w:val="0"/>
          <w:numId w:val="2"/>
        </w:numPr>
        <w:spacing w:after="115" w:line="32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Indent left 0.25in; hang left 0.25in so text aligns with body copy left edge.</w:t>
      </w:r>
    </w:p>
    <w:p>
      <w:pPr>
        <w:spacing w:after="346"/>
      </w:pPr>
    </w:p>
    <w:p>
      <w:pPr>
        <w:spacing w:after="115" w:before="288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18"/>
          <w:szCs w:val="18"/>
        </w:rPr>
        <w:t xml:space="preserve">SEQUENCED STEPS</w:t>
      </w:r>
    </w:p>
    <w:p>
      <w:pPr>
        <w:pStyle w:val="ListParagraph"/>
        <w:numPr>
          <w:ilvl w:val="0"/>
          <w:numId w:val="3"/>
        </w:numPr>
        <w:spacing w:after="115" w:line="32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Numbered list style. Numerals rendered in JetBrains Mono for visual differentiation.</w:t>
      </w:r>
    </w:p>
    <w:p>
      <w:pPr>
        <w:pStyle w:val="ListParagraph"/>
        <w:numPr>
          <w:ilvl w:val="0"/>
          <w:numId w:val="3"/>
        </w:numPr>
        <w:spacing w:after="115" w:line="32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Uses "01." / "02." / "03." format — two-digit prefix reads as document-grade.</w:t>
      </w:r>
    </w:p>
    <w:p>
      <w:pPr>
        <w:pStyle w:val="ListParagraph"/>
        <w:numPr>
          <w:ilvl w:val="0"/>
          <w:numId w:val="3"/>
        </w:numPr>
        <w:spacing w:after="115" w:line="32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Prefer numbered lists when sequence matters. Prefer bullets when it does not.</w:t>
      </w:r>
    </w:p>
    <w:p>
      <w:pPr>
        <w:spacing w:after="461"/>
      </w:pPr>
    </w:p>
    <w:p>
      <w:r>
        <w:br w:type="page"/>
      </w:r>
    </w:p>
    <w:p>
      <w:pPr>
        <w:spacing w:after="115" w:before="288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18"/>
          <w:szCs w:val="18"/>
        </w:rPr>
        <w:t xml:space="preserve">SECTION 02</w:t>
      </w:r>
    </w:p>
    <w:p>
      <w:pPr>
        <w:pStyle w:val="Heading1"/>
        <w:spacing w:after="202"/>
      </w:pPr>
      <w:r>
        <w:rPr>
          <w:rFonts w:ascii="Inter Tight" w:cs="Inter Tight" w:eastAsia="Inter Tight" w:hAnsi="Inter Tight"/>
          <w:color w:val="1A1612"/>
          <w:spacing w:val="-12"/>
          <w:sz w:val="60"/>
          <w:szCs w:val="60"/>
        </w:rPr>
        <w:t xml:space="preserve">Register table.</w:t>
      </w:r>
    </w:p>
    <w:p>
      <w:pPr>
        <w:pBdr>
          <w:bottom w:val="single" w:color="A89C82" w:sz="6" w:space="4"/>
        </w:pBdr>
        <w:spacing w:after="173" w:before="173"/>
      </w:pPr>
    </w:p>
    <w:p>
      <w:pPr>
        <w:spacing w:after="403" w:line="36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Decision register format. Columns follow the locked schema: ID / DECISION / OWNER / OPENED / STATUS / RATIONALE. Header row in JetBrains Mono uppercase. Body rows in Inter Tight. Row separators are 0.5pt hairlines. No vertical column separators. No alternating row backgrounds.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1200"/>
        <w:gridCol w:w="1360"/>
      </w:tblGrid>
      <w:tr>
        <w:trPr>
          <w:tblHeader/>
        </w:trPr>
        <w:tc>
          <w:tcPr>
            <w:tcW w:type="dxa" w:w="0"/>
            <w:tcBorders>
              <w:top w:val="single" w:color="C8BDA5" w:sz="4"/>
              <w:left w:val="none" w:color="auto" w:sz="0"/>
              <w:bottom w:val="single" w:color="C8BDA5" w:sz="8"/>
              <w:right w:val="none" w:color="auto" w:sz="0"/>
            </w:tcBorders>
            <w:shd w:fill="F5F1E8" w:color="auto" w:val="clear"/>
            <w:vAlign w:val="center"/>
          </w:tcPr>
          <w:p>
            <w:pPr>
              <w:spacing w:after="115" w:before="115"/>
            </w:pPr>
            <w:r>
              <w:rPr>
                <w:rFonts w:ascii="JetBrains Mono" w:cs="JetBrains Mono" w:eastAsia="JetBrains Mono" w:hAnsi="JetBrains Mono"/>
                <w:b/>
                <w:bCs/>
                <w:color w:val="6B3818"/>
                <w:spacing w:val="40"/>
                <w:sz w:val="16"/>
                <w:szCs w:val="16"/>
              </w:rPr>
              <w:t xml:space="preserve">ID</w:t>
            </w:r>
          </w:p>
        </w:tc>
        <w:tc>
          <w:tcPr>
            <w:tcW w:type="dxa" w:w="0"/>
            <w:tcBorders>
              <w:top w:val="single" w:color="C8BDA5" w:sz="4"/>
              <w:left w:val="none" w:color="auto" w:sz="0"/>
              <w:bottom w:val="single" w:color="C8BDA5" w:sz="8"/>
              <w:right w:val="none" w:color="auto" w:sz="0"/>
            </w:tcBorders>
            <w:shd w:fill="F5F1E8" w:color="auto" w:val="clear"/>
            <w:vAlign w:val="center"/>
          </w:tcPr>
          <w:p>
            <w:pPr>
              <w:spacing w:after="115" w:before="115"/>
            </w:pPr>
            <w:r>
              <w:rPr>
                <w:rFonts w:ascii="JetBrains Mono" w:cs="JetBrains Mono" w:eastAsia="JetBrains Mono" w:hAnsi="JetBrains Mono"/>
                <w:b/>
                <w:bCs/>
                <w:color w:val="6B3818"/>
                <w:spacing w:val="40"/>
                <w:sz w:val="16"/>
                <w:szCs w:val="16"/>
              </w:rPr>
              <w:t xml:space="preserve">DECISION</w:t>
            </w:r>
          </w:p>
        </w:tc>
        <w:tc>
          <w:tcPr>
            <w:tcW w:type="dxa" w:w="0"/>
            <w:tcBorders>
              <w:top w:val="single" w:color="C8BDA5" w:sz="4"/>
              <w:left w:val="none" w:color="auto" w:sz="0"/>
              <w:bottom w:val="single" w:color="C8BDA5" w:sz="8"/>
              <w:right w:val="none" w:color="auto" w:sz="0"/>
            </w:tcBorders>
            <w:shd w:fill="F5F1E8" w:color="auto" w:val="clear"/>
            <w:vAlign w:val="center"/>
          </w:tcPr>
          <w:p>
            <w:pPr>
              <w:spacing w:after="115" w:before="115"/>
            </w:pPr>
            <w:r>
              <w:rPr>
                <w:rFonts w:ascii="JetBrains Mono" w:cs="JetBrains Mono" w:eastAsia="JetBrains Mono" w:hAnsi="JetBrains Mono"/>
                <w:b/>
                <w:bCs/>
                <w:color w:val="6B3818"/>
                <w:spacing w:val="40"/>
                <w:sz w:val="16"/>
                <w:szCs w:val="16"/>
              </w:rPr>
              <w:t xml:space="preserve">OWNER</w:t>
            </w:r>
          </w:p>
        </w:tc>
        <w:tc>
          <w:tcPr>
            <w:tcW w:type="dxa" w:w="0"/>
            <w:tcBorders>
              <w:top w:val="single" w:color="C8BDA5" w:sz="4"/>
              <w:left w:val="none" w:color="auto" w:sz="0"/>
              <w:bottom w:val="single" w:color="C8BDA5" w:sz="8"/>
              <w:right w:val="none" w:color="auto" w:sz="0"/>
            </w:tcBorders>
            <w:shd w:fill="F5F1E8" w:color="auto" w:val="clear"/>
            <w:vAlign w:val="center"/>
          </w:tcPr>
          <w:p>
            <w:pPr>
              <w:spacing w:after="115" w:before="115"/>
            </w:pPr>
            <w:r>
              <w:rPr>
                <w:rFonts w:ascii="JetBrains Mono" w:cs="JetBrains Mono" w:eastAsia="JetBrains Mono" w:hAnsi="JetBrains Mono"/>
                <w:b/>
                <w:bCs/>
                <w:color w:val="6B3818"/>
                <w:spacing w:val="40"/>
                <w:sz w:val="16"/>
                <w:szCs w:val="16"/>
              </w:rPr>
              <w:t xml:space="preserve">OPENED</w:t>
            </w:r>
          </w:p>
        </w:tc>
        <w:tc>
          <w:tcPr>
            <w:tcW w:type="dxa" w:w="0"/>
            <w:tcBorders>
              <w:top w:val="single" w:color="C8BDA5" w:sz="4"/>
              <w:left w:val="none" w:color="auto" w:sz="0"/>
              <w:bottom w:val="single" w:color="C8BDA5" w:sz="8"/>
              <w:right w:val="none" w:color="auto" w:sz="0"/>
            </w:tcBorders>
            <w:shd w:fill="F5F1E8" w:color="auto" w:val="clear"/>
            <w:vAlign w:val="center"/>
          </w:tcPr>
          <w:p>
            <w:pPr>
              <w:spacing w:after="115" w:before="115"/>
            </w:pPr>
            <w:r>
              <w:rPr>
                <w:rFonts w:ascii="JetBrains Mono" w:cs="JetBrains Mono" w:eastAsia="JetBrains Mono" w:hAnsi="JetBrains Mono"/>
                <w:b/>
                <w:bCs/>
                <w:color w:val="6B3818"/>
                <w:spacing w:val="40"/>
                <w:sz w:val="16"/>
                <w:szCs w:val="16"/>
              </w:rPr>
              <w:t xml:space="preserve">STATUS</w:t>
            </w:r>
          </w:p>
        </w:tc>
        <w:tc>
          <w:tcPr>
            <w:tcW w:type="dxa" w:w="0"/>
            <w:tcBorders>
              <w:top w:val="single" w:color="C8BDA5" w:sz="4"/>
              <w:left w:val="none" w:color="auto" w:sz="0"/>
              <w:bottom w:val="single" w:color="C8BDA5" w:sz="8"/>
              <w:right w:val="none" w:color="auto" w:sz="0"/>
            </w:tcBorders>
            <w:shd w:fill="F5F1E8" w:color="auto" w:val="clear"/>
            <w:vAlign w:val="center"/>
          </w:tcPr>
          <w:p>
            <w:pPr>
              <w:spacing w:after="115" w:before="115"/>
            </w:pPr>
            <w:r>
              <w:rPr>
                <w:rFonts w:ascii="JetBrains Mono" w:cs="JetBrains Mono" w:eastAsia="JetBrains Mono" w:hAnsi="JetBrains Mono"/>
                <w:b/>
                <w:bCs/>
                <w:color w:val="6B3818"/>
                <w:spacing w:val="40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JetBrains Mono" w:cs="JetBrains Mono" w:eastAsia="JetBrains Mono" w:hAnsi="JetBrains Mono"/>
                <w:color w:val="9C4F24"/>
                <w:sz w:val="18"/>
                <w:szCs w:val="18"/>
              </w:rPr>
              <w:t xml:space="preserve">DEC-014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Adopt Windsurf as primary agentic dev tool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B. Wilburn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JetBrains Mono" w:cs="JetBrains Mono" w:eastAsia="JetBrains Mono" w:hAnsi="JetBrains Mono"/>
                <w:color w:val="2E2820"/>
                <w:sz w:val="18"/>
                <w:szCs w:val="18"/>
              </w:rPr>
              <w:t xml:space="preserve">2026-02-14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9C4F24"/>
                <w:sz w:val="18"/>
                <w:szCs w:val="18"/>
              </w:rPr>
              <w:t xml:space="preserve">APPROVED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IP posture cleared, DORA baseline set</w:t>
            </w:r>
          </w:p>
        </w:tc>
      </w:tr>
      <w:tr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JetBrains Mono" w:cs="JetBrains Mono" w:eastAsia="JetBrains Mono" w:hAnsi="JetBrains Mono"/>
                <w:color w:val="9C4F24"/>
                <w:sz w:val="18"/>
                <w:szCs w:val="18"/>
              </w:rPr>
              <w:t xml:space="preserve">DEC-015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Defer AI vendor selection to Phase II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C. Nguyen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JetBrains Mono" w:cs="JetBrains Mono" w:eastAsia="JetBrains Mono" w:hAnsi="JetBrains Mono"/>
                <w:color w:val="2E2820"/>
                <w:sz w:val="18"/>
                <w:szCs w:val="18"/>
              </w:rPr>
              <w:t xml:space="preserve">2026-02-18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8B2A20"/>
                <w:sz w:val="18"/>
                <w:szCs w:val="18"/>
              </w:rPr>
              <w:t xml:space="preserve">OPEN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Awaiting security review sign-off</w:t>
            </w:r>
          </w:p>
        </w:tc>
      </w:tr>
      <w:tr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JetBrains Mono" w:cs="JetBrains Mono" w:eastAsia="JetBrains Mono" w:hAnsi="JetBrains Mono"/>
                <w:color w:val="9C4F24"/>
                <w:sz w:val="18"/>
                <w:szCs w:val="18"/>
              </w:rPr>
              <w:t xml:space="preserve">DEC-016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Freeze org restructure until Q3 close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J. Torres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JetBrains Mono" w:cs="JetBrains Mono" w:eastAsia="JetBrains Mono" w:hAnsi="JetBrains Mono"/>
                <w:color w:val="2E2820"/>
                <w:sz w:val="18"/>
                <w:szCs w:val="18"/>
              </w:rPr>
              <w:t xml:space="preserve">2026-02-22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9C4F24"/>
                <w:sz w:val="18"/>
                <w:szCs w:val="18"/>
              </w:rPr>
              <w:t xml:space="preserve">APPROVED</w:t>
            </w:r>
          </w:p>
        </w:tc>
        <w:tc>
          <w:tcPr>
            <w:tcW w:type="dxa" w:w="0"/>
            <w:tcBorders>
              <w:top w:val="none" w:color="auto" w:sz="0"/>
              <w:left w:val="none" w:color="auto" w:sz="0"/>
              <w:bottom w:val="single" w:color="C8BDA5" w:sz="3"/>
              <w:right w:val="none" w:color="auto" w:sz="0"/>
            </w:tcBorders>
            <w:vAlign w:val="center"/>
          </w:tcPr>
          <w:p>
            <w:pPr>
              <w:spacing w:after="86" w:before="86"/>
            </w:pPr>
            <w:r>
              <w:rPr>
                <w:rFonts w:ascii="Inter Tight" w:cs="Inter Tight" w:eastAsia="Inter Tight" w:hAnsi="Inter Tight"/>
                <w:color w:val="2E2820"/>
                <w:sz w:val="18"/>
                <w:szCs w:val="18"/>
              </w:rPr>
              <w:t xml:space="preserve">Reduces attrition risk mid-diligence</w:t>
            </w:r>
          </w:p>
        </w:tc>
      </w:tr>
    </w:tbl>
    <w:p>
      <w:pPr>
        <w:spacing w:after="576"/>
      </w:pPr>
    </w:p>
    <w:p>
      <w:pPr>
        <w:spacing w:after="115" w:before="288"/>
      </w:pPr>
      <w:r>
        <w:rPr>
          <w:rFonts w:ascii="JetBrains Mono" w:cs="JetBrains Mono" w:eastAsia="JetBrains Mono" w:hAnsi="JetBrains Mono"/>
          <w:b/>
          <w:bCs/>
          <w:color w:val="6B3818"/>
          <w:spacing w:val="40"/>
          <w:sz w:val="18"/>
          <w:szCs w:val="18"/>
        </w:rPr>
        <w:t xml:space="preserve">SECTION 03</w:t>
      </w:r>
    </w:p>
    <w:p>
      <w:pPr>
        <w:pStyle w:val="Heading1"/>
        <w:spacing w:after="202"/>
      </w:pPr>
      <w:r>
        <w:rPr>
          <w:rFonts w:ascii="Inter Tight" w:cs="Inter Tight" w:eastAsia="Inter Tight" w:hAnsi="Inter Tight"/>
          <w:color w:val="1A1612"/>
          <w:spacing w:val="-12"/>
          <w:sz w:val="60"/>
          <w:szCs w:val="60"/>
        </w:rPr>
        <w:t xml:space="preserve">Close.</w:t>
      </w:r>
    </w:p>
    <w:p>
      <w:pPr>
        <w:pBdr>
          <w:bottom w:val="single" w:color="A89C82" w:sz="6" w:space="4"/>
        </w:pBdr>
        <w:spacing w:after="173" w:before="173"/>
      </w:pPr>
    </w:p>
    <w:p>
      <w:pPr>
        <w:spacing w:after="576" w:line="360" w:lineRule="auto"/>
      </w:pPr>
      <w:r>
        <w:rPr>
          <w:rFonts w:ascii="Inter Tight" w:cs="Inter Tight" w:eastAsia="Inter Tight" w:hAnsi="Inter Tight"/>
          <w:color w:val="2E2820"/>
          <w:sz w:val="22"/>
          <w:szCs w:val="22"/>
        </w:rPr>
        <w:t xml:space="preserve">The document closes with the locked closing line, not a "Thank you." Signature and attribution stand on their own — the reader has already read the work.</w:t>
      </w:r>
    </w:p>
    <w:p>
      <w:pPr>
        <w:spacing w:after="202"/>
      </w:pPr>
      <w:r>
        <w:rPr>
          <w:rFonts w:ascii="Inter Tight" w:cs="Inter Tight" w:eastAsia="Inter Tight" w:hAnsi="Inter Tight"/>
          <w:color w:val="1A1612"/>
          <w:spacing w:val="-4"/>
          <w:sz w:val="28"/>
          <w:szCs w:val="28"/>
        </w:rPr>
        <w:t xml:space="preserve">We have shipped what we recommend.</w:t>
      </w:r>
    </w:p>
    <w:p>
      <w:pPr>
        <w:spacing w:after="864"/>
      </w:pPr>
      <w:r>
        <w:rPr>
          <w:rFonts w:ascii="Instrument Serif" w:cs="Instrument Serif" w:eastAsia="Instrument Serif" w:hAnsi="Instrument Serif"/>
          <w:i/>
          <w:iCs/>
          <w:color w:val="9C4F24"/>
        </w:rPr>
        <w:t xml:space="preserve">Coordinated, not improvised.</w:t>
      </w:r>
    </w:p>
    <w:p>
      <w:pPr>
        <w:tabs>
          <w:tab w:val="right" w:pos="9026"/>
        </w:tabs>
        <w:spacing w:after="115"/>
      </w:pPr>
      <w:r>
        <w:rPr>
          <w:rFonts w:ascii="Inter Tight" w:cs="Inter Tight" w:eastAsia="Inter Tight" w:hAnsi="Inter Tight"/>
          <w:color w:val="1A1612"/>
          <w:sz w:val="22"/>
          <w:szCs w:val="22"/>
        </w:rPr>
        <w:t xml:space="preserve">Brandon Wilburn</w:t>
      </w:r>
      <w:r>
        <w:rPr>
          <w:rFonts w:ascii="Inter Tight" w:cs="Inter Tight" w:eastAsia="Inter Tight" w:hAnsi="Inter Tight"/>
        </w:rPr>
        <w:t xml:space="preserve">	</w:t>
      </w:r>
      <w:r>
        <w:rPr>
          <w:rFonts w:ascii="JetBrains Mono" w:cs="JetBrains Mono" w:eastAsia="JetBrains Mono" w:hAnsi="JetBrains Mono"/>
          <w:color w:val="8A7E6A"/>
          <w:spacing w:val="40"/>
          <w:sz w:val="18"/>
          <w:szCs w:val="18"/>
        </w:rPr>
        <w:t xml:space="preserve">DATE   ·   MONTH YEAR</w:t>
      </w:r>
    </w:p>
    <w:p>
      <w:pPr>
        <w:spacing w:after="576"/>
      </w:pPr>
      <w:r>
        <w:rPr>
          <w:rFonts w:ascii="Inter Tight" w:cs="Inter Tight" w:eastAsia="Inter Tight" w:hAnsi="Inter Tight"/>
          <w:color w:val="5A5042"/>
          <w:sz w:val="20"/>
          <w:szCs w:val="20"/>
        </w:rPr>
        <w:t xml:space="preserve">Founder</w:t>
      </w:r>
      <w:r>
        <w:rPr>
          <w:rFonts w:ascii="Inter Tight" w:cs="Inter Tight" w:eastAsia="Inter Tight" w:hAnsi="Inter Tight"/>
          <w:color w:val="8A7E6A"/>
          <w:sz w:val="20"/>
          <w:szCs w:val="20"/>
        </w:rPr>
        <w:t xml:space="preserve">  ·  </w:t>
      </w:r>
      <w:r>
        <w:rPr>
          <w:rFonts w:ascii="Inter Tight" w:cs="Inter Tight" w:eastAsia="Inter Tight" w:hAnsi="Inter Tight"/>
          <w:color w:val="9C4F24"/>
          <w:sz w:val="20"/>
          <w:szCs w:val="20"/>
        </w:rPr>
        <w:t xml:space="preserve">C9D</w:t>
      </w:r>
      <w:r>
        <w:rPr>
          <w:rFonts w:ascii="Inter Tight" w:cs="Inter Tight" w:eastAsia="Inter Tight" w:hAnsi="Inter Tight"/>
          <w:color w:val="1A1612"/>
          <w:sz w:val="20"/>
          <w:szCs w:val="20"/>
        </w:rPr>
        <w:t xml:space="preserve"> Consulting</w:t>
      </w:r>
    </w:p>
    <w:sectPr>
      <w:headerReference w:type="default" r:id="rId7"/>
      <w:footerReference w:type="default" r:id="rId8"/>
      <w:pgSz w:w="12240" w:h="15840" w:orient="portrait"/>
      <w:pgMar w:top="1152" w:right="1152" w:bottom="1152" w:left="1152" w:header="576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DA5" w:sz="4" w:space="4"/>
      </w:pBdr>
      <w:tabs>
        <w:tab w:val="center" w:pos="4500"/>
        <w:tab w:val="right" w:pos="9026"/>
      </w:tabs>
    </w:pPr>
    <w:r>
      <w:rPr>
        <w:rFonts w:ascii="Inter Tight" w:cs="Inter Tight" w:eastAsia="Inter Tight" w:hAnsi="Inter Tight"/>
        <w:b w:val="false"/>
        <w:bCs w:val="false"/>
        <w:color w:val="9C4F24"/>
        <w:sz w:val="18"/>
        <w:szCs w:val="18"/>
      </w:rPr>
      <w:t xml:space="preserve">C9D</w:t>
    </w:r>
    <w:r>
      <w:rPr>
        <w:rFonts w:ascii="Inter Tight" w:cs="Inter Tight" w:eastAsia="Inter Tight" w:hAnsi="Inter Tight"/>
        <w:color w:val="1A1612"/>
        <w:sz w:val="18"/>
        <w:szCs w:val="18"/>
      </w:rPr>
      <w:t xml:space="preserve"> Consulting</w:t>
    </w:r>
    <w:r>
      <w:rPr>
        <w:rFonts w:ascii="JetBrains Mono" w:cs="JetBrains Mono" w:eastAsia="JetBrains Mono" w:hAnsi="JetBrains Mono"/>
      </w:rPr>
      <w:t xml:space="preserve">	</w:t>
    </w:r>
    <w:r>
      <w:rPr>
        <w:rFonts w:ascii="Inter Tight" w:cs="Inter Tight" w:eastAsia="Inter Tight" w:hAnsi="Inter Tight"/>
        <w:color w:val="5A5042"/>
        <w:sz w:val="16"/>
        <w:szCs w:val="16"/>
      </w:rPr>
      <w:t xml:space="preserve">A practice of Brandon Wilburn.</w:t>
    </w:r>
    <w:r>
      <w:rPr>
        <w:rFonts w:ascii="JetBrains Mono" w:cs="JetBrains Mono" w:eastAsia="JetBrains Mono" w:hAnsi="JetBrains Mono"/>
      </w:rPr>
      <w:t xml:space="preserve">	</w:t>
    </w:r>
    <w:r>
      <w:rPr>
        <w:rFonts w:ascii="JetBrains Mono" w:cs="JetBrains Mono" w:eastAsia="JetBrains Mono" w:hAnsi="JetBrains Mono"/>
        <w:color w:val="8A7E6A"/>
        <w:sz w:val="16"/>
        <w:szCs w:val="16"/>
      </w:rPr>
      <w:t xml:space="preserve">Page </w:t>
    </w:r>
    <w:r>
      <w:rPr>
        <w:rFonts w:ascii="JetBrains Mono" w:cs="JetBrains Mono" w:eastAsia="JetBrains Mono" w:hAnsi="JetBrains Mono"/>
        <w:color w:val="8A7E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8A7E6A"/>
        <w:sz w:val="16"/>
        <w:szCs w:val="16"/>
      </w:rPr>
      <w:t xml:space="preserve"> / </w:t>
    </w:r>
    <w:r>
      <w:rPr>
        <w:rFonts w:ascii="JetBrains Mono" w:cs="JetBrains Mono" w:eastAsia="JetBrains Mono" w:hAnsi="JetBrains Mono"/>
        <w:color w:val="8A7E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DA5" w:sz="4" w:space="4"/>
      </w:pBdr>
      <w:tabs>
        <w:tab w:val="center" w:pos="4500"/>
        <w:tab w:val="right" w:pos="9026"/>
      </w:tabs>
    </w:pPr>
    <w:r>
      <w:rPr>
        <w:rFonts w:ascii="JetBrains Mono" w:cs="JetBrains Mono" w:eastAsia="JetBrains Mono" w:hAnsi="JetBrains Mono"/>
        <w:color w:val="8A7E6A"/>
        <w:sz w:val="16"/>
        <w:szCs w:val="16"/>
      </w:rPr>
      <w:t xml:space="preserve">FILE-C9D-ENG-2026-XXX</w:t>
    </w:r>
    <w:r>
      <w:rPr>
        <w:rFonts w:ascii="JetBrains Mono" w:cs="JetBrains Mono" w:eastAsia="JetBrains Mono" w:hAnsi="JetBrains Mono"/>
      </w:rPr>
      <w:t xml:space="preserve">	</w:t>
    </w:r>
    <w:r>
      <w:rPr>
        <w:rFonts w:ascii="Inter Tight" w:cs="Inter Tight" w:eastAsia="Inter Tight" w:hAnsi="Inter Tight"/>
        <w:b/>
        <w:bCs/>
        <w:color w:val="9C4F24"/>
        <w:spacing w:val="40"/>
        <w:sz w:val="16"/>
        <w:szCs w:val="16"/>
      </w:rPr>
      <w:t xml:space="preserve">CLIENT CONFIDENTIAL</w:t>
    </w:r>
    <w:r>
      <w:rPr>
        <w:rFonts w:ascii="JetBrains Mono" w:cs="JetBrains Mono" w:eastAsia="JetBrains Mono" w:hAnsi="JetBrains Mono"/>
      </w:rPr>
      <w:t xml:space="preserve">	</w:t>
    </w:r>
    <w:r>
      <w:rPr>
        <w:rFonts w:ascii="JetBrains Mono" w:cs="JetBrains Mono" w:eastAsia="JetBrains Mono" w:hAnsi="JetBrains Mono"/>
        <w:color w:val="8A7E6A"/>
        <w:sz w:val="16"/>
        <w:szCs w:val="16"/>
      </w:rPr>
      <w:t xml:space="preserve">§ SECTION MARKER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46"/>
      </w:pPr>
      <w:rPr>
        <w:rFonts w:ascii="Inter Tight" w:cs="Inter Tight" w:eastAsia="Inter Tight" w:hAnsi="Inter Tight"/>
        <w:color w:val="9C4F24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Zero"/>
      <w:lvlText w:val="%1."/>
      <w:lvlJc w:val="left"/>
      <w:pPr>
        <w:ind w:left="648" w:hanging="504"/>
      </w:pPr>
      <w:rPr>
        <w:rFonts w:ascii="JetBrains Mono" w:cs="JetBrains Mono" w:eastAsia="JetBrains Mono" w:hAnsi="JetBrains Mono"/>
        <w:b/>
        <w:bCs/>
        <w:color w:val="6B3818"/>
        <w:spacing w:val="2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 Tight" w:cs="Inter Tight" w:eastAsia="Inter Tight" w:hAnsi="Inter Tight"/>
        <w:color w:val="2E2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2" w:before="576"/>
    </w:pPr>
    <w:rPr>
      <w:rFonts w:ascii="Inter Tight" w:cs="Inter Tight" w:eastAsia="Inter Tight" w:hAnsi="Inter Tight"/>
      <w:color w:val="1A1612"/>
      <w:sz w:val="60"/>
      <w:szCs w:val="60"/>
    </w:rPr>
  </w:style>
  <w:style w:type="paragraph" w:styleId="Heading2">
    <w:name w:val="Heading 2"/>
    <w:basedOn w:val="Normal"/>
    <w:next w:val="Normal"/>
    <w:qFormat/>
    <w:pPr>
      <w:spacing w:after="144" w:before="461"/>
    </w:pPr>
    <w:rPr>
      <w:rFonts w:ascii="Inter Tight" w:cs="Inter Tight" w:eastAsia="Inter Tight" w:hAnsi="Inter Tight"/>
      <w:color w:val="1A1612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15" w:before="346"/>
    </w:pPr>
    <w:rPr>
      <w:rFonts w:ascii="Inter Tight" w:cs="Inter Tight" w:eastAsia="Inter Tight" w:hAnsi="Inter Tight"/>
      <w:b/>
      <w:bCs/>
      <w:color w:val="1A1612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C9D Consulting Word Template</dc:title>
  <dc:creator>C9D Consulting</dc:creator>
  <dc:description>Dossier-styled Word document template.</dc:description>
  <cp:lastModifiedBy>Un-named</cp:lastModifiedBy>
  <cp:revision>1</cp:revision>
  <dcterms:created xsi:type="dcterms:W3CDTF">2026-09-07T15:26:13.562Z</dcterms:created>
  <dcterms:modified xsi:type="dcterms:W3CDTF">2026-09-07T15:26:13.582Z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