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1.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Estimación</w:t>
      </w:r>
      <w:r>
        <w:t xml:space="preserve"> </w:t>
      </w:r>
      <w:r>
        <w:t xml:space="preserve">Bayesiana</w:t>
      </w:r>
      <w:r>
        <w:t xml:space="preserve"> </w:t>
      </w:r>
      <w:r>
        <w:t xml:space="preserve">de</w:t>
      </w:r>
      <w:r>
        <w:t xml:space="preserve"> </w:t>
      </w:r>
      <w:r>
        <w:t xml:space="preserve">la</w:t>
      </w:r>
      <w:r>
        <w:t xml:space="preserve"> </w:t>
      </w:r>
      <w:r>
        <w:t xml:space="preserve">prevalencia</w:t>
      </w:r>
      <w:r>
        <w:t xml:space="preserve"> </w:t>
      </w:r>
      <w:r>
        <w:t xml:space="preserve">de</w:t>
      </w:r>
      <w:r>
        <w:t xml:space="preserve"> </w:t>
      </w:r>
      <w:r>
        <w:t xml:space="preserve">sobrepeso</w:t>
      </w:r>
      <w:r>
        <w:t xml:space="preserve"> </w:t>
      </w:r>
      <w:r>
        <w:t xml:space="preserve">y</w:t>
      </w:r>
      <w:r>
        <w:t xml:space="preserve"> </w:t>
      </w:r>
      <w:r>
        <w:t xml:space="preserve">obesidad</w:t>
      </w:r>
      <w:r>
        <w:t xml:space="preserve"> </w:t>
      </w:r>
      <w:r>
        <w:t xml:space="preserve">infantil</w:t>
      </w:r>
      <w:r>
        <w:t xml:space="preserve"> </w:t>
      </w:r>
      <w:r>
        <w:t xml:space="preserve">en</w:t>
      </w:r>
      <w:r>
        <w:t xml:space="preserve"> </w:t>
      </w:r>
      <w:r>
        <w:t xml:space="preserve">Costa</w:t>
      </w:r>
      <w:r>
        <w:t xml:space="preserve"> </w:t>
      </w:r>
      <w:r>
        <w:t xml:space="preserve">Rica</w:t>
      </w:r>
    </w:p>
    <w:p>
      <w:pPr>
        <w:pStyle w:val="Author"/>
      </w:pPr>
      <w:r>
        <w:t xml:space="preserve">José</w:t>
      </w:r>
      <w:r>
        <w:t xml:space="preserve"> </w:t>
      </w:r>
      <w:r>
        <w:t xml:space="preserve">Carlos</w:t>
      </w:r>
      <w:r>
        <w:t xml:space="preserve"> </w:t>
      </w:r>
      <w:r>
        <w:t xml:space="preserve">Quintero</w:t>
      </w:r>
    </w:p>
    <w:p>
      <w:pPr>
        <w:pStyle w:val="Author"/>
      </w:pPr>
      <w:r>
        <w:t xml:space="preserve">Paola</w:t>
      </w:r>
      <w:r>
        <w:t xml:space="preserve"> </w:t>
      </w:r>
      <w:r>
        <w:t xml:space="preserve">Espinoza</w:t>
      </w:r>
    </w:p>
    <w:p>
      <w:pPr>
        <w:pStyle w:val="Author"/>
      </w:pPr>
      <w:r>
        <w:t xml:space="preserve">Julián</w:t>
      </w:r>
      <w:r>
        <w:t xml:space="preserve"> </w:t>
      </w:r>
      <w:r>
        <w:t xml:space="preserve">Soto</w:t>
      </w:r>
    </w:p>
    <w:p>
      <w:pPr>
        <w:pStyle w:val="Author"/>
      </w:pPr>
      <w:r>
        <w:t xml:space="preserve">María</w:t>
      </w:r>
      <w:r>
        <w:t xml:space="preserve"> </w:t>
      </w:r>
      <w:r>
        <w:t xml:space="preserve">Paula</w:t>
      </w:r>
      <w:r>
        <w:t xml:space="preserve"> </w:t>
      </w:r>
      <w:r>
        <w:t xml:space="preserve">Jiménez</w:t>
      </w:r>
    </w:p>
    <w:p>
      <w:pPr>
        <w:pStyle w:val="Date"/>
      </w:pPr>
      <w:r>
        <w:t xml:space="preserve">28</w:t>
      </w:r>
      <w:r>
        <w:t xml:space="preserve"> </w:t>
      </w:r>
      <w:r>
        <w:t xml:space="preserve">de</w:t>
      </w:r>
      <w:r>
        <w:t xml:space="preserve"> </w:t>
      </w:r>
      <w:r>
        <w:t xml:space="preserve">noviembre</w:t>
      </w:r>
      <w:r>
        <w:t xml:space="preserve"> </w:t>
      </w:r>
      <w:r>
        <w:t xml:space="preserve">de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resumen"/>
    <w:p>
      <w:pPr>
        <w:pStyle w:val="Heading1"/>
      </w:pPr>
      <w:r>
        <w:t xml:space="preserve">Resumen</w:t>
      </w:r>
    </w:p>
    <w:p>
      <w:pPr>
        <w:pStyle w:val="FirstParagraph"/>
      </w:pPr>
      <w:r>
        <w:t xml:space="preserve">Este estudio analiza la prevalencia de sobrepeso y obesidad infantil en Costa Rica a partir del Primer Censo Escolar de Peso/Talla 2016 (niños de 6 a 12 años). Se modelan los conteos de casos por cantón mediante un modelo binomial con enlace logit e inferencia bayesiana, incorporando covariables socioeconómicas y demográficas estandarizadas. La estimación se realiza con el algoritmo No-U-Turn Sampler (NUTS), que permite obtener distribuciones posteriores bien mezcladas para las probabilidades de prevalencia en cada unidad territorial. A nivel nacional, la media posterior de obesidad es cercana al 14 % y la de sobrepeso al 20 %, lo que implica un exceso de peso combinado de alrededor del 34 %. Se observa un gradiente centro–periferia: provincias y cantones del Valle Central presentan las prevalencias más elevadas, mientras que zonas costeras y periféricas muestran valores significativamente menores. Los resultados confirman que el exceso de peso infantil constituye un problema estructural de salud pública y muestran que el enfoque bayesiano logit–binomial es útil para cuantificar la prevalencia y su incertidumbre a distintos niveles geográficos.</w:t>
      </w:r>
    </w:p>
    <w:p>
      <w:pPr>
        <w:pStyle w:val="BodyText"/>
      </w:pPr>
      <w:r>
        <w:rPr>
          <w:iCs/>
          <w:i/>
        </w:rPr>
        <w:t xml:space="preserve">Palabras clave:</w:t>
      </w:r>
      <w:r>
        <w:t xml:space="preserve"> </w:t>
      </w:r>
      <w:r>
        <w:t xml:space="preserve">Costa Rica, sobrepeso, obesidad, muestreo NUTS.</w:t>
      </w:r>
    </w:p>
    <w:bookmarkEnd w:id="20"/>
    <w:bookmarkStart w:id="21" w:name="introducción"/>
    <w:p>
      <w:pPr>
        <w:pStyle w:val="Heading1"/>
      </w:pPr>
      <w:r>
        <w:t xml:space="preserve">Introducción</w:t>
      </w:r>
    </w:p>
    <w:p>
      <w:pPr>
        <w:pStyle w:val="FirstParagraph"/>
      </w:pPr>
      <w:r>
        <w:t xml:space="preserve">El sobrepeso y la obesidad infantil se han consolidado en las últimas décadas como una de las principales problemáticas de salud pública a nivel mundial: entre 1975 y 2016 el número de niños y adolescentes con obesidad se multiplicó por más de diez, y más de 200 millones presentaban sobrepeso</w:t>
      </w:r>
      <w:r>
        <w:t xml:space="preserve"> </w:t>
      </w:r>
      <w:r>
        <w:t xml:space="preserve">(</w:t>
      </w:r>
      <w:hyperlink w:anchor="ref-WHO2018">
        <w:r>
          <w:rPr>
            <w:rStyle w:val="Hyperlink"/>
          </w:rPr>
          <w:t xml:space="preserve">World Health Organization, 2018</w:t>
        </w:r>
      </w:hyperlink>
      <w:r>
        <w:t xml:space="preserve">)</w:t>
      </w:r>
      <w:r>
        <w:t xml:space="preserve">. Estas condiciones se asocian con complicaciones metabólicas y psicosociales en la niñez y con un mayor riesgo de enfermedad crónica, discapacidad y mortalidad prematura en la adultez</w:t>
      </w:r>
      <w:r>
        <w:t xml:space="preserve"> </w:t>
      </w:r>
      <w:r>
        <w:t xml:space="preserve">(</w:t>
      </w:r>
      <w:hyperlink w:anchor="ref-Gamboa2021">
        <w:r>
          <w:rPr>
            <w:rStyle w:val="Hyperlink"/>
          </w:rPr>
          <w:t xml:space="preserve">Gamboa-Gamboa et al., 2021</w:t>
        </w:r>
      </w:hyperlink>
      <w:r>
        <w:t xml:space="preserve">)</w:t>
      </w:r>
      <w:r>
        <w:t xml:space="preserve">.</w:t>
      </w:r>
    </w:p>
    <w:p>
      <w:pPr>
        <w:pStyle w:val="BodyText"/>
      </w:pPr>
      <w:r>
        <w:t xml:space="preserve">En Costa Rica, el primer Censo Escolar de Peso/Talla, desarrollado en el año 2016, reveló que más de un tercio de los escolares censados presenta exceso de peso</w:t>
      </w:r>
      <w:r>
        <w:t xml:space="preserve"> </w:t>
      </w:r>
      <w:r>
        <w:t xml:space="preserve">(</w:t>
      </w:r>
      <w:hyperlink w:anchor="ref-Gomez2023">
        <w:r>
          <w:rPr>
            <w:rStyle w:val="Hyperlink"/>
          </w:rPr>
          <w:t xml:space="preserve">Gómez et al., 2023</w:t>
        </w:r>
      </w:hyperlink>
      <w:r>
        <w:t xml:space="preserve">)</w:t>
      </w:r>
      <w:r>
        <w:t xml:space="preserve">. Estudios nacionales han mostrado que la prevalencia de sobrepeso y obesidad es mayor en varones, en escuelas privadas y en distritos urbanos con mayor desarrollo socioeconómico</w:t>
      </w:r>
      <w:r>
        <w:t xml:space="preserve"> </w:t>
      </w:r>
      <w:r>
        <w:t xml:space="preserve">(</w:t>
      </w:r>
      <w:hyperlink w:anchor="ref-Gamboa2021">
        <w:r>
          <w:rPr>
            <w:rStyle w:val="Hyperlink"/>
          </w:rPr>
          <w:t xml:space="preserve">Gamboa-Gamboa et al., 2021</w:t>
        </w:r>
      </w:hyperlink>
      <w:r>
        <w:t xml:space="preserve">)</w:t>
      </w:r>
      <w:r>
        <w:t xml:space="preserve">, así como también que las curvas nacionales de índice de masa corporal (IMC) y circunferencia de cintura difieren de los patrones internacionales</w:t>
      </w:r>
      <w:r>
        <w:t xml:space="preserve"> </w:t>
      </w:r>
      <w:r>
        <w:t xml:space="preserve">(</w:t>
      </w:r>
      <w:hyperlink w:anchor="ref-Nunez2022">
        <w:r>
          <w:rPr>
            <w:rStyle w:val="Hyperlink"/>
          </w:rPr>
          <w:t xml:space="preserve">Núñez-Rivas et al., 2022</w:t>
        </w:r>
      </w:hyperlink>
      <w:r>
        <w:t xml:space="preserve">)</w:t>
      </w:r>
      <w:r>
        <w:t xml:space="preserve">. Lo anterior subraya la necesidad de contar con referencias y análisis propios. A nivel regional, investigaciones como</w:t>
      </w:r>
      <w:r>
        <w:t xml:space="preserve"> </w:t>
      </w:r>
      <w:hyperlink w:anchor="ref-Hernandez2016">
        <w:r>
          <w:rPr>
            <w:rStyle w:val="Hyperlink"/>
          </w:rPr>
          <w:t xml:space="preserve">Hernández-Vásquez et al.</w:t>
        </w:r>
      </w:hyperlink>
      <w:r>
        <w:t xml:space="preserve"> </w:t>
      </w:r>
      <w:r>
        <w:t xml:space="preserve">(</w:t>
      </w:r>
      <w:hyperlink w:anchor="ref-Hernandez2016">
        <w:r>
          <w:rPr>
            <w:rStyle w:val="Hyperlink"/>
          </w:rPr>
          <w:t xml:space="preserve">2016</w:t>
        </w:r>
      </w:hyperlink>
      <w:r>
        <w:t xml:space="preserve">)</w:t>
      </w:r>
      <w:r>
        <w:t xml:space="preserve"> </w:t>
      </w:r>
      <w:r>
        <w:t xml:space="preserve">para Perú, y</w:t>
      </w:r>
      <w:r>
        <w:t xml:space="preserve"> </w:t>
      </w:r>
      <w:hyperlink w:anchor="ref-Gomez2023">
        <w:r>
          <w:rPr>
            <w:rStyle w:val="Hyperlink"/>
          </w:rPr>
          <w:t xml:space="preserve">Gómez et al.</w:t>
        </w:r>
      </w:hyperlink>
      <w:r>
        <w:t xml:space="preserve"> </w:t>
      </w:r>
      <w:r>
        <w:t xml:space="preserve">(</w:t>
      </w:r>
      <w:hyperlink w:anchor="ref-Gomez2023">
        <w:r>
          <w:rPr>
            <w:rStyle w:val="Hyperlink"/>
          </w:rPr>
          <w:t xml:space="preserve">2023</w:t>
        </w:r>
      </w:hyperlink>
      <w:r>
        <w:t xml:space="preserve">)</w:t>
      </w:r>
      <w:r>
        <w:t xml:space="preserve"> </w:t>
      </w:r>
      <w:r>
        <w:t xml:space="preserve">para Costa Rica indican que el sobrepeso y la obesidad infantil tienden a concentrarse en territorios urbanos y costeros, evidenciando un componente territorial y socioeconómico en su distribución.</w:t>
      </w:r>
    </w:p>
    <w:p>
      <w:pPr>
        <w:pStyle w:val="BodyText"/>
      </w:pPr>
      <w:r>
        <w:t xml:space="preserve">En este marco teórico, el problema se concibe como un fenómeno de prevalencia territorialmente heterogénea, influido por factores demográficos, económicos y de urbanización. Por esta razón, resulta necesario no solo estimar la magnitud de la prevalencia de sobrepeso y la obesidad, sino también cuantificar rigurosamente la incertidumbre asociada a esas estimaciones y describir su patrón espacial en el país.</w:t>
      </w:r>
    </w:p>
    <w:p>
      <w:pPr>
        <w:pStyle w:val="BodyText"/>
      </w:pPr>
      <w:r>
        <w:t xml:space="preserve">Este panorama motiva la siguiente pregunta de investigación: ¿cómo se distribuye territorialmente la prevalencia de sobrepeso y obesidad infantil en Costa Rica, y con qué grado de incertidumbre puede estimarse a partir de la evidencia disponible? Para responderla, este estudio propone estimar la prevalencia de ambas condiciones en las distintas divisiones territoriales del país mediante un enfoque bayesiano. En particular, se modelan los conteos de casos utilizando un modelo binomial con enlace logit, al que se incorporan covariables sociodemográficas y se ajusta por medio de algoritmos de muestreo tipo HMC/NUTS</w:t>
      </w:r>
      <w:r>
        <w:t xml:space="preserve"> </w:t>
      </w:r>
      <w:r>
        <w:t xml:space="preserve">(</w:t>
      </w:r>
      <w:hyperlink w:anchor="ref-HoffmanGelman2014">
        <w:r>
          <w:rPr>
            <w:rStyle w:val="Hyperlink"/>
          </w:rPr>
          <w:t xml:space="preserve">Hoffman &amp; Gelman, 2014</w:t>
        </w:r>
      </w:hyperlink>
      <w:r>
        <w:t xml:space="preserve">)</w:t>
      </w:r>
      <w:r>
        <w:t xml:space="preserve"> </w:t>
      </w:r>
      <w:r>
        <w:t xml:space="preserve">para aproximar la distribución posterior. A partir de estas distribuciones posteriores, se comparan provincias y cantones mediante medias e intervalos de credibilidad, y se elaboran mapas y gráficos que permiten interpretar la heterogeneidad territorial y la distribución de la prevalencia de sobrepeso y obesidad infantil en Costa Rica.</w:t>
      </w:r>
    </w:p>
    <w:bookmarkEnd w:id="21"/>
    <w:bookmarkStart w:id="29" w:name="metodología"/>
    <w:p>
      <w:pPr>
        <w:pStyle w:val="Heading1"/>
      </w:pPr>
      <w:r>
        <w:t xml:space="preserve">Metodología</w:t>
      </w:r>
    </w:p>
    <w:bookmarkStart w:id="22" w:name="descripción-de-los-datos"/>
    <w:p>
      <w:pPr>
        <w:pStyle w:val="Heading2"/>
      </w:pPr>
      <w:r>
        <w:t xml:space="preserve">Descripción de los datos</w:t>
      </w:r>
    </w:p>
    <w:p>
      <w:pPr>
        <w:pStyle w:val="FirstParagraph"/>
      </w:pPr>
      <w:r>
        <w:t xml:space="preserve">La base de datos empleada en este estudio corresponde al conjunto de datos construido en el marco del trabajo de</w:t>
      </w:r>
      <w:r>
        <w:t xml:space="preserve"> </w:t>
      </w:r>
      <w:hyperlink w:anchor="ref-Gomez2023">
        <w:r>
          <w:rPr>
            <w:rStyle w:val="Hyperlink"/>
          </w:rPr>
          <w:t xml:space="preserve">Gómez et al.</w:t>
        </w:r>
      </w:hyperlink>
      <w:r>
        <w:t xml:space="preserve"> </w:t>
      </w:r>
      <w:r>
        <w:t xml:space="preserve">(</w:t>
      </w:r>
      <w:hyperlink w:anchor="ref-Gomez2023">
        <w:r>
          <w:rPr>
            <w:rStyle w:val="Hyperlink"/>
          </w:rPr>
          <w:t xml:space="preserve">2023</w:t>
        </w:r>
      </w:hyperlink>
      <w:r>
        <w:t xml:space="preserve">)</w:t>
      </w:r>
      <w:r>
        <w:t xml:space="preserve">. En dicho estudio, los autores integran indicadores socioeconómicos y demográficos desagregados a nivel distrital procedentes del Censo Nacional de Población y Vivienda 2011, así como medidas de prevalencia de sobrepeso y obesidad infantil recolectadas en el Censo Escolar Peso/Talla 2016. Estos datos fueron obtenidos directamente a través del panel interactivo desarrollado por los autores.</w:t>
      </w:r>
    </w:p>
    <w:p>
      <w:pPr>
        <w:pStyle w:val="BodyText"/>
      </w:pPr>
      <w:r>
        <w:t xml:space="preserve">La fuente primaria de información es el Censo Escolar Peso/Talla 2016, un operativo que recolectó datos de 347 379 niños entre 6 y 12 años matriculados en el sistema escolar público y privado de Costa Rica. Del total de población censada, 178 417 fueron hombres y 168 962 mujeres, lo que corresponde a un 51.3% y un 48.7% respectivamente. Asimismo, el censo alcanzó una cobertura cercana al 90.9% de la población objetivo, por lo que sus resultados se consideran estadísticamente representativos a nivel nacional (</w:t>
      </w:r>
      <w:hyperlink w:anchor="ref-CensoEscolar2016">
        <w:r>
          <w:rPr>
            <w:rStyle w:val="Hyperlink"/>
          </w:rPr>
          <w:t xml:space="preserve">Censo Escolar Peso-Talla 2016</w:t>
        </w:r>
      </w:hyperlink>
      <w:r>
        <w:t xml:space="preserve"> </w:t>
      </w:r>
      <w:r>
        <w:t xml:space="preserve">(</w:t>
      </w:r>
      <w:hyperlink w:anchor="ref-CensoEscolar2016">
        <w:r>
          <w:rPr>
            <w:rStyle w:val="Hyperlink"/>
          </w:rPr>
          <w:t xml:space="preserve">2016</w:t>
        </w:r>
      </w:hyperlink>
      <w:r>
        <w:t xml:space="preserve">)</w:t>
      </w:r>
      <w:r>
        <w:t xml:space="preserve">).</w:t>
      </w:r>
    </w:p>
    <w:p>
      <w:pPr>
        <w:pStyle w:val="BodyText"/>
      </w:pPr>
      <w:r>
        <w:t xml:space="preserve">Las variables socioeconómicas y geográficas consideradas se describen a continuación:</w:t>
      </w:r>
    </w:p>
    <w:p>
      <w:pPr>
        <w:numPr>
          <w:ilvl w:val="0"/>
          <w:numId w:val="1001"/>
        </w:numPr>
      </w:pPr>
      <w:r>
        <w:rPr>
          <w:bCs/>
          <w:b/>
        </w:rPr>
        <w:t xml:space="preserve">distrito</w:t>
      </w:r>
      <w:r>
        <w:t xml:space="preserve">: Nombre del distrito al que corresponde el registro.</w:t>
      </w:r>
    </w:p>
    <w:p>
      <w:pPr>
        <w:numPr>
          <w:ilvl w:val="0"/>
          <w:numId w:val="1001"/>
        </w:numPr>
      </w:pPr>
      <w:r>
        <w:rPr>
          <w:bCs/>
          <w:b/>
        </w:rPr>
        <w:t xml:space="preserve">provincia</w:t>
      </w:r>
      <w:r>
        <w:t xml:space="preserve">: Nombre de la provincia correspondiente.</w:t>
      </w:r>
    </w:p>
    <w:p>
      <w:pPr>
        <w:numPr>
          <w:ilvl w:val="0"/>
          <w:numId w:val="1001"/>
        </w:numPr>
      </w:pPr>
      <w:r>
        <w:rPr>
          <w:bCs/>
          <w:b/>
        </w:rPr>
        <w:t xml:space="preserve">canton</w:t>
      </w:r>
      <w:r>
        <w:t xml:space="preserve">: Nombre del cantón correspondiente.</w:t>
      </w:r>
    </w:p>
    <w:p>
      <w:pPr>
        <w:numPr>
          <w:ilvl w:val="0"/>
          <w:numId w:val="1001"/>
        </w:numPr>
      </w:pPr>
      <w:r>
        <w:rPr>
          <w:bCs/>
          <w:b/>
        </w:rPr>
        <w:t xml:space="preserve">desempleo</w:t>
      </w:r>
      <w:r>
        <w:t xml:space="preserve">: Porcentaje de personas desempleadas dentro del distrito</w:t>
      </w:r>
    </w:p>
    <w:p>
      <w:pPr>
        <w:numPr>
          <w:ilvl w:val="0"/>
          <w:numId w:val="1001"/>
        </w:numPr>
      </w:pPr>
      <w:r>
        <w:rPr>
          <w:bCs/>
          <w:b/>
        </w:rPr>
        <w:t xml:space="preserve">población_urbana</w:t>
      </w:r>
      <w:r>
        <w:t xml:space="preserve">: Porcentaje de la población que reside en áreas urbanas del distrito</w:t>
      </w:r>
    </w:p>
    <w:p>
      <w:pPr>
        <w:numPr>
          <w:ilvl w:val="0"/>
          <w:numId w:val="1001"/>
        </w:numPr>
      </w:pPr>
      <w:r>
        <w:rPr>
          <w:bCs/>
          <w:b/>
        </w:rPr>
        <w:t xml:space="preserve">privación_critica</w:t>
      </w:r>
      <w:r>
        <w:t xml:space="preserve">: Porcentaje de población en situación de privación crítica.</w:t>
      </w:r>
    </w:p>
    <w:p>
      <w:pPr>
        <w:numPr>
          <w:ilvl w:val="0"/>
          <w:numId w:val="1001"/>
        </w:numPr>
      </w:pPr>
      <w:r>
        <w:rPr>
          <w:bCs/>
          <w:b/>
        </w:rPr>
        <w:t xml:space="preserve">población_menor_14</w:t>
      </w:r>
      <w:r>
        <w:t xml:space="preserve">: Porcentaje de personas menores de 14 años en la población total del distrito</w:t>
      </w:r>
    </w:p>
    <w:p>
      <w:pPr>
        <w:numPr>
          <w:ilvl w:val="0"/>
          <w:numId w:val="1001"/>
        </w:numPr>
      </w:pPr>
      <w:r>
        <w:rPr>
          <w:bCs/>
          <w:b/>
        </w:rPr>
        <w:t xml:space="preserve">hogares_monomarentales</w:t>
      </w:r>
      <w:r>
        <w:t xml:space="preserve">: Porcentaje de hogares encabezados por un solo padre o madre.</w:t>
      </w:r>
    </w:p>
    <w:p>
      <w:pPr>
        <w:numPr>
          <w:ilvl w:val="0"/>
          <w:numId w:val="1001"/>
        </w:numPr>
      </w:pPr>
      <w:r>
        <w:rPr>
          <w:bCs/>
          <w:b/>
        </w:rPr>
        <w:t xml:space="preserve">ocupantes_por_hogar</w:t>
      </w:r>
      <w:r>
        <w:t xml:space="preserve">: Promedio de personas que habitan en cada hogar del distrito</w:t>
      </w:r>
    </w:p>
    <w:p>
      <w:pPr>
        <w:numPr>
          <w:ilvl w:val="0"/>
          <w:numId w:val="1001"/>
        </w:numPr>
      </w:pPr>
      <w:r>
        <w:rPr>
          <w:bCs/>
          <w:b/>
        </w:rPr>
        <w:t xml:space="preserve">años_escolaridad</w:t>
      </w:r>
      <w:r>
        <w:t xml:space="preserve">: Promedio de años de escolaridad alcanzados por la población, indicador del nivel educativo.</w:t>
      </w:r>
    </w:p>
    <w:p>
      <w:pPr>
        <w:pStyle w:val="FirstParagraph"/>
      </w:pPr>
      <w:r>
        <w:t xml:space="preserve">Para seleccionar las variables más relevantes para su incorporación en el modelo, se aplicó un criterio de información AIC a partir de una regresión lineal preliminar sobre la prevalencia de sobrepeso y obesidad. Este procedimiento permitió identificar las covariables con mayor capacidad explicativa antes del ajuste bayesiano. En el caso del sobrepeso, las variables que mostraron mayor importancia fueron el desempleo, la población urbana, la privación crítica y la población menor de 14 años. Por su parte, para la obesidad las variables seleccionadas fueron el desempleo, la privación crítica, la población menor de 14 años y los años de escolaridad. Estas covariables constituyen la base del diseño del modelo logit–binomial empleado posteriormente.</w:t>
      </w:r>
    </w:p>
    <w:p>
      <w:pPr>
        <w:pStyle w:val="BodyText"/>
      </w:pPr>
      <w:r>
        <w:t xml:space="preserve">Por otra parte, las variables de medición son las siguientes:</w:t>
      </w:r>
    </w:p>
    <w:p>
      <w:pPr>
        <w:numPr>
          <w:ilvl w:val="0"/>
          <w:numId w:val="1002"/>
        </w:numPr>
      </w:pPr>
      <w:r>
        <w:rPr>
          <w:bCs/>
          <w:b/>
        </w:rPr>
        <w:t xml:space="preserve">condición</w:t>
      </w:r>
      <w:r>
        <w:t xml:space="preserve">: Clasificación de los registros según el estado nutricional de la persona estudiante: sobrepeso, obesidad, o combinada (exceso de peso).</w:t>
      </w:r>
    </w:p>
    <w:p>
      <w:pPr>
        <w:numPr>
          <w:ilvl w:val="0"/>
          <w:numId w:val="1002"/>
        </w:numPr>
      </w:pPr>
      <w:r>
        <w:rPr>
          <w:bCs/>
          <w:b/>
        </w:rPr>
        <w:t xml:space="preserve">total</w:t>
      </w:r>
      <w:r>
        <w:t xml:space="preserve">: Total de personas censadas en cada distrito.</w:t>
      </w:r>
    </w:p>
    <w:p>
      <w:pPr>
        <w:numPr>
          <w:ilvl w:val="0"/>
          <w:numId w:val="1002"/>
        </w:numPr>
      </w:pPr>
      <w:r>
        <w:rPr>
          <w:bCs/>
          <w:b/>
        </w:rPr>
        <w:t xml:space="preserve">subtotal</w:t>
      </w:r>
      <w:r>
        <w:t xml:space="preserve">: Número de casos registrados por distrito dentro de cada categoría específica de condición.</w:t>
      </w:r>
    </w:p>
    <w:p>
      <w:pPr>
        <w:numPr>
          <w:ilvl w:val="0"/>
          <w:numId w:val="1002"/>
        </w:numPr>
      </w:pPr>
      <w:r>
        <w:rPr>
          <w:bCs/>
          <w:b/>
        </w:rPr>
        <w:t xml:space="preserve">prevalencia</w:t>
      </w:r>
      <w:r>
        <w:t xml:space="preserve">: Razón entre el número de casos (subtotal) y el total de personas censadas (total) para cada categoría.</w:t>
      </w:r>
    </w:p>
    <w:bookmarkEnd w:id="22"/>
    <w:bookmarkStart w:id="25" w:name="Xfd6e3b0d688fe398f26c1edf46352155ba4ae90"/>
    <w:p>
      <w:pPr>
        <w:pStyle w:val="Heading2"/>
      </w:pPr>
      <w:r>
        <w:t xml:space="preserve">Análisis exploratorio de la base de datos</w:t>
      </w:r>
    </w:p>
    <w:p>
      <w:pPr>
        <w:pStyle w:val="FirstParagraph"/>
      </w:pPr>
      <w:r>
        <w:t xml:space="preserve">En términos generales, la prevalencia combinada de sobrepeso y obesidad infantil muestra una media del 34%, con valores que oscilan entre 13% y 56%, lo que refleja una variabilidad importante importante entre distritos. Al desagregar los datos por condición, la prevalencia de sobrepeso presenta un promedio de 20%, con una desviación estándar del 3% y un rango entre 6% y 33%, mientras que la prevalencia de obesidad registra un promedio de 14%, con desviación estándar del 4% y valores entre 0 y 33%. Estos resultados evidencian que, aunque ambas condiciones están presentes en magnitudes considerables, el sobrepeso es más frecuente que la obesidad, lo cual no es sorprendente al considerar que la obesidad se puede interpretar como un caso extremo de sobrepeso.</w:t>
      </w:r>
    </w:p>
    <w:p>
      <w:pPr>
        <w:pStyle w:val="BodyText"/>
      </w:pPr>
      <w:r>
        <w:t xml:space="preserve">Los años de escolaridad promedio por distrito se sitúan en 8.1 años, con una desviación estándar moderada aproximadamente de</w:t>
      </w:r>
      <w:r>
        <w:t xml:space="preserve"> </w:t>
      </w:r>
      <m:oMath>
        <m:r>
          <m:t>1.5</m:t>
        </m:r>
      </m:oMath>
      <w:r>
        <w:t xml:space="preserve"> </w:t>
      </w:r>
      <w:r>
        <w:t xml:space="preserve">años. La tasa de desempleo es baja en promedio (3%), pero para algunos distritos se alcanzan valores cercanos a 9%. El porcentaje de hogares monomarentales ronda el 20% y la privación crítica promedio de los hogares se ubica en 29%, mostrando casos extremos de hasta 90%. La población urbana evidencia una clara polarización, puesto una cantidad considerable de distritos son predominantemente rurales (0%) o completamente urbanos (100%).</w:t>
      </w:r>
    </w:p>
    <w:p>
      <w:pPr>
        <w:pStyle w:val="BodyText"/>
      </w:pPr>
      <w:r>
        <w:t xml:space="preserve">Finalmente, al comparar por provincia, la prevalencia combinada oscila entre 30% en Limón y 37% en Heredia, siendo esta última la más alta. En la Figura 1 se confirma una mayor heterogeneidad en provincias como San José y Alajuela, mientras que Cartago y Guanacaste presentan distribuciones más concentradas.</w:t>
      </w:r>
    </w:p>
    <w:p>
      <w:pPr>
        <w:pStyle w:val="BodyText"/>
      </w:pPr>
      <w:r>
        <w:drawing>
          <wp:inline>
            <wp:extent cx="5334000" cy="3172345"/>
            <wp:effectExtent b="0" l="0" r="0" t="0"/>
            <wp:docPr descr="Distribución de la prevalencia de sobrepeso y obesidad infantil (distrital) por provincia" title="" id="1" name="Picture"/>
            <a:graphic>
              <a:graphicData uri="http://schemas.openxmlformats.org/drawingml/2006/picture">
                <pic:pic>
                  <pic:nvPicPr>
                    <pic:cNvPr descr="../res/graficos/box_prevalencia_por_provincia_combinada.png" id="0" name="Picture"/>
                    <pic:cNvPicPr>
                      <a:picLocks noChangeArrowheads="1" noChangeAspect="1"/>
                    </pic:cNvPicPr>
                  </pic:nvPicPr>
                  <pic:blipFill>
                    <a:blip r:embed="rId23"/>
                    <a:stretch>
                      <a:fillRect/>
                    </a:stretch>
                  </pic:blipFill>
                  <pic:spPr bwMode="auto">
                    <a:xfrm>
                      <a:off x="0" y="0"/>
                      <a:ext cx="5334000" cy="3172345"/>
                    </a:xfrm>
                    <a:prstGeom prst="rect">
                      <a:avLst/>
                    </a:prstGeom>
                    <a:noFill/>
                    <a:ln w="9525">
                      <a:noFill/>
                      <a:headEnd/>
                      <a:tailEnd/>
                    </a:ln>
                  </pic:spPr>
                </pic:pic>
              </a:graphicData>
            </a:graphic>
          </wp:inline>
        </w:drawing>
      </w:r>
      <w:r>
        <w:t xml:space="preserve"> </w:t>
      </w:r>
      <w:r>
        <w:t xml:space="preserve">## Modelo: regresión binomial con enlace logit</w:t>
      </w:r>
    </w:p>
    <w:p>
      <w:pPr>
        <w:pStyle w:val="BodyText"/>
      </w:pPr>
      <w:r>
        <w:t xml:space="preserve">Para poder responder la pregunta de investigación y explicar cómo cambia la prevalencia de sobrepeso y obesidad entre las diferentes zonas del país, en este estudio se utiliza un modelo binomial con enlace logit dentro de un enfoque bayesiano. Este modelo permite trabajar directamente con probabilidades a partir de los conteos de casos e incorporar variables sociodemográficas que podrían influir en estas prevalencias. Además, el enlace logit garantiza que las estimaciones se mantengan dentro del rango natural de una prevalencia, y el enfoque bayesiano facilita obtener distribuciones posteriores que reflejan explícitamente la incertidumbre asociada a cada territorio.</w:t>
      </w:r>
    </w:p>
    <w:p>
      <w:pPr>
        <w:pStyle w:val="BodyText"/>
      </w:pPr>
      <w:r>
        <w:t xml:space="preserve">A partir de esta motivación, el modelo de regresión binomial con función de enlace logit describe los conteos de casos observados</w:t>
      </w:r>
      <w:r>
        <w:t xml:space="preserve"> </w:t>
      </w:r>
      <m:oMath>
        <m:sSub>
          <m:e>
            <m:r>
              <m:t>y</m:t>
            </m:r>
          </m:e>
          <m:sub>
            <m:r>
              <m:t>i</m:t>
            </m:r>
          </m:sub>
        </m:sSub>
      </m:oMath>
      <w:r>
        <w:t xml:space="preserve"> </w:t>
      </w:r>
      <w:r>
        <w:t xml:space="preserve">(subtotal) en el distrito</w:t>
      </w:r>
      <w:r>
        <w:t xml:space="preserve"> </w:t>
      </w:r>
      <m:oMath>
        <m:r>
          <m:t>i</m:t>
        </m:r>
      </m:oMath>
      <w:r>
        <w:t xml:space="preserve"> </w:t>
      </w:r>
      <w:r>
        <w:t xml:space="preserve">sobre</w:t>
      </w:r>
      <w:r>
        <w:t xml:space="preserve"> </w:t>
      </w:r>
      <m:oMath>
        <m:sSub>
          <m:e>
            <m:r>
              <m:t>n</m:t>
            </m:r>
          </m:e>
          <m:sub>
            <m:r>
              <m:t>i</m:t>
            </m:r>
          </m:sub>
        </m:sSub>
      </m:oMath>
      <w:r>
        <w:t xml:space="preserve">, el total de niños censados en dicho distrito (total), mediante una verosimilitud binomial y un enlace logit para la esperanza de la prevalencia verdadera condicionada a las covariables,</w:t>
      </w:r>
      <w:r>
        <w:t xml:space="preserve"> </w:t>
      </w:r>
      <m:oMath>
        <m:sSub>
          <m:e>
            <m:r>
              <m:t>p</m:t>
            </m:r>
          </m:e>
          <m:sub>
            <m:r>
              <m:t>i</m:t>
            </m:r>
          </m:sub>
        </m:sSub>
      </m:oMath>
      <w:r>
        <w:t xml:space="preserve"> </w:t>
      </w:r>
      <w:r>
        <w:t xml:space="preserve">según:</w:t>
      </w:r>
    </w:p>
    <w:p>
      <w:pPr>
        <w:pStyle w:val="BodyText"/>
      </w:pPr>
      <m:oMathPara>
        <m:oMathParaPr>
          <m:jc m:val="center"/>
        </m:oMathParaPr>
        <m:oMath>
          <m:sSub>
            <m:e>
              <m:r>
                <m:t>y</m:t>
              </m:r>
            </m:e>
            <m:sub>
              <m:r>
                <m:t>i</m:t>
              </m:r>
            </m:sub>
          </m:sSub>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endChr m:val=")"/>
              <m:sepChr m:val=""/>
              <m:grow/>
            </m:dPr>
            <m:e>
              <m:sSub>
                <m:e>
                  <m:r>
                    <m:t>n</m:t>
                  </m:r>
                </m:e>
                <m:sub>
                  <m:r>
                    <m:t>i</m:t>
                  </m:r>
                </m:sub>
              </m:sSub>
              <m:r>
                <m:rPr>
                  <m:sty m:val="p"/>
                </m:rPr>
                <m:t>,</m:t>
              </m:r>
              <m:sSub>
                <m:e>
                  <m:r>
                    <m:t>p</m:t>
                  </m:r>
                </m:e>
                <m:sub>
                  <m:r>
                    <m:t>i</m:t>
                  </m:r>
                </m:sub>
              </m:sSub>
            </m:e>
          </m:d>
          <m:r>
            <m:rPr>
              <m:sty m:val="p"/>
            </m:rPr>
            <m:t>,</m:t>
          </m:r>
          <m:r>
            <m:t>  </m:t>
          </m:r>
          <m:r>
            <m:rPr>
              <m:sty m:val="p"/>
            </m:rPr>
            <m:t>l</m:t>
          </m:r>
          <m:r>
            <m:rPr>
              <m:sty m:val="p"/>
            </m:rPr>
            <m:t>o</m:t>
          </m:r>
          <m:r>
            <m:rPr>
              <m:sty m:val="p"/>
            </m:rPr>
            <m:t>g</m:t>
          </m:r>
          <m:r>
            <m:rPr>
              <m:sty m:val="p"/>
            </m:rPr>
            <m:t>i</m:t>
          </m:r>
          <m:r>
            <m:rPr>
              <m:sty m:val="p"/>
            </m:rPr>
            <m:t>t</m:t>
          </m:r>
          <m:d>
            <m:dPr>
              <m:begChr m:val="("/>
              <m:endChr m:val=")"/>
              <m:sepChr m:val=""/>
              <m:grow/>
            </m:dPr>
            <m:e>
              <m:sSub>
                <m:e>
                  <m:r>
                    <m:t>p</m:t>
                  </m:r>
                </m:e>
                <m:sub>
                  <m:r>
                    <m:t>i</m:t>
                  </m:r>
                </m:sub>
              </m:sSub>
            </m:e>
          </m:d>
          <m:r>
            <m:rPr>
              <m:sty m:val="p"/>
            </m:rPr>
            <m:t>=</m:t>
          </m:r>
          <m:sSub>
            <m:e>
              <m:r>
                <m:t>η</m:t>
              </m:r>
            </m:e>
            <m:sub>
              <m:r>
                <m:t>i</m:t>
              </m:r>
            </m:sub>
          </m:sSub>
          <m:r>
            <m:rPr>
              <m:sty m:val="p"/>
            </m:rPr>
            <m:t>=</m:t>
          </m:r>
          <m:r>
            <m:t>α</m:t>
          </m:r>
          <m:r>
            <m:rPr>
              <m:sty m:val="p"/>
            </m:rPr>
            <m:t>+</m:t>
          </m:r>
          <m:sSubSup>
            <m:e>
              <m:r>
                <m:t>X</m:t>
              </m:r>
            </m:e>
            <m:sub>
              <m:r>
                <m:t>i</m:t>
              </m:r>
            </m:sub>
            <m:sup>
              <m:r>
                <m:rPr>
                  <m:sty m:val="p"/>
                </m:rPr>
                <m:t>⊤</m:t>
              </m:r>
            </m:sup>
          </m:sSubSup>
          <m:r>
            <m:t>β</m:t>
          </m:r>
          <m:r>
            <m:rPr>
              <m:sty m:val="p"/>
            </m:rPr>
            <m:t>.</m:t>
          </m:r>
        </m:oMath>
      </m:oMathPara>
    </w:p>
    <w:p>
      <w:pPr>
        <w:pStyle w:val="FirstParagraph"/>
      </w:pPr>
      <w:r>
        <w:t xml:space="preserve">donde</w:t>
      </w:r>
      <w:r>
        <w:t xml:space="preserve"> </w:t>
      </w:r>
      <m:oMath>
        <m:sSub>
          <m:e>
            <m:r>
              <m:t>X</m:t>
            </m:r>
          </m:e>
          <m:sub>
            <m:r>
              <m:t>i</m:t>
            </m:r>
          </m:sub>
        </m:sSub>
        <m:r>
          <m:rPr>
            <m:sty m:val="p"/>
          </m:rPr>
          <m:t>=</m:t>
        </m:r>
        <m:d>
          <m:dPr>
            <m:begChr m:val="("/>
            <m:endChr m:val=")"/>
            <m:sepChr m:val=""/>
            <m:grow/>
          </m:dPr>
          <m:e>
            <m:sSub>
              <m:e>
                <m:r>
                  <m:t>x</m:t>
                </m:r>
              </m:e>
              <m:sub>
                <m:r>
                  <m:t>i</m:t>
                </m:r>
                <m:r>
                  <m:rPr>
                    <m:sty m:val="p"/>
                  </m:rPr>
                  <m:t>,</m:t>
                </m:r>
                <m:r>
                  <m:t>1</m:t>
                </m:r>
              </m:sub>
            </m:sSub>
            <m:r>
              <m:rPr>
                <m:sty m:val="p"/>
              </m:rPr>
              <m:t>,</m:t>
            </m:r>
            <m:r>
              <m:rPr>
                <m:sty m:val="p"/>
              </m:rPr>
              <m:t>…</m:t>
            </m:r>
            <m:r>
              <m:rPr>
                <m:sty m:val="p"/>
              </m:rPr>
              <m:t>,</m:t>
            </m:r>
            <m:sSub>
              <m:e>
                <m:r>
                  <m:t>x</m:t>
                </m:r>
              </m:e>
              <m:sub>
                <m:r>
                  <m:t>i</m:t>
                </m:r>
                <m:r>
                  <m:rPr>
                    <m:sty m:val="p"/>
                  </m:rPr>
                  <m:t>,</m:t>
                </m:r>
                <m:r>
                  <m:t>R</m:t>
                </m:r>
              </m:sub>
            </m:sSub>
          </m:e>
        </m:d>
      </m:oMath>
      <w:r>
        <w:t xml:space="preserve"> </w:t>
      </w:r>
      <w:r>
        <w:t xml:space="preserve">es el vector de covariables estandarizadas del distrito</w:t>
      </w:r>
      <w:r>
        <w:t xml:space="preserve"> </w:t>
      </w:r>
      <m:oMath>
        <m:r>
          <m:t>i</m:t>
        </m:r>
      </m:oMath>
      <w:r>
        <w:t xml:space="preserve">, mientras que</w:t>
      </w:r>
      <w:r>
        <w:t xml:space="preserve"> </w:t>
      </w:r>
      <m:oMath>
        <m:r>
          <m:t>β</m:t>
        </m:r>
      </m:oMath>
      <w:r>
        <w:t xml:space="preserve"> </w:t>
      </w:r>
      <w:r>
        <w:t xml:space="preserve">es el vector de coeficientes del modelo. Asimismo, la función logit viene dada por</w:t>
      </w:r>
      <w:r>
        <w:t xml:space="preserve"> </w:t>
      </w:r>
      <m:oMath>
        <m:r>
          <m:rPr>
            <m:sty m:val="p"/>
          </m:rPr>
          <m:t>l</m:t>
        </m:r>
        <m:r>
          <m:rPr>
            <m:sty m:val="p"/>
          </m:rPr>
          <m:t>o</m:t>
        </m:r>
        <m:r>
          <m:rPr>
            <m:sty m:val="p"/>
          </m:rPr>
          <m:t>g</m:t>
        </m:r>
        <m:r>
          <m:rPr>
            <m:sty m:val="p"/>
          </m:rPr>
          <m:t>i</m:t>
        </m:r>
        <m:r>
          <m:rPr>
            <m:sty m:val="p"/>
          </m:rPr>
          <m:t>t</m:t>
        </m:r>
        <m:d>
          <m:dPr>
            <m:begChr m:val="("/>
            <m:endChr m:val=")"/>
            <m:sepChr m:val=""/>
            <m:grow/>
          </m:dPr>
          <m:e>
            <m:r>
              <m:t>p</m:t>
            </m:r>
          </m:e>
        </m:d>
        <m:r>
          <m:rPr>
            <m:sty m:val="p"/>
          </m:rPr>
          <m:t>=</m:t>
        </m:r>
        <m:r>
          <m:rPr>
            <m:nor/>
            <m:sty m:val="p"/>
          </m:rPr>
          <m:t>log</m:t>
        </m:r>
        <m:r>
          <m:t>​</m:t>
        </m:r>
        <m:r>
          <m:rPr>
            <m:sty m:val="p"/>
          </m:rPr>
          <m:t>(</m:t>
        </m:r>
        <m:f>
          <m:fPr>
            <m:type m:val="lin"/>
          </m:fPr>
          <m:num>
            <m:r>
              <m:t>p</m:t>
            </m:r>
          </m:num>
          <m:den>
            <m:r>
              <m:t>1</m:t>
            </m:r>
            <m:r>
              <m:rPr>
                <m:sty m:val="p"/>
              </m:rPr>
              <m:t>−</m:t>
            </m:r>
            <m:r>
              <m:t>p</m:t>
            </m:r>
          </m:den>
        </m:f>
        <m:r>
          <m:rPr>
            <m:sty m:val="p"/>
          </m:rPr>
          <m:t>)</m:t>
        </m:r>
      </m:oMath>
      <w:r>
        <w:t xml:space="preserve"> </w:t>
      </w:r>
      <w:r>
        <w:t xml:space="preserve">y su inversa corresponde a</w:t>
      </w:r>
    </w:p>
    <w:p>
      <w:pPr>
        <w:pStyle w:val="BodyText"/>
      </w:pPr>
      <m:oMathPara>
        <m:oMathParaPr>
          <m:jc m:val="center"/>
        </m:oMathParaPr>
        <m:oMath>
          <m:sSub>
            <m:e>
              <m:r>
                <m:t>p</m:t>
              </m:r>
            </m:e>
            <m:sub>
              <m:r>
                <m:t>i</m:t>
              </m:r>
            </m:sub>
          </m:sSub>
          <m:r>
            <m:rPr>
              <m:sty m:val="p"/>
            </m:rPr>
            <m:t>=</m:t>
          </m:r>
          <m:f>
            <m:fPr>
              <m:type m:val="bar"/>
            </m:fPr>
            <m:num>
              <m:r>
                <m:rPr>
                  <m:nor/>
                  <m:sty m:val="p"/>
                </m:rPr>
                <m:t>exp</m:t>
              </m:r>
              <m:d>
                <m:dPr>
                  <m:begChr m:val="("/>
                  <m:endChr m:val=")"/>
                  <m:sepChr m:val=""/>
                  <m:grow/>
                </m:dPr>
                <m:e>
                  <m:sSub>
                    <m:e>
                      <m:r>
                        <m:t>η</m:t>
                      </m:r>
                    </m:e>
                    <m:sub>
                      <m:r>
                        <m:t>i</m:t>
                      </m:r>
                    </m:sub>
                  </m:sSub>
                </m:e>
              </m:d>
            </m:num>
            <m:den>
              <m:r>
                <m:t>1</m:t>
              </m:r>
              <m:r>
                <m:rPr>
                  <m:sty m:val="p"/>
                </m:rPr>
                <m:t>+</m:t>
              </m:r>
              <m:r>
                <m:rPr>
                  <m:nor/>
                  <m:sty m:val="p"/>
                </m:rPr>
                <m:t>exp</m:t>
              </m:r>
              <m:d>
                <m:dPr>
                  <m:begChr m:val="("/>
                  <m:endChr m:val=")"/>
                  <m:sepChr m:val=""/>
                  <m:grow/>
                </m:dPr>
                <m:e>
                  <m:sSub>
                    <m:e>
                      <m:r>
                        <m:t>η</m:t>
                      </m:r>
                    </m:e>
                    <m:sub>
                      <m:r>
                        <m:t>i</m:t>
                      </m:r>
                    </m:sub>
                  </m:sSub>
                </m:e>
              </m:d>
            </m:den>
          </m:f>
          <m:r>
            <m:rPr>
              <m:sty m:val="p"/>
            </m:rPr>
            <m:t>.</m:t>
          </m:r>
        </m:oMath>
      </m:oMathPara>
    </w:p>
    <w:p>
      <w:pPr>
        <w:pStyle w:val="FirstParagraph"/>
      </w:pPr>
      <w:r>
        <w:t xml:space="preserve">Condicionalmente en</w:t>
      </w:r>
      <w:r>
        <w:t xml:space="preserve"> </w:t>
      </w:r>
      <m:oMath>
        <m:sSub>
          <m:e>
            <m:r>
              <m:t>p</m:t>
            </m:r>
          </m:e>
          <m:sub>
            <m:r>
              <m:t>i</m:t>
            </m:r>
          </m:sub>
        </m:sSub>
      </m:oMath>
      <w:r>
        <w:t xml:space="preserve">, la media y varianza de</w:t>
      </w:r>
      <w:r>
        <w:t xml:space="preserve"> </w:t>
      </w:r>
      <m:oMath>
        <m:sSub>
          <m:e>
            <m:r>
              <m:t>y</m:t>
            </m:r>
          </m:e>
          <m:sub>
            <m:r>
              <m:t>i</m:t>
            </m:r>
          </m:sub>
        </m:sSub>
      </m:oMath>
      <w:r>
        <w:t xml:space="preserve"> </w:t>
      </w:r>
      <w:r>
        <w:t xml:space="preserve">son</w:t>
      </w:r>
    </w:p>
    <w:p>
      <w:pPr>
        <w:pStyle w:val="BodyText"/>
      </w:pPr>
      <m:oMathPara>
        <m:oMathParaPr>
          <m:jc m:val="center"/>
        </m:oMathParaPr>
        <m:oMath>
          <m:r>
            <m:rPr>
              <m:sty m:val="p"/>
              <m:scr m:val="double-struck"/>
            </m:rPr>
            <m:t>E</m:t>
          </m:r>
          <m:d>
            <m:dPr>
              <m:begChr m:val="["/>
              <m:endChr m:val="]"/>
              <m:sepChr m:val=""/>
              <m:grow/>
            </m:dPr>
            <m:e>
              <m:sSub>
                <m:e>
                  <m:r>
                    <m:t>y</m:t>
                  </m:r>
                </m:e>
                <m:sub>
                  <m:r>
                    <m:t>i</m:t>
                  </m:r>
                </m:sub>
              </m:sSub>
              <m:r>
                <m:rPr>
                  <m:sty m:val="p"/>
                </m:rPr>
                <m:t>∣</m:t>
              </m:r>
              <m:sSub>
                <m:e>
                  <m:r>
                    <m:t>p</m:t>
                  </m:r>
                </m:e>
                <m:sub>
                  <m:r>
                    <m:t>i</m:t>
                  </m:r>
                </m:sub>
              </m:sSub>
            </m:e>
          </m:d>
          <m:r>
            <m:rPr>
              <m:sty m:val="p"/>
            </m:rPr>
            <m:t>=</m:t>
          </m:r>
          <m:sSub>
            <m:e>
              <m:r>
                <m:t>n</m:t>
              </m:r>
            </m:e>
            <m:sub>
              <m:r>
                <m:t>i</m:t>
              </m:r>
            </m:sub>
          </m:sSub>
          <m:sSub>
            <m:e>
              <m:r>
                <m:t>p</m:t>
              </m:r>
            </m:e>
            <m:sub>
              <m:r>
                <m:t>i</m:t>
              </m:r>
            </m:sub>
          </m:sSub>
          <m:r>
            <m:rPr>
              <m:sty m:val="p"/>
            </m:rPr>
            <m:t>,</m:t>
          </m:r>
          <m:r>
            <m:t>  </m:t>
          </m:r>
          <m:r>
            <m:rPr>
              <m:sty m:val="p"/>
            </m:rPr>
            <m:t>V</m:t>
          </m:r>
          <m:r>
            <m:rPr>
              <m:sty m:val="p"/>
            </m:rPr>
            <m:t>a</m:t>
          </m:r>
          <m:r>
            <m:rPr>
              <m:sty m:val="p"/>
            </m:rPr>
            <m:t>r</m:t>
          </m:r>
          <m:d>
            <m:dPr>
              <m:begChr m:val="("/>
              <m:endChr m:val=")"/>
              <m:sepChr m:val=""/>
              <m:grow/>
            </m:dPr>
            <m:e>
              <m:sSub>
                <m:e>
                  <m:r>
                    <m:t>y</m:t>
                  </m:r>
                </m:e>
                <m:sub>
                  <m:r>
                    <m:t>i</m:t>
                  </m:r>
                </m:sub>
              </m:sSub>
              <m:r>
                <m:rPr>
                  <m:sty m:val="p"/>
                </m:rPr>
                <m:t>∣</m:t>
              </m:r>
              <m:sSub>
                <m:e>
                  <m:r>
                    <m:t>p</m:t>
                  </m:r>
                </m:e>
                <m:sub>
                  <m:r>
                    <m:t>i</m:t>
                  </m:r>
                </m:sub>
              </m:sSub>
            </m:e>
          </m:d>
          <m:r>
            <m:rPr>
              <m:sty m:val="p"/>
            </m:rPr>
            <m:t>=</m:t>
          </m:r>
          <m:sSub>
            <m:e>
              <m:r>
                <m:t>n</m:t>
              </m:r>
            </m:e>
            <m:sub>
              <m:r>
                <m:t>i</m:t>
              </m:r>
            </m:sub>
          </m:sSub>
          <m:sSub>
            <m:e>
              <m:r>
                <m:t>p</m:t>
              </m:r>
            </m:e>
            <m:sub>
              <m:r>
                <m:t>i</m:t>
              </m:r>
            </m:sub>
          </m:sSub>
          <m:d>
            <m:dPr>
              <m:begChr m:val="("/>
              <m:endChr m:val=")"/>
              <m:sepChr m:val=""/>
              <m:grow/>
            </m:dPr>
            <m:e>
              <m:r>
                <m:t>1</m:t>
              </m:r>
              <m:r>
                <m:rPr>
                  <m:sty m:val="p"/>
                </m:rPr>
                <m:t>−</m:t>
              </m:r>
              <m:sSub>
                <m:e>
                  <m:r>
                    <m:t>p</m:t>
                  </m:r>
                </m:e>
                <m:sub>
                  <m:r>
                    <m:t>i</m:t>
                  </m:r>
                </m:sub>
              </m:sSub>
            </m:e>
          </m:d>
          <m:r>
            <m:rPr>
              <m:sty m:val="p"/>
            </m:rPr>
            <m:t>.</m:t>
          </m:r>
        </m:oMath>
      </m:oMathPara>
    </w:p>
    <w:p>
      <w:pPr>
        <w:pStyle w:val="FirstParagraph"/>
      </w:pPr>
      <w:r>
        <w:t xml:space="preserve">Desde un enfoque bayesiano, se asignan distribuciones previas a los parámetros de regresión. En particular, se considera</w:t>
      </w:r>
    </w:p>
    <w:p>
      <w:pPr>
        <w:pStyle w:val="BodyText"/>
      </w:pPr>
      <w:r>
        <w:t xml:space="preserve">$$
\alpha \sim \mathcal{N}(0,5^{2}), \hspace{3mm} \beta_j\sim\mathcal N(0,5^{2}), \hspace{1.5mm} j = 1,...,R
$$</w:t>
      </w:r>
    </w:p>
    <w:p>
      <w:pPr>
        <w:pStyle w:val="FirstParagraph"/>
      </w:pPr>
      <w:r>
        <w:t xml:space="preserve">Esta distribución previa coloca aproximadamente el 95% de la masa en el intervalo [-9.8,9.8] para cada coeficiente. De esta forma, al considerar covariables estandarizadas, esta elección garantiza distribuciones previas débiles, puesto abarca distintos órdenes de magnitud, y no impone una restricción significativa sobre la probabilidad base, ni los efectos de las covariables</w:t>
      </w:r>
    </w:p>
    <w:bookmarkStart w:id="24" w:name="Xa1014782019facd0a46ee870579b5c96a423a5b"/>
    <w:p>
      <w:pPr>
        <w:pStyle w:val="Heading3"/>
      </w:pPr>
      <w:r>
        <w:t xml:space="preserve">Interpretación e implementación del modelo.</w:t>
      </w:r>
    </w:p>
    <w:p>
      <w:pPr>
        <w:pStyle w:val="FirstParagraph"/>
      </w:pPr>
      <w:r>
        <w:t xml:space="preserve">En el modelo considerado, las covariables se encuentran estandarizadas, de modo que el vector</w:t>
      </w:r>
      <w:r>
        <w:t xml:space="preserve"> </w:t>
      </w:r>
      <m:oMath>
        <m:sSub>
          <m:e>
            <m:r>
              <m:t>X</m:t>
            </m:r>
          </m:e>
          <m:sub>
            <m:r>
              <m:t>i</m:t>
            </m:r>
          </m:sub>
        </m:sSub>
        <m:r>
          <m:rPr>
            <m:sty m:val="p"/>
          </m:rPr>
          <m:t>=</m:t>
        </m:r>
        <m:sSub>
          <m:e>
            <m:r>
              <m:t>0</m:t>
            </m:r>
          </m:e>
          <m:sub>
            <m:r>
              <m:t>R</m:t>
            </m:r>
          </m:sub>
        </m:sSub>
      </m:oMath>
      <w:r>
        <w:t xml:space="preserve"> </w:t>
      </w:r>
      <w:r>
        <w:t xml:space="preserve">corresponde a un distrito cuyos valores en las covariables coinciden con sus medias muestrales. Así, el intercepto</w:t>
      </w:r>
      <w:r>
        <w:t xml:space="preserve"> </w:t>
      </w:r>
      <m:oMath>
        <m:r>
          <m:t>α</m:t>
        </m:r>
      </m:oMath>
      <w:r>
        <w:t xml:space="preserve"> </w:t>
      </w:r>
      <w:r>
        <w:t xml:space="preserve">determina las log-odds de presentar la condición (sobrepeso, obesidad) en dicho distrito</w:t>
      </w:r>
      <w:r>
        <w:t xml:space="preserve"> </w:t>
      </w:r>
      <w:r>
        <w:t xml:space="preserve">“</w:t>
      </w:r>
      <w:r>
        <w:t xml:space="preserve">promedio</w:t>
      </w:r>
      <w:r>
        <w:t xml:space="preserve">”</w:t>
      </w:r>
      <w:r>
        <w:t xml:space="preserve">. Con esto, la prevalencia base asociada viene dada por</w:t>
      </w:r>
      <w:r>
        <w:t xml:space="preserve"> </w:t>
      </w:r>
      <m:oMath>
        <m:sSup>
          <m:e>
            <m:r>
              <m:rPr>
                <m:sty m:val="p"/>
              </m:rPr>
              <m:t>l</m:t>
            </m:r>
            <m:r>
              <m:rPr>
                <m:sty m:val="p"/>
              </m:rPr>
              <m:t>o</m:t>
            </m:r>
            <m:r>
              <m:rPr>
                <m:sty m:val="p"/>
              </m:rPr>
              <m:t>g</m:t>
            </m:r>
            <m:r>
              <m:rPr>
                <m:sty m:val="p"/>
              </m:rPr>
              <m:t>i</m:t>
            </m:r>
            <m:r>
              <m:rPr>
                <m:sty m:val="p"/>
              </m:rPr>
              <m:t>t</m:t>
            </m:r>
          </m:e>
          <m:sup>
            <m:r>
              <m:rPr>
                <m:sty m:val="p"/>
              </m:rPr>
              <m:t>−</m:t>
            </m:r>
            <m:r>
              <m:t>1</m:t>
            </m:r>
          </m:sup>
        </m:sSup>
        <m:d>
          <m:dPr>
            <m:begChr m:val="("/>
            <m:endChr m:val=")"/>
            <m:sepChr m:val=""/>
            <m:grow/>
          </m:dPr>
          <m:e>
            <m:r>
              <m:t>α</m:t>
            </m:r>
          </m:e>
        </m:d>
        <m:r>
          <m:rPr>
            <m:sty m:val="p"/>
          </m:rPr>
          <m:t>=</m:t>
        </m:r>
        <m:r>
          <m:t>1</m:t>
        </m:r>
        <m:r>
          <m:rPr>
            <m:sty m:val="p"/>
          </m:rPr>
          <m:t>/</m:t>
        </m:r>
        <m:d>
          <m:dPr>
            <m:begChr m:val="("/>
            <m:endChr m:val=")"/>
            <m:sepChr m:val=""/>
            <m:grow/>
          </m:dPr>
          <m:e>
            <m:r>
              <m:t>1</m:t>
            </m:r>
            <m:r>
              <m:rPr>
                <m:sty m:val="p"/>
              </m:rPr>
              <m:t>+</m:t>
            </m:r>
            <m:sSup>
              <m:e>
                <m:r>
                  <m:t>e</m:t>
                </m:r>
              </m:e>
              <m:sup>
                <m:r>
                  <m:rPr>
                    <m:sty m:val="p"/>
                  </m:rPr>
                  <m:t>−</m:t>
                </m:r>
                <m:r>
                  <m:t>α</m:t>
                </m:r>
              </m:sup>
            </m:sSup>
          </m:e>
        </m:d>
      </m:oMath>
      <w:r>
        <w:t xml:space="preserve">.</w:t>
      </w:r>
    </w:p>
    <w:p>
      <w:pPr>
        <w:pStyle w:val="BodyText"/>
      </w:pPr>
      <w:r>
        <w:t xml:space="preserve">A su vez, cada coeficiente</w:t>
      </w:r>
      <w:r>
        <w:t xml:space="preserve"> </w:t>
      </w:r>
      <m:oMath>
        <m:sSub>
          <m:e>
            <m:r>
              <m:t>β</m:t>
            </m:r>
          </m:e>
          <m:sub>
            <m:r>
              <m:t>j</m:t>
            </m:r>
          </m:sub>
        </m:sSub>
      </m:oMath>
      <w:r>
        <w:t xml:space="preserve"> </w:t>
      </w:r>
      <w:r>
        <w:t xml:space="preserve">cuantifica el efecto de la covariable</w:t>
      </w:r>
      <w:r>
        <w:t xml:space="preserve"> </w:t>
      </w:r>
      <m:oMath>
        <m:r>
          <m:t>j</m:t>
        </m:r>
      </m:oMath>
      <w:r>
        <w:t xml:space="preserve">-ésima sobre la prevalencia en la escala log-odds. Debido a la estandarización de las covariables,</w:t>
      </w:r>
      <w:r>
        <w:t xml:space="preserve"> </w:t>
      </w:r>
      <m:oMath>
        <m:sSub>
          <m:e>
            <m:r>
              <m:t>β</m:t>
            </m:r>
          </m:e>
          <m:sub>
            <m:r>
              <m:t>j</m:t>
            </m:r>
          </m:sub>
        </m:sSub>
      </m:oMath>
      <w:r>
        <w:t xml:space="preserve"> </w:t>
      </w:r>
      <w:r>
        <w:t xml:space="preserve">mide el cambio en log-odds asociado a un incremento de una desviación estándar en la covariable correspondiente, manteniendo el resto de covariables fijas. En términos de odds ratio,</w:t>
      </w:r>
      <w:r>
        <w:t xml:space="preserve"> </w:t>
      </w:r>
      <m:oMath>
        <m:sSub>
          <m:e>
            <m:r>
              <m:rPr>
                <m:nor/>
                <m:sty m:val="p"/>
              </m:rPr>
              <m:t>OR</m:t>
            </m:r>
          </m:e>
          <m:sub>
            <m:r>
              <m:t>j</m:t>
            </m:r>
          </m:sub>
        </m:sSub>
        <m:r>
          <m:rPr>
            <m:sty m:val="p"/>
          </m:rPr>
          <m:t>=</m:t>
        </m:r>
        <m:r>
          <m:rPr>
            <m:nor/>
            <m:sty m:val="p"/>
          </m:rPr>
          <m:t>exp</m:t>
        </m:r>
        <m:d>
          <m:dPr>
            <m:begChr m:val="("/>
            <m:endChr m:val=")"/>
            <m:sepChr m:val=""/>
            <m:grow/>
          </m:dPr>
          <m:e>
            <m:sSub>
              <m:e>
                <m:r>
                  <m:t>β</m:t>
                </m:r>
              </m:e>
              <m:sub>
                <m:r>
                  <m:t>j</m:t>
                </m:r>
              </m:sub>
            </m:sSub>
          </m:e>
        </m:d>
      </m:oMath>
      <w:r>
        <w:t xml:space="preserve"> </w:t>
      </w:r>
      <w:r>
        <w:t xml:space="preserve">es el factor multiplicativo aplicado a las odds de presentar la condición cuando la covariable correspondiente aumenta en una desviación estándar, mientras se fijan el resto de covariables.</w:t>
      </w:r>
    </w:p>
    <w:p>
      <w:pPr>
        <w:pStyle w:val="BodyText"/>
      </w:pPr>
      <w:r>
        <w:t xml:space="preserve">En este contexto, las cantidades</w:t>
      </w:r>
      <w:r>
        <w:t xml:space="preserve"> </w:t>
      </w:r>
      <m:oMath>
        <m:sSub>
          <m:e>
            <m:r>
              <m:t>p</m:t>
            </m:r>
          </m:e>
          <m:sub>
            <m:r>
              <m:t>i</m:t>
            </m:r>
          </m:sub>
        </m:sSub>
      </m:oMath>
      <w:r>
        <w:t xml:space="preserve"> </w:t>
      </w:r>
      <w:r>
        <w:t xml:space="preserve">describen la probabilidad de presentar la condición (sobrepeso, obesidad) en el distrito</w:t>
      </w:r>
      <w:r>
        <w:t xml:space="preserve"> </w:t>
      </w:r>
      <m:oMath>
        <m:r>
          <m:t>i</m:t>
        </m:r>
      </m:oMath>
      <w:r>
        <w:t xml:space="preserve">, dado el perfil sociodemográfico capturado en el vector de covariables</w:t>
      </w:r>
      <w:r>
        <w:t xml:space="preserve"> </w:t>
      </w:r>
      <m:oMath>
        <m:sSub>
          <m:e>
            <m:r>
              <m:t>X</m:t>
            </m:r>
          </m:e>
          <m:sub>
            <m:r>
              <m:t>i</m:t>
            </m:r>
          </m:sub>
        </m:sSub>
      </m:oMath>
      <w:r>
        <w:t xml:space="preserve">. Asimismo, en el enfoque bayesiano adoptado, la información aportada por los datos y las distribuciones previas se combinan en la distribución posterior de</w:t>
      </w:r>
      <w:r>
        <w:t xml:space="preserve"> </w:t>
      </w:r>
      <m:oMath>
        <m:sSub>
          <m:e>
            <m:r>
              <m:t>p</m:t>
            </m:r>
          </m:e>
          <m:sub>
            <m:r>
              <m:t>i</m:t>
            </m:r>
          </m:sub>
        </m:sSub>
      </m:oMath>
      <w:r>
        <w:t xml:space="preserve">, a partir de la cual, se obtienen estimaciones puntuales, intervalos de credibilidad e indicadores agregados por cantón o provincia.</w:t>
      </w:r>
    </w:p>
    <w:p>
      <w:pPr>
        <w:pStyle w:val="BodyText"/>
      </w:pPr>
      <w:r>
        <w:t xml:space="preserve">Debido a la complejidad de la fórmula exacta de la distribución posterior de los parámetros</w:t>
      </w:r>
      <w:r>
        <w:t xml:space="preserve"> </w:t>
      </w:r>
      <m:oMath>
        <m:r>
          <m:t>α</m:t>
        </m:r>
      </m:oMath>
      <w:r>
        <w:t xml:space="preserve">,</w:t>
      </w:r>
      <w:r>
        <w:t xml:space="preserve"> </w:t>
      </w:r>
      <m:oMath>
        <m:r>
          <m:t>β</m:t>
        </m:r>
      </m:oMath>
      <w:r>
        <w:t xml:space="preserve"> </w:t>
      </w:r>
      <w:r>
        <w:t xml:space="preserve">del modelo, se recurre a aproximaciones númericas mediante técnicas de muestreo Monte Carlo vía cadenas de Markov. En específico, en el presente estudio se utiliza el algortimo No-U-Turn Sampler (NUTS), a través del software Python versión 3.8.2. Este procedimiento genera una cadena de valores</w:t>
      </w:r>
      <w:r>
        <w:t xml:space="preserve"> </w:t>
      </w:r>
      <m:oMath>
        <m:d>
          <m:dPr>
            <m:begChr m:val="("/>
            <m:endChr m:val=")"/>
            <m:sepChr m:val=""/>
            <m:grow/>
          </m:dPr>
          <m:e>
            <m:sSup>
              <m:e>
                <m:r>
                  <m:t>α</m:t>
                </m:r>
              </m:e>
              <m:sup>
                <m:d>
                  <m:dPr>
                    <m:begChr m:val="("/>
                    <m:endChr m:val=")"/>
                    <m:sepChr m:val=""/>
                    <m:grow/>
                  </m:dPr>
                  <m:e>
                    <m:r>
                      <m:t>t</m:t>
                    </m:r>
                  </m:e>
                </m:d>
              </m:sup>
            </m:sSup>
            <m:r>
              <m:rPr>
                <m:sty m:val="p"/>
              </m:rPr>
              <m:t>,</m:t>
            </m:r>
            <m:sSup>
              <m:e>
                <m:r>
                  <m:t>β</m:t>
                </m:r>
              </m:e>
              <m:sup>
                <m:d>
                  <m:dPr>
                    <m:begChr m:val="("/>
                    <m:endChr m:val=")"/>
                    <m:sepChr m:val=""/>
                    <m:grow/>
                  </m:dPr>
                  <m:e>
                    <m:r>
                      <m:t>t</m:t>
                    </m:r>
                  </m:e>
                </m:d>
              </m:sup>
            </m:sSup>
          </m:e>
        </m:d>
      </m:oMath>
      <w:r>
        <w:t xml:space="preserve"> </w:t>
      </w:r>
      <w:r>
        <w:t xml:space="preserve">cuya distribución estacionaria coincide con la distribución posterior de los coeficientes del modelo. Con esto, se generan muestras posteriores de la prevalencia</w:t>
      </w:r>
      <w:r>
        <w:t xml:space="preserve"> </w:t>
      </w:r>
      <m:oMath>
        <m:d>
          <m:dPr>
            <m:begChr m:val="("/>
            <m:endChr m:val=")"/>
            <m:sepChr m:val=""/>
            <m:grow/>
          </m:dPr>
          <m:e>
            <m:sSubSup>
              <m:e>
                <m:r>
                  <m:t>p</m:t>
                </m:r>
              </m:e>
              <m:sub>
                <m:r>
                  <m:t>i</m:t>
                </m:r>
              </m:sub>
              <m:sup>
                <m:d>
                  <m:dPr>
                    <m:begChr m:val="("/>
                    <m:endChr m:val=")"/>
                    <m:sepChr m:val=""/>
                    <m:grow/>
                  </m:dPr>
                  <m:e>
                    <m:r>
                      <m:t>t</m:t>
                    </m:r>
                  </m:e>
                </m:d>
              </m:sup>
            </m:sSubSup>
          </m:e>
        </m:d>
      </m:oMath>
      <w:r>
        <w:t xml:space="preserve"> </w:t>
      </w:r>
      <w:r>
        <w:t xml:space="preserve">mediante el predictor lineal. El fundamento teórico de estos métodos se resume en la siguiente sección.</w:t>
      </w:r>
    </w:p>
    <w:bookmarkEnd w:id="24"/>
    <w:bookmarkEnd w:id="25"/>
    <w:bookmarkStart w:id="28" w:name="fundamento-teórico"/>
    <w:p>
      <w:pPr>
        <w:pStyle w:val="Heading2"/>
      </w:pPr>
      <w:r>
        <w:t xml:space="preserve">Fundamento Teórico</w:t>
      </w:r>
    </w:p>
    <w:bookmarkStart w:id="26" w:name="hamiltonian-monte-carlo"/>
    <w:p>
      <w:pPr>
        <w:pStyle w:val="Heading3"/>
      </w:pPr>
      <w:r>
        <w:t xml:space="preserve">Hamiltonian Monte Carlo</w:t>
      </w:r>
    </w:p>
    <w:p>
      <w:pPr>
        <w:pStyle w:val="FirstParagraph"/>
      </w:pPr>
      <w:r>
        <w:t xml:space="preserve">Hamiltonian Monte Carlo (HMC) es un método de Monte Carlo por cadenas de Markov que introduce variables auxiliares de momento para transformar el muestreo de la distribución posterior</w:t>
      </w:r>
      <w:r>
        <w:t xml:space="preserve"> </w:t>
      </w:r>
      <m:oMath>
        <m:r>
          <m:t>p</m:t>
        </m:r>
        <m:d>
          <m:dPr>
            <m:begChr m:val="("/>
            <m:endChr m:val=")"/>
            <m:sepChr m:val=""/>
            <m:grow/>
          </m:dPr>
          <m:e>
            <m:r>
              <m:t>θ</m:t>
            </m:r>
            <m:r>
              <m:rPr>
                <m:sty m:val="p"/>
              </m:rPr>
              <m:t>∣</m:t>
            </m:r>
            <m:r>
              <m:t>y</m:t>
            </m:r>
          </m:e>
        </m:d>
      </m:oMath>
      <w:r>
        <w:t xml:space="preserve"> </w:t>
      </w:r>
      <w:r>
        <w:t xml:space="preserve">en la integración de un sistema hamiltoniano. Se define la energía potencial</w:t>
      </w:r>
      <w:r>
        <w:t xml:space="preserve"> </w:t>
      </w:r>
      <m:oMath>
        <m:r>
          <m:t>U</m:t>
        </m:r>
        <m:d>
          <m:dPr>
            <m:begChr m:val="("/>
            <m:endChr m:val=")"/>
            <m:sepChr m:val=""/>
            <m:grow/>
          </m:dPr>
          <m:e>
            <m:r>
              <m:t>θ</m:t>
            </m:r>
          </m:e>
        </m:d>
        <m:r>
          <m:rPr>
            <m:sty m:val="p"/>
          </m:rPr>
          <m:t>=</m:t>
        </m:r>
        <m:r>
          <m:rPr>
            <m:sty m:val="p"/>
          </m:rPr>
          <m:t>−</m:t>
        </m:r>
        <m:r>
          <m:rPr>
            <m:nor/>
            <m:sty m:val="p"/>
          </m:rPr>
          <m:t>log</m:t>
        </m:r>
        <m:r>
          <m:t>p</m:t>
        </m:r>
        <m:d>
          <m:dPr>
            <m:begChr m:val="("/>
            <m:endChr m:val=")"/>
            <m:sepChr m:val=""/>
            <m:grow/>
          </m:dPr>
          <m:e>
            <m:r>
              <m:t>θ</m:t>
            </m:r>
            <m:r>
              <m:rPr>
                <m:sty m:val="p"/>
              </m:rPr>
              <m:t>∣</m:t>
            </m:r>
            <m:r>
              <m:t>y</m:t>
            </m:r>
          </m:e>
        </m:d>
      </m:oMath>
      <w:r>
        <w:t xml:space="preserve"> </w:t>
      </w:r>
      <w:r>
        <w:t xml:space="preserve">y la energía cinética</w:t>
      </w:r>
      <w:r>
        <w:t xml:space="preserve"> </w:t>
      </w:r>
      <m:oMath>
        <m:r>
          <m:t>K</m:t>
        </m:r>
        <m:d>
          <m:dPr>
            <m:begChr m:val="("/>
            <m:endChr m:val=")"/>
            <m:sepChr m:val=""/>
            <m:grow/>
          </m:dPr>
          <m:e>
            <m:r>
              <m:t>r</m:t>
            </m:r>
          </m:e>
        </m:d>
        <m:r>
          <m:rPr>
            <m:sty m:val="p"/>
          </m:rPr>
          <m:t>=</m:t>
        </m:r>
        <m:f>
          <m:fPr>
            <m:type m:val="lin"/>
          </m:fPr>
          <m:num>
            <m:r>
              <m:t>1</m:t>
            </m:r>
          </m:num>
          <m:den>
            <m:r>
              <m:t>2</m:t>
            </m:r>
          </m:den>
        </m:f>
        <m:sSup>
          <m:e>
            <m:r>
              <m:t>r</m:t>
            </m:r>
          </m:e>
          <m:sup>
            <m:r>
              <m:rPr>
                <m:sty m:val="p"/>
              </m:rPr>
              <m:t>⊤</m:t>
            </m:r>
          </m:sup>
        </m:sSup>
        <m:sSup>
          <m:e>
            <m:r>
              <m:t>M</m:t>
            </m:r>
          </m:e>
          <m:sup>
            <m:r>
              <m:rPr>
                <m:sty m:val="p"/>
              </m:rPr>
              <m:t>−</m:t>
            </m:r>
            <m:r>
              <m:t>1</m:t>
            </m:r>
          </m:sup>
        </m:sSup>
        <m:r>
          <m:t>r</m:t>
        </m:r>
      </m:oMath>
      <w:r>
        <w:t xml:space="preserve"> </w:t>
      </w:r>
      <w:r>
        <w:t xml:space="preserve">para un vector de momentos</w:t>
      </w:r>
      <w:r>
        <w:t xml:space="preserve"> </w:t>
      </w:r>
      <m:oMath>
        <m:r>
          <m:t>r</m:t>
        </m:r>
      </m:oMath>
      <w:r>
        <w:t xml:space="preserve"> </w:t>
      </w:r>
      <w:r>
        <w:t xml:space="preserve">y una matriz de masa</w:t>
      </w:r>
      <w:r>
        <w:t xml:space="preserve"> </w:t>
      </w:r>
      <m:oMath>
        <m:r>
          <m:t>M</m:t>
        </m:r>
      </m:oMath>
      <w:r>
        <w:t xml:space="preserve">. La dinámica hamiltoniana preserva volumen y energía, y se aproxima con el integrador leapfrog, que usa un tamaño de paso</w:t>
      </w:r>
      <w:r>
        <w:t xml:space="preserve"> </w:t>
      </w:r>
      <m:oMath>
        <m:r>
          <m:t>ϵ</m:t>
        </m:r>
      </m:oMath>
      <w:r>
        <w:t xml:space="preserve"> </w:t>
      </w:r>
      <w:r>
        <w:t xml:space="preserve">y un número de pasos</w:t>
      </w:r>
      <w:r>
        <w:t xml:space="preserve"> </w:t>
      </w:r>
      <m:oMath>
        <m:r>
          <m:t>L</m:t>
        </m:r>
      </m:oMath>
      <w:r>
        <w:t xml:space="preserve"> </w:t>
      </w:r>
      <w:r>
        <w:t xml:space="preserve">para proponer estados</w:t>
      </w:r>
      <w:r>
        <w:t xml:space="preserve"> </w:t>
      </w:r>
      <m:oMath>
        <m:sSup>
          <m:e>
            <m:r>
              <m:t>θ</m:t>
            </m:r>
          </m:e>
          <m:sup>
            <m:r>
              <m:rPr>
                <m:sty m:val="p"/>
              </m:rPr>
              <m:t>*</m:t>
            </m:r>
          </m:sup>
        </m:sSup>
        <m:r>
          <m:rPr>
            <m:sty m:val="p"/>
          </m:rPr>
          <m:t>,</m:t>
        </m:r>
        <m:sSup>
          <m:e>
            <m:r>
              <m:t>r</m:t>
            </m:r>
          </m:e>
          <m:sup>
            <m:r>
              <m:rPr>
                <m:sty m:val="p"/>
              </m:rPr>
              <m:t>*</m:t>
            </m:r>
          </m:sup>
        </m:sSup>
        <m:r>
          <m:rPr>
            <m:sty m:val="p"/>
          </m:rPr>
          <m:t>)</m:t>
        </m:r>
      </m:oMath>
      <w:r>
        <w:t xml:space="preserve"> </w:t>
      </w:r>
      <w:r>
        <w:t xml:space="preserve">alejados del estado actual, evitando la caminata aleatoria. La propuesta se corrige con un paso de aceptación Metropolis con probabilidad</w:t>
      </w:r>
      <w:r>
        <w:t xml:space="preserve"> </w:t>
      </w:r>
      <m:oMath>
        <m:r>
          <m:rPr>
            <m:nor/>
            <m:sty m:val="p"/>
          </m:rPr>
          <m:t>min</m:t>
        </m:r>
        <m:r>
          <m:rPr>
            <m:sty m:val="p"/>
          </m:rPr>
          <m:t>{</m:t>
        </m:r>
        <m:r>
          <m:t>1</m:t>
        </m:r>
        <m:r>
          <m:rPr>
            <m:sty m:val="p"/>
          </m:rPr>
          <m:t>,</m:t>
        </m:r>
        <m:r>
          <m:rPr>
            <m:nor/>
            <m:sty m:val="p"/>
          </m:rPr>
          <m:t>exp</m:t>
        </m:r>
        <m:d>
          <m:dPr>
            <m:begChr m:val="["/>
            <m:endChr m:val="]"/>
            <m:sepChr m:val=""/>
            <m:grow/>
          </m:dPr>
          <m:e>
            <m:r>
              <m:rPr>
                <m:sty m:val="p"/>
              </m:rPr>
              <m:t>−</m:t>
            </m:r>
            <m:r>
              <m:t>Δ</m:t>
            </m:r>
            <m:r>
              <m:t>H</m:t>
            </m:r>
          </m:e>
        </m:d>
        <m:r>
          <m:rPr>
            <m:sty m:val="p"/>
          </m:rPr>
          <m:t>}</m:t>
        </m:r>
      </m:oMath>
      <w:r>
        <w:t xml:space="preserve">, donde</w:t>
      </w:r>
      <w:r>
        <w:t xml:space="preserve"> </w:t>
      </w:r>
      <m:oMath>
        <m:r>
          <m:t>Δ</m:t>
        </m:r>
        <m:r>
          <m:t>H</m:t>
        </m:r>
      </m:oMath>
      <w:r>
        <w:t xml:space="preserve"> </w:t>
      </w:r>
      <w:r>
        <w:t xml:space="preserve">es el cambio en la energía debido a la discretización. Esta construcción aprovecha gradientes del log-posterior, permitiendo trayectorias largas con baja autocorrelación y alto tamaño efectivo de muestra por evaluación del gradiente. En la práctica, el rendimiento depende de sintonizar</w:t>
      </w:r>
      <w:r>
        <w:t xml:space="preserve"> </w:t>
      </w:r>
      <m:oMath>
        <m:r>
          <m:t>ϵ</m:t>
        </m:r>
      </m:oMath>
      <w:r>
        <w:t xml:space="preserve">,</w:t>
      </w:r>
      <w:r>
        <w:t xml:space="preserve"> </w:t>
      </w:r>
      <m:oMath>
        <m:r>
          <m:t>L</m:t>
        </m:r>
      </m:oMath>
      <w:r>
        <w:t xml:space="preserve"> </w:t>
      </w:r>
      <w:r>
        <w:t xml:space="preserve">y</w:t>
      </w:r>
      <w:r>
        <w:t xml:space="preserve"> </w:t>
      </w:r>
      <m:oMath>
        <m:r>
          <m:t>M</m:t>
        </m:r>
      </m:oMath>
      <w:r>
        <w:t xml:space="preserve">; tamaños de paso demasiado grandes inducen divergencias, mientras que tamaños de paso muy pequeños incrementan el costo computacional. La literatura recomienda adaptar</w:t>
      </w:r>
      <w:r>
        <w:t xml:space="preserve"> </w:t>
      </w:r>
      <m:oMath>
        <m:r>
          <m:t>ϵ</m:t>
        </m:r>
      </m:oMath>
      <w:r>
        <w:t xml:space="preserve"> </w:t>
      </w:r>
      <w:r>
        <w:t xml:space="preserve">hacia una tasa de aceptación objetivo y adaptar</w:t>
      </w:r>
      <w:r>
        <w:t xml:space="preserve"> </w:t>
      </w:r>
      <m:oMath>
        <m:r>
          <m:t>M</m:t>
        </m:r>
      </m:oMath>
      <w:r>
        <w:t xml:space="preserve"> </w:t>
      </w:r>
      <w:r>
        <w:t xml:space="preserve">(diagonal o densa) para adecuar la escala y curvatura del posterior, mejorando la estabilidad y la mezcla de la cadena</w:t>
      </w:r>
      <w:r>
        <w:t xml:space="preserve"> </w:t>
      </w:r>
      <w:r>
        <w:t xml:space="preserve">(</w:t>
      </w:r>
      <w:hyperlink w:anchor="ref-HoffmanGelman2014">
        <w:r>
          <w:rPr>
            <w:rStyle w:val="Hyperlink"/>
          </w:rPr>
          <w:t xml:space="preserve">Hoffman &amp; Gelman, 2014</w:t>
        </w:r>
      </w:hyperlink>
      <w:r>
        <w:t xml:space="preserve">)</w:t>
      </w:r>
      <w:r>
        <w:t xml:space="preserve">.</w:t>
      </w:r>
    </w:p>
    <w:bookmarkEnd w:id="26"/>
    <w:bookmarkStart w:id="27" w:name="nuts"/>
    <w:p>
      <w:pPr>
        <w:pStyle w:val="Heading3"/>
      </w:pPr>
      <w:r>
        <w:t xml:space="preserve">NUTS</w:t>
      </w:r>
    </w:p>
    <w:p>
      <w:pPr>
        <w:pStyle w:val="FirstParagraph"/>
      </w:pPr>
      <w:r>
        <w:t xml:space="preserve">El No-U-Turn Sampler (NUTS) es una extensión adaptativa de HMC que elimina la necesidad de fijar manualmente la longitud de trayectoria. En lugar de elegir un</w:t>
      </w:r>
      <w:r>
        <w:t xml:space="preserve"> </w:t>
      </w:r>
      <m:oMath>
        <m:r>
          <m:t>L</m:t>
        </m:r>
      </m:oMath>
      <w:r>
        <w:t xml:space="preserve"> </w:t>
      </w:r>
      <w:r>
        <w:t xml:space="preserve">fijo, NUTS expande dinámicamente la trayectoria (mediante un árbol binario) hasta detectar una no-u-turn: el punto en que la dirección del movimiento comienza a invertirse y proseguir añadiría recorrido redundante. Esta regla de detención garantiza trayectorias lo suficientemente largas para explorar eficientemente la masa de probabilidad, pero no tan largas como para desperdiciar cómputo, reduciendo la autocorrelación sin requerir sintonía manual de</w:t>
      </w:r>
      <w:r>
        <w:t xml:space="preserve"> </w:t>
      </w:r>
      <m:oMath>
        <m:r>
          <m:t>L</m:t>
        </m:r>
      </m:oMath>
      <w:r>
        <w:t xml:space="preserve"> </w:t>
      </w:r>
      <w:r>
        <w:t xml:space="preserve">(</w:t>
      </w:r>
      <w:hyperlink w:anchor="ref-HoffmanGelman2014">
        <w:r>
          <w:rPr>
            <w:rStyle w:val="Hyperlink"/>
          </w:rPr>
          <w:t xml:space="preserve">Hoffman &amp; Gelman, 2014, p. 3</w:t>
        </w:r>
      </w:hyperlink>
      <w:r>
        <w:t xml:space="preserve">, p. 10)</w:t>
      </w:r>
      <w:r>
        <w:t xml:space="preserve">. En paralelo, NUTS emplea dual averaging para adaptar el tamaño de paso</w:t>
      </w:r>
      <w:r>
        <w:t xml:space="preserve"> </w:t>
      </w:r>
      <m:oMath>
        <m:r>
          <m:t>ϵ</m:t>
        </m:r>
      </m:oMath>
      <w:r>
        <w:t xml:space="preserve"> </w:t>
      </w:r>
      <w:r>
        <w:t xml:space="preserve">hacia una tasa de aceptación objetivo (usualmente entre 0.8 y 0.95), lo que disminuye la incidencia de divergencias en posteriors con alta curvatura. En modelos con enlace logit y covariables estandarizadas —como el logit-binomial descrito— los gradientes están bien definidos y escalados, de modo que NUTS puede construir trayectorias estables que recorren el posterior con bajo error de integración y buena mezcla entre cadenas. La combinación de la expansión sin u-turn y la adaptación de</w:t>
      </w:r>
      <w:r>
        <w:t xml:space="preserve"> </w:t>
      </w:r>
      <m:oMath>
        <m:r>
          <m:t>ϵ</m:t>
        </m:r>
      </m:oMath>
      <w:r>
        <w:t xml:space="preserve"> </w:t>
      </w:r>
      <w:r>
        <w:t xml:space="preserve">produce un muestreo eficiente y reproducible, con diagnósticos de convergencia favorables (</w:t>
      </w:r>
      <m:oMath>
        <m:acc>
          <m:accPr>
            <m:chr m:val="̂"/>
          </m:accPr>
          <m:e>
            <m:r>
              <m:t>R</m:t>
            </m:r>
          </m:e>
        </m:acc>
      </m:oMath>
      <w:r>
        <w:t xml:space="preserve"> </w:t>
      </w:r>
      <w:r>
        <w:t xml:space="preserve">cercano a 1 y tamaños efectivos altos), en línea con las recomendaciones metodológicas de</w:t>
      </w:r>
      <w:r>
        <w:t xml:space="preserve"> </w:t>
      </w:r>
      <w:hyperlink w:anchor="ref-HoffmanGelman2014">
        <w:r>
          <w:rPr>
            <w:rStyle w:val="Hyperlink"/>
          </w:rPr>
          <w:t xml:space="preserve">Hoffman &amp; Gelman</w:t>
        </w:r>
      </w:hyperlink>
      <w:r>
        <w:t xml:space="preserve"> </w:t>
      </w:r>
      <w:r>
        <w:t xml:space="preserve">(</w:t>
      </w:r>
      <w:hyperlink w:anchor="ref-HoffmanGelman2014">
        <w:r>
          <w:rPr>
            <w:rStyle w:val="Hyperlink"/>
          </w:rPr>
          <w:t xml:space="preserve">2014</w:t>
        </w:r>
      </w:hyperlink>
      <w:r>
        <w:t xml:space="preserve">)</w:t>
      </w:r>
      <w:r>
        <w:t xml:space="preserve">.</w:t>
      </w:r>
    </w:p>
    <w:bookmarkEnd w:id="27"/>
    <w:bookmarkEnd w:id="28"/>
    <w:bookmarkEnd w:id="29"/>
    <w:bookmarkStart w:id="32" w:name="resultados"/>
    <w:p>
      <w:pPr>
        <w:pStyle w:val="Heading1"/>
      </w:pPr>
      <w:r>
        <w:t xml:space="preserve">Resultados</w:t>
      </w:r>
    </w:p>
    <w:p>
      <w:pPr>
        <w:pStyle w:val="FirstParagraph"/>
      </w:pPr>
      <w:r>
        <w:t xml:space="preserve">Los resultados obtenidos a partir del modelo binomial con enlace logit y muestreo NUTS evidencian un patrón claro en la distribución de la prevalencia de obesidad y sobrepeso infantil en Costa Rica, tanto a nivel nacional como provincial. En el plano nacional, la media posterior estimada para obesidad fue de 0.14143, con un intervalo de credibilidad del 95% entre 0.14023 y 0.14254. En el caso del sobrepeso, la media posterior fue de 0.19848, con un intervalo de credibilidad del 95% entre 0.19715 y 0.19983.</w:t>
      </w:r>
    </w:p>
    <w:p>
      <w:pPr>
        <w:pStyle w:val="BodyText"/>
      </w:pPr>
      <w:r>
        <w:drawing>
          <wp:inline>
            <wp:extent cx="5334000" cy="2558031"/>
            <wp:effectExtent b="0" l="0" r="0" t="0"/>
            <wp:docPr descr="Distribución posterior de la prevalencia de sobrepeso infantil a nivel país" title="" id="1" name="Picture"/>
            <a:graphic>
              <a:graphicData uri="http://schemas.openxmlformats.org/drawingml/2006/picture">
                <pic:pic>
                  <pic:nvPicPr>
                    <pic:cNvPr descr="../res/graficos/graficos_simulados_no_jer/sobrepeso/posterior_prevalencia_sobrepeso_pais.png" id="0" name="Picture"/>
                    <pic:cNvPicPr>
                      <a:picLocks noChangeArrowheads="1" noChangeAspect="1"/>
                    </pic:cNvPicPr>
                  </pic:nvPicPr>
                  <pic:blipFill>
                    <a:blip r:embed="rId30"/>
                    <a:stretch>
                      <a:fillRect/>
                    </a:stretch>
                  </pic:blipFill>
                  <pic:spPr bwMode="auto">
                    <a:xfrm>
                      <a:off x="0" y="0"/>
                      <a:ext cx="5334000" cy="2558031"/>
                    </a:xfrm>
                    <a:prstGeom prst="rect">
                      <a:avLst/>
                    </a:prstGeom>
                    <a:noFill/>
                    <a:ln w="9525">
                      <a:noFill/>
                      <a:headEnd/>
                      <a:tailEnd/>
                    </a:ln>
                  </pic:spPr>
                </pic:pic>
              </a:graphicData>
            </a:graphic>
          </wp:inline>
        </w:drawing>
      </w:r>
      <w:r>
        <w:t xml:space="preserve"> </w:t>
      </w:r>
      <w:r>
        <w:drawing>
          <wp:inline>
            <wp:extent cx="5334000" cy="2558031"/>
            <wp:effectExtent b="0" l="0" r="0" t="0"/>
            <wp:docPr descr="Distribución posterior de la prevalencia de obesidad infantil a nivel país" title="" id="1" name="Picture"/>
            <a:graphic>
              <a:graphicData uri="http://schemas.openxmlformats.org/drawingml/2006/picture">
                <pic:pic>
                  <pic:nvPicPr>
                    <pic:cNvPr descr="../res/graficos/graficos_simulados_no_jer/obesidad/posterior_prevalencia_obesidad_pais.png" id="0" name="Picture"/>
                    <pic:cNvPicPr>
                      <a:picLocks noChangeArrowheads="1" noChangeAspect="1"/>
                    </pic:cNvPicPr>
                  </pic:nvPicPr>
                  <pic:blipFill>
                    <a:blip r:embed="rId31"/>
                    <a:stretch>
                      <a:fillRect/>
                    </a:stretch>
                  </pic:blipFill>
                  <pic:spPr bwMode="auto">
                    <a:xfrm>
                      <a:off x="0" y="0"/>
                      <a:ext cx="5334000" cy="2558031"/>
                    </a:xfrm>
                    <a:prstGeom prst="rect">
                      <a:avLst/>
                    </a:prstGeom>
                    <a:noFill/>
                    <a:ln w="9525">
                      <a:noFill/>
                      <a:headEnd/>
                      <a:tailEnd/>
                    </a:ln>
                  </pic:spPr>
                </pic:pic>
              </a:graphicData>
            </a:graphic>
          </wp:inline>
        </w:drawing>
      </w:r>
    </w:p>
    <w:p>
      <w:pPr>
        <w:pStyle w:val="BodyText"/>
      </w:pPr>
      <w:r>
        <w:t xml:space="preserve">Estos resultados, cuando se suman, permiten inferir que aproximadamente un 34% de la población infantil escolar del país presenta exceso de peso, cifra que confirma la magnitud del problema de salud pública y se encuentra alineada con las tendencias observadas en contextos internacionales. La Organización Mundial de la Salud</w:t>
      </w:r>
      <w:r>
        <w:t xml:space="preserve"> </w:t>
      </w:r>
      <w:hyperlink w:anchor="ref-WHO2025">
        <w:r>
          <w:rPr>
            <w:rStyle w:val="Hyperlink"/>
          </w:rPr>
          <w:t xml:space="preserve">World Health Organization</w:t>
        </w:r>
      </w:hyperlink>
      <w:r>
        <w:t xml:space="preserve"> </w:t>
      </w:r>
      <w:r>
        <w:t xml:space="preserve">(</w:t>
      </w:r>
      <w:hyperlink w:anchor="ref-WHO2025">
        <w:r>
          <w:rPr>
            <w:rStyle w:val="Hyperlink"/>
          </w:rPr>
          <w:t xml:space="preserve">2025</w:t>
        </w:r>
      </w:hyperlink>
      <w:r>
        <w:t xml:space="preserve">)</w:t>
      </w:r>
      <w:r>
        <w:t xml:space="preserve"> </w:t>
      </w:r>
      <w:r>
        <w:t xml:space="preserve">señala que</w:t>
      </w:r>
      <w:r>
        <w:t xml:space="preserve"> </w:t>
      </w:r>
      <w:r>
        <w:t xml:space="preserve">“</w:t>
      </w:r>
      <w:r>
        <w:t xml:space="preserve">childhood obesity has become one of the most serious public health challenges of the 21st century</w:t>
      </w:r>
      <w:r>
        <w:t xml:space="preserve">”</w:t>
      </w:r>
      <w:r>
        <w:t xml:space="preserve">, al estimar que más de 390 millones de niños y adolescentes de entre 5 y 19 años en el mundo tienen sobrepeso u obesidad. Esta cifra global se sitúa en torno al 20% de esa población, lo que significa que Costa Rica presenta una proporción ligeramente superior al promedio global, aunque en consonancia con otros países de ingreso medio y urbano consolidado.</w:t>
      </w:r>
    </w:p>
    <w:p>
      <w:pPr>
        <w:pStyle w:val="TableCaption"/>
      </w:pPr>
      <w:r>
        <w:t xml:space="preserve">Resumen por provincia: obesidad y sobrepeso</w:t>
      </w:r>
    </w:p>
    <w:tbl>
      <w:tblPr>
        <w:tblStyle w:val="Table"/>
        <w:tblW w:type="auto" w:w="0"/>
        <w:tblLook w:firstRow="1" w:lastRow="0" w:firstColumn="0" w:lastColumn="0" w:noHBand="0" w:noVBand="0" w:val="0020"/>
        <w:tblCaption w:val="Resumen por provincia: obesidad y sobrepeso"/>
      </w:tblPr>
      <w:tblGrid>
        <w:gridCol w:w="1584"/>
        <w:gridCol w:w="1584"/>
        <w:gridCol w:w="1584"/>
        <w:gridCol w:w="1584"/>
        <w:gridCol w:w="1584"/>
      </w:tblGrid>
      <w:tr>
        <w:trPr>
          <w:tblHeader w:val="true"/>
        </w:trPr>
        <w:tc>
          <w:tcPr/>
          <w:p>
            <w:pPr>
              <w:pStyle w:val="Compact"/>
              <w:jc w:val="center"/>
            </w:pPr>
            <w:r>
              <w:t xml:space="preserve">Grupo</w:t>
            </w:r>
          </w:p>
        </w:tc>
        <w:tc>
          <w:tcPr/>
          <w:p>
            <w:pPr>
              <w:pStyle w:val="Compact"/>
              <w:jc w:val="center"/>
            </w:pPr>
            <w:r>
              <w:t xml:space="preserve">Media_Obesidad</w:t>
            </w:r>
          </w:p>
        </w:tc>
        <w:tc>
          <w:tcPr/>
          <w:p>
            <w:pPr>
              <w:pStyle w:val="Compact"/>
              <w:jc w:val="center"/>
            </w:pPr>
            <w:r>
              <w:t xml:space="preserve">Intervalo Obesidad</w:t>
            </w:r>
          </w:p>
        </w:tc>
        <w:tc>
          <w:tcPr/>
          <w:p>
            <w:pPr>
              <w:pStyle w:val="Compact"/>
              <w:jc w:val="center"/>
            </w:pPr>
            <w:r>
              <w:t xml:space="preserve">Media_Sobrepeso</w:t>
            </w:r>
          </w:p>
        </w:tc>
        <w:tc>
          <w:tcPr/>
          <w:p>
            <w:pPr>
              <w:pStyle w:val="Compact"/>
              <w:jc w:val="center"/>
            </w:pPr>
            <w:r>
              <w:t xml:space="preserve">Intervalo Sobrepeso</w:t>
            </w:r>
          </w:p>
        </w:tc>
      </w:tr>
      <w:tr>
        <w:tc>
          <w:tcPr/>
          <w:p>
            <w:pPr>
              <w:pStyle w:val="Compact"/>
              <w:jc w:val="center"/>
            </w:pPr>
            <w:r>
              <w:t xml:space="preserve">Alajuela</w:t>
            </w:r>
          </w:p>
        </w:tc>
        <w:tc>
          <w:tcPr/>
          <w:p>
            <w:pPr>
              <w:pStyle w:val="Compact"/>
              <w:jc w:val="center"/>
            </w:pPr>
            <w:r>
              <w:t xml:space="preserve">0.14096</w:t>
            </w:r>
          </w:p>
        </w:tc>
        <w:tc>
          <w:tcPr/>
          <w:p>
            <w:pPr>
              <w:pStyle w:val="Compact"/>
              <w:jc w:val="center"/>
            </w:pPr>
            <w:r>
              <w:t xml:space="preserve">[0.13957, 0.14236]</w:t>
            </w:r>
          </w:p>
        </w:tc>
        <w:tc>
          <w:tcPr/>
          <w:p>
            <w:pPr>
              <w:pStyle w:val="Compact"/>
              <w:jc w:val="center"/>
            </w:pPr>
            <w:r>
              <w:t xml:space="preserve">0.19873</w:t>
            </w:r>
          </w:p>
        </w:tc>
        <w:tc>
          <w:tcPr/>
          <w:p>
            <w:pPr>
              <w:pStyle w:val="Compact"/>
              <w:jc w:val="center"/>
            </w:pPr>
            <w:r>
              <w:t xml:space="preserve">[0.19714, 0.20029]</w:t>
            </w:r>
          </w:p>
        </w:tc>
      </w:tr>
      <w:tr>
        <w:tc>
          <w:tcPr/>
          <w:p>
            <w:pPr>
              <w:pStyle w:val="Compact"/>
              <w:jc w:val="center"/>
            </w:pPr>
            <w:r>
              <w:t xml:space="preserve">Cartago</w:t>
            </w:r>
          </w:p>
        </w:tc>
        <w:tc>
          <w:tcPr/>
          <w:p>
            <w:pPr>
              <w:pStyle w:val="Compact"/>
              <w:jc w:val="center"/>
            </w:pPr>
            <w:r>
              <w:t xml:space="preserve">0.14648</w:t>
            </w:r>
          </w:p>
        </w:tc>
        <w:tc>
          <w:tcPr/>
          <w:p>
            <w:pPr>
              <w:pStyle w:val="Compact"/>
              <w:jc w:val="center"/>
            </w:pPr>
            <w:r>
              <w:t xml:space="preserve">[0.1451, 0.14789]</w:t>
            </w:r>
          </w:p>
        </w:tc>
        <w:tc>
          <w:tcPr/>
          <w:p>
            <w:pPr>
              <w:pStyle w:val="Compact"/>
              <w:jc w:val="center"/>
            </w:pPr>
            <w:r>
              <w:t xml:space="preserve">0.20347</w:t>
            </w:r>
          </w:p>
        </w:tc>
        <w:tc>
          <w:tcPr/>
          <w:p>
            <w:pPr>
              <w:pStyle w:val="Compact"/>
              <w:jc w:val="center"/>
            </w:pPr>
            <w:r>
              <w:t xml:space="preserve">[0.20194, 0.20497]</w:t>
            </w:r>
          </w:p>
        </w:tc>
      </w:tr>
      <w:tr>
        <w:tc>
          <w:tcPr/>
          <w:p>
            <w:pPr>
              <w:pStyle w:val="Compact"/>
              <w:jc w:val="center"/>
            </w:pPr>
            <w:r>
              <w:t xml:space="preserve">Guanacaste</w:t>
            </w:r>
          </w:p>
        </w:tc>
        <w:tc>
          <w:tcPr/>
          <w:p>
            <w:pPr>
              <w:pStyle w:val="Compact"/>
              <w:jc w:val="center"/>
            </w:pPr>
            <w:r>
              <w:t xml:space="preserve">0.13749</w:t>
            </w:r>
          </w:p>
        </w:tc>
        <w:tc>
          <w:tcPr/>
          <w:p>
            <w:pPr>
              <w:pStyle w:val="Compact"/>
              <w:jc w:val="center"/>
            </w:pPr>
            <w:r>
              <w:t xml:space="preserve">[0.13594, 0.13907]</w:t>
            </w:r>
          </w:p>
        </w:tc>
        <w:tc>
          <w:tcPr/>
          <w:p>
            <w:pPr>
              <w:pStyle w:val="Compact"/>
              <w:jc w:val="center"/>
            </w:pPr>
            <w:r>
              <w:t xml:space="preserve">0.19000</w:t>
            </w:r>
          </w:p>
        </w:tc>
        <w:tc>
          <w:tcPr/>
          <w:p>
            <w:pPr>
              <w:pStyle w:val="Compact"/>
              <w:jc w:val="center"/>
            </w:pPr>
            <w:r>
              <w:t xml:space="preserve">[0.18815, 0.19185]</w:t>
            </w:r>
          </w:p>
        </w:tc>
      </w:tr>
      <w:tr>
        <w:tc>
          <w:tcPr/>
          <w:p>
            <w:pPr>
              <w:pStyle w:val="Compact"/>
              <w:jc w:val="center"/>
            </w:pPr>
            <w:r>
              <w:t xml:space="preserve">Heredia</w:t>
            </w:r>
          </w:p>
        </w:tc>
        <w:tc>
          <w:tcPr/>
          <w:p>
            <w:pPr>
              <w:pStyle w:val="Compact"/>
              <w:jc w:val="center"/>
            </w:pPr>
            <w:r>
              <w:t xml:space="preserve">0.14832</w:t>
            </w:r>
          </w:p>
        </w:tc>
        <w:tc>
          <w:tcPr/>
          <w:p>
            <w:pPr>
              <w:pStyle w:val="Compact"/>
              <w:jc w:val="center"/>
            </w:pPr>
            <w:r>
              <w:t xml:space="preserve">[0.14671, 0.14995]</w:t>
            </w:r>
          </w:p>
        </w:tc>
        <w:tc>
          <w:tcPr/>
          <w:p>
            <w:pPr>
              <w:pStyle w:val="Compact"/>
              <w:jc w:val="center"/>
            </w:pPr>
            <w:r>
              <w:t xml:space="preserve">0.20699</w:t>
            </w:r>
          </w:p>
        </w:tc>
        <w:tc>
          <w:tcPr/>
          <w:p>
            <w:pPr>
              <w:pStyle w:val="Compact"/>
              <w:jc w:val="center"/>
            </w:pPr>
            <w:r>
              <w:t xml:space="preserve">[0.2053, 0.20869]</w:t>
            </w:r>
          </w:p>
        </w:tc>
      </w:tr>
      <w:tr>
        <w:tc>
          <w:tcPr/>
          <w:p>
            <w:pPr>
              <w:pStyle w:val="Compact"/>
              <w:jc w:val="center"/>
            </w:pPr>
            <w:r>
              <w:t xml:space="preserve">Limon</w:t>
            </w:r>
          </w:p>
        </w:tc>
        <w:tc>
          <w:tcPr/>
          <w:p>
            <w:pPr>
              <w:pStyle w:val="Compact"/>
              <w:jc w:val="center"/>
            </w:pPr>
            <w:r>
              <w:t xml:space="preserve">0.12645</w:t>
            </w:r>
          </w:p>
        </w:tc>
        <w:tc>
          <w:tcPr/>
          <w:p>
            <w:pPr>
              <w:pStyle w:val="Compact"/>
              <w:jc w:val="center"/>
            </w:pPr>
            <w:r>
              <w:t xml:space="preserve">[0.12465, 0.12827]</w:t>
            </w:r>
          </w:p>
        </w:tc>
        <w:tc>
          <w:tcPr/>
          <w:p>
            <w:pPr>
              <w:pStyle w:val="Compact"/>
              <w:jc w:val="center"/>
            </w:pPr>
            <w:r>
              <w:t xml:space="preserve">0.18394</w:t>
            </w:r>
          </w:p>
        </w:tc>
        <w:tc>
          <w:tcPr/>
          <w:p>
            <w:pPr>
              <w:pStyle w:val="Compact"/>
              <w:jc w:val="center"/>
            </w:pPr>
            <w:r>
              <w:t xml:space="preserve">[0.18187, 0.18604]</w:t>
            </w:r>
          </w:p>
        </w:tc>
      </w:tr>
      <w:tr>
        <w:tc>
          <w:tcPr/>
          <w:p>
            <w:pPr>
              <w:pStyle w:val="Compact"/>
              <w:jc w:val="center"/>
            </w:pPr>
            <w:r>
              <w:t xml:space="preserve">Puntarenas</w:t>
            </w:r>
          </w:p>
        </w:tc>
        <w:tc>
          <w:tcPr/>
          <w:p>
            <w:pPr>
              <w:pStyle w:val="Compact"/>
              <w:jc w:val="center"/>
            </w:pPr>
            <w:r>
              <w:t xml:space="preserve">0.12810</w:t>
            </w:r>
          </w:p>
        </w:tc>
        <w:tc>
          <w:tcPr/>
          <w:p>
            <w:pPr>
              <w:pStyle w:val="Compact"/>
              <w:jc w:val="center"/>
            </w:pPr>
            <w:r>
              <w:t xml:space="preserve">[0.12668, 0.12952]</w:t>
            </w:r>
          </w:p>
        </w:tc>
        <w:tc>
          <w:tcPr/>
          <w:p>
            <w:pPr>
              <w:pStyle w:val="Compact"/>
              <w:jc w:val="center"/>
            </w:pPr>
            <w:r>
              <w:t xml:space="preserve">0.19135</w:t>
            </w:r>
          </w:p>
        </w:tc>
        <w:tc>
          <w:tcPr/>
          <w:p>
            <w:pPr>
              <w:pStyle w:val="Compact"/>
              <w:jc w:val="center"/>
            </w:pPr>
            <w:r>
              <w:t xml:space="preserve">[0.18964, 0.19305]</w:t>
            </w:r>
          </w:p>
        </w:tc>
      </w:tr>
      <w:tr>
        <w:tc>
          <w:tcPr/>
          <w:p>
            <w:pPr>
              <w:pStyle w:val="Compact"/>
              <w:jc w:val="center"/>
            </w:pPr>
            <w:r>
              <w:t xml:space="preserve">San Jose</w:t>
            </w:r>
          </w:p>
        </w:tc>
        <w:tc>
          <w:tcPr/>
          <w:p>
            <w:pPr>
              <w:pStyle w:val="Compact"/>
              <w:jc w:val="center"/>
            </w:pPr>
            <w:r>
              <w:t xml:space="preserve">0.14892</w:t>
            </w:r>
          </w:p>
        </w:tc>
        <w:tc>
          <w:tcPr/>
          <w:p>
            <w:pPr>
              <w:pStyle w:val="Compact"/>
              <w:jc w:val="center"/>
            </w:pPr>
            <w:r>
              <w:t xml:space="preserve">[0.14753, 0.1503]</w:t>
            </w:r>
          </w:p>
        </w:tc>
        <w:tc>
          <w:tcPr/>
          <w:p>
            <w:pPr>
              <w:pStyle w:val="Compact"/>
              <w:jc w:val="center"/>
            </w:pPr>
            <w:r>
              <w:t xml:space="preserve">0.20379</w:t>
            </w:r>
          </w:p>
        </w:tc>
        <w:tc>
          <w:tcPr/>
          <w:p>
            <w:pPr>
              <w:pStyle w:val="Compact"/>
              <w:jc w:val="center"/>
            </w:pPr>
            <w:r>
              <w:t xml:space="preserve">[0.20218, 0.20535]</w:t>
            </w:r>
          </w:p>
        </w:tc>
      </w:tr>
      <w:tr>
        <w:tc>
          <w:tcPr/>
          <w:p>
            <w:pPr>
              <w:pStyle w:val="Compact"/>
              <w:jc w:val="center"/>
            </w:pPr>
            <w:r>
              <w:t xml:space="preserve">Pais</w:t>
            </w:r>
          </w:p>
        </w:tc>
        <w:tc>
          <w:tcPr/>
          <w:p>
            <w:pPr>
              <w:pStyle w:val="Compact"/>
              <w:jc w:val="center"/>
            </w:pPr>
            <w:r>
              <w:t xml:space="preserve">0.14143</w:t>
            </w:r>
          </w:p>
        </w:tc>
        <w:tc>
          <w:tcPr/>
          <w:p>
            <w:pPr>
              <w:pStyle w:val="Compact"/>
              <w:jc w:val="center"/>
            </w:pPr>
            <w:r>
              <w:t xml:space="preserve">[0.14025, 0.14258]</w:t>
            </w:r>
          </w:p>
        </w:tc>
        <w:tc>
          <w:tcPr/>
          <w:p>
            <w:pPr>
              <w:pStyle w:val="Compact"/>
              <w:jc w:val="center"/>
            </w:pPr>
            <w:r>
              <w:t xml:space="preserve">0.19847</w:t>
            </w:r>
          </w:p>
        </w:tc>
        <w:tc>
          <w:tcPr/>
          <w:p>
            <w:pPr>
              <w:pStyle w:val="Compact"/>
              <w:jc w:val="center"/>
            </w:pPr>
            <w:r>
              <w:t xml:space="preserve">[0.19708, 0.19978]</w:t>
            </w:r>
          </w:p>
        </w:tc>
      </w:tr>
    </w:tbl>
    <w:p>
      <w:pPr>
        <w:pStyle w:val="BodyText"/>
      </w:pPr>
      <w:r>
        <w:t xml:space="preserve">El modelo generó distribuciones posteriores estables para cada provincia. En el caso de la obesidad, los resultados revelan un gradiente centro–periferia: San José, Heredia y Cartago muestran las mayores prevalencias medias (0.14870, 0.14804 y 0.14584 respectivamente), mientras que Guanacaste, Puntarenas y Limón presentan los valores más bajos (0.13516, 0.13037 y 0.12788). Este patrón se repite para el sobrepeso, con Heredia, Cartago y San José nuevamente en los primeros lugares (0.20765, 0.20648 y 0.20435 respectivamente) y Guanacaste y Puntarenas en los últimos (0.19067 y 0.18830). A nivel cantonal, se observa un contraste similar: cantones periféricos como Talamanca (obesidad 0.10117; sobrepeso 0.17762), Buenos Aires, Los Chiles, La Cruz y Matina se sitúan en la cola inferior de la distribución, mientras que cantones del Gran Área Metropolitana como Heredia (0.15713; 0.21262), Santo Domingo, Moravia, Belén y Montes De Oca (0.16897; 0.22065) concentran las prevalencias medias más altas de obesidad y sobrepeso.</w:t>
      </w:r>
      <w:r>
        <w:t xml:space="preserve"> </w:t>
      </w:r>
      <w:hyperlink w:anchor="ref-Gomez2023">
        <w:r>
          <w:rPr>
            <w:rStyle w:val="Hyperlink"/>
          </w:rPr>
          <w:t xml:space="preserve">Gómez et al.</w:t>
        </w:r>
      </w:hyperlink>
      <w:r>
        <w:t xml:space="preserve"> </w:t>
      </w:r>
      <w:r>
        <w:t xml:space="preserve">(</w:t>
      </w:r>
      <w:hyperlink w:anchor="ref-Gomez2023">
        <w:r>
          <w:rPr>
            <w:rStyle w:val="Hyperlink"/>
          </w:rPr>
          <w:t xml:space="preserve">2023</w:t>
        </w:r>
      </w:hyperlink>
      <w:r>
        <w:t xml:space="preserve">)</w:t>
      </w:r>
      <w:r>
        <w:t xml:space="preserve"> </w:t>
      </w:r>
      <w:r>
        <w:t xml:space="preserve">señalan que</w:t>
      </w:r>
      <w:r>
        <w:t xml:space="preserve"> </w:t>
      </w:r>
      <w:r>
        <w:t xml:space="preserve">“</w:t>
      </w:r>
      <w:r>
        <w:t xml:space="preserve">el modelo bayesiano espacial confirmó la existencia de un patrón heterogéneo, con distritos de mayor riesgo en las zonas más urbanas del país</w:t>
      </w:r>
      <w:r>
        <w:t xml:space="preserve">”</w:t>
      </w:r>
      <w:r>
        <w:t xml:space="preserve">, lo que refuerza la interpretación de que el exceso de peso infantil se concentra en territorios de mayor densidad urbana y desarrollo económico. Esta diferenciación espacial también puede explicarse parcialmente por variaciones en la disponibilidad de alimentos frescos, la estructura de transporte y la exposición a publicidad alimentaria. Como sostiene la</w:t>
      </w:r>
      <w:r>
        <w:t xml:space="preserve"> </w:t>
      </w:r>
      <w:hyperlink w:anchor="ref-WHO2025">
        <w:r>
          <w:rPr>
            <w:rStyle w:val="Hyperlink"/>
          </w:rPr>
          <w:t xml:space="preserve">World Health Organization</w:t>
        </w:r>
      </w:hyperlink>
      <w:r>
        <w:t xml:space="preserve"> </w:t>
      </w:r>
      <w:r>
        <w:t xml:space="preserve">(</w:t>
      </w:r>
      <w:hyperlink w:anchor="ref-WHO2025">
        <w:r>
          <w:rPr>
            <w:rStyle w:val="Hyperlink"/>
          </w:rPr>
          <w:t xml:space="preserve">2025</w:t>
        </w:r>
      </w:hyperlink>
      <w:r>
        <w:t xml:space="preserve">)</w:t>
      </w:r>
      <w:r>
        <w:t xml:space="preserve">,</w:t>
      </w:r>
      <w:r>
        <w:t xml:space="preserve"> </w:t>
      </w:r>
      <w:r>
        <w:t xml:space="preserve">“</w:t>
      </w:r>
      <w:r>
        <w:t xml:space="preserve">urbanization and the shift towards more sedentary forms of recreation and work contribute significantly to rising obesity rates</w:t>
      </w:r>
      <w:r>
        <w:t xml:space="preserve">”</w:t>
      </w:r>
      <w:r>
        <w:t xml:space="preserve">.</w:t>
      </w:r>
    </w:p>
    <w:p>
      <w:pPr>
        <w:pStyle w:val="TableCaption"/>
      </w:pPr>
      <w:r>
        <w:t xml:space="preserve">Resumen por cantones más relevantes: obesidad y sobrepeso</w:t>
      </w:r>
    </w:p>
    <w:tbl>
      <w:tblPr>
        <w:tblStyle w:val="Table"/>
        <w:tblW w:type="auto" w:w="0"/>
        <w:tblLook w:firstRow="1" w:lastRow="0" w:firstColumn="0" w:lastColumn="0" w:noHBand="0" w:noVBand="0" w:val="0020"/>
        <w:tblCaption w:val="Resumen por cantones más relevantes: obesidad y sobrepeso"/>
      </w:tblPr>
      <w:tblGrid>
        <w:gridCol w:w="1584"/>
        <w:gridCol w:w="1584"/>
        <w:gridCol w:w="1584"/>
        <w:gridCol w:w="1584"/>
        <w:gridCol w:w="1584"/>
      </w:tblGrid>
      <w:tr>
        <w:trPr>
          <w:tblHeader w:val="true"/>
        </w:trPr>
        <w:tc>
          <w:tcPr/>
          <w:p>
            <w:pPr>
              <w:pStyle w:val="Compact"/>
              <w:jc w:val="center"/>
            </w:pPr>
            <w:r>
              <w:t xml:space="preserve">Grupo</w:t>
            </w:r>
          </w:p>
        </w:tc>
        <w:tc>
          <w:tcPr/>
          <w:p>
            <w:pPr>
              <w:pStyle w:val="Compact"/>
              <w:jc w:val="center"/>
            </w:pPr>
            <w:r>
              <w:t xml:space="preserve">Media_Obesidad</w:t>
            </w:r>
          </w:p>
        </w:tc>
        <w:tc>
          <w:tcPr/>
          <w:p>
            <w:pPr>
              <w:pStyle w:val="Compact"/>
              <w:jc w:val="center"/>
            </w:pPr>
            <w:r>
              <w:t xml:space="preserve">Intervalo Obesidad</w:t>
            </w:r>
          </w:p>
        </w:tc>
        <w:tc>
          <w:tcPr/>
          <w:p>
            <w:pPr>
              <w:pStyle w:val="Compact"/>
              <w:jc w:val="center"/>
            </w:pPr>
            <w:r>
              <w:t xml:space="preserve">Media_Sobrepeso</w:t>
            </w:r>
          </w:p>
        </w:tc>
        <w:tc>
          <w:tcPr/>
          <w:p>
            <w:pPr>
              <w:pStyle w:val="Compact"/>
              <w:jc w:val="center"/>
            </w:pPr>
            <w:r>
              <w:t xml:space="preserve">Intervalo Sobrepeso</w:t>
            </w:r>
          </w:p>
        </w:tc>
      </w:tr>
      <w:tr>
        <w:tc>
          <w:tcPr/>
          <w:p>
            <w:pPr>
              <w:pStyle w:val="Compact"/>
              <w:jc w:val="center"/>
            </w:pPr>
            <w:r>
              <w:t xml:space="preserve">Talamanca</w:t>
            </w:r>
          </w:p>
        </w:tc>
        <w:tc>
          <w:tcPr/>
          <w:p>
            <w:pPr>
              <w:pStyle w:val="Compact"/>
              <w:jc w:val="center"/>
            </w:pPr>
            <w:r>
              <w:t xml:space="preserve">0.10117</w:t>
            </w:r>
          </w:p>
        </w:tc>
        <w:tc>
          <w:tcPr/>
          <w:p>
            <w:pPr>
              <w:pStyle w:val="Compact"/>
              <w:jc w:val="center"/>
            </w:pPr>
            <w:r>
              <w:t xml:space="preserve">[0.09779, 0.1046]</w:t>
            </w:r>
          </w:p>
        </w:tc>
        <w:tc>
          <w:tcPr/>
          <w:p>
            <w:pPr>
              <w:pStyle w:val="Compact"/>
              <w:jc w:val="center"/>
            </w:pPr>
            <w:r>
              <w:t xml:space="preserve">0.17762</w:t>
            </w:r>
          </w:p>
        </w:tc>
        <w:tc>
          <w:tcPr/>
          <w:p>
            <w:pPr>
              <w:pStyle w:val="Compact"/>
              <w:jc w:val="center"/>
            </w:pPr>
            <w:r>
              <w:t xml:space="preserve">[0.17413, 0.18114]</w:t>
            </w:r>
          </w:p>
        </w:tc>
      </w:tr>
      <w:tr>
        <w:tc>
          <w:tcPr/>
          <w:p>
            <w:pPr>
              <w:pStyle w:val="Compact"/>
              <w:jc w:val="center"/>
            </w:pPr>
            <w:r>
              <w:t xml:space="preserve">Buenos Aires</w:t>
            </w:r>
          </w:p>
        </w:tc>
        <w:tc>
          <w:tcPr/>
          <w:p>
            <w:pPr>
              <w:pStyle w:val="Compact"/>
              <w:jc w:val="center"/>
            </w:pPr>
            <w:r>
              <w:t xml:space="preserve">0.11142</w:t>
            </w:r>
          </w:p>
        </w:tc>
        <w:tc>
          <w:tcPr/>
          <w:p>
            <w:pPr>
              <w:pStyle w:val="Compact"/>
              <w:jc w:val="center"/>
            </w:pPr>
            <w:r>
              <w:t xml:space="preserve">[0.10907, 0.11383]</w:t>
            </w:r>
          </w:p>
        </w:tc>
        <w:tc>
          <w:tcPr/>
          <w:p>
            <w:pPr>
              <w:pStyle w:val="Compact"/>
              <w:jc w:val="center"/>
            </w:pPr>
            <w:r>
              <w:t xml:space="preserve">0.18071</w:t>
            </w:r>
          </w:p>
        </w:tc>
        <w:tc>
          <w:tcPr/>
          <w:p>
            <w:pPr>
              <w:pStyle w:val="Compact"/>
              <w:jc w:val="center"/>
            </w:pPr>
            <w:r>
              <w:t xml:space="preserve">[0.17787, 0.18356]</w:t>
            </w:r>
          </w:p>
        </w:tc>
      </w:tr>
      <w:tr>
        <w:tc>
          <w:tcPr/>
          <w:p>
            <w:pPr>
              <w:pStyle w:val="Compact"/>
              <w:jc w:val="center"/>
            </w:pPr>
            <w:r>
              <w:t xml:space="preserve">Los Chiles</w:t>
            </w:r>
          </w:p>
        </w:tc>
        <w:tc>
          <w:tcPr/>
          <w:p>
            <w:pPr>
              <w:pStyle w:val="Compact"/>
              <w:jc w:val="center"/>
            </w:pPr>
            <w:r>
              <w:t xml:space="preserve">0.11245</w:t>
            </w:r>
          </w:p>
        </w:tc>
        <w:tc>
          <w:tcPr/>
          <w:p>
            <w:pPr>
              <w:pStyle w:val="Compact"/>
              <w:jc w:val="center"/>
            </w:pPr>
            <w:r>
              <w:t xml:space="preserve">[0.11006, 0.1149]</w:t>
            </w:r>
          </w:p>
        </w:tc>
        <w:tc>
          <w:tcPr/>
          <w:p>
            <w:pPr>
              <w:pStyle w:val="Compact"/>
              <w:jc w:val="center"/>
            </w:pPr>
            <w:r>
              <w:t xml:space="preserve">0.17539</w:t>
            </w:r>
          </w:p>
        </w:tc>
        <w:tc>
          <w:tcPr/>
          <w:p>
            <w:pPr>
              <w:pStyle w:val="Compact"/>
              <w:jc w:val="center"/>
            </w:pPr>
            <w:r>
              <w:t xml:space="preserve">[0.17254, 0.17824]</w:t>
            </w:r>
          </w:p>
        </w:tc>
      </w:tr>
      <w:tr>
        <w:tc>
          <w:tcPr/>
          <w:p>
            <w:pPr>
              <w:pStyle w:val="Compact"/>
              <w:jc w:val="center"/>
            </w:pPr>
            <w:r>
              <w:t xml:space="preserve">La Cruz</w:t>
            </w:r>
          </w:p>
        </w:tc>
        <w:tc>
          <w:tcPr/>
          <w:p>
            <w:pPr>
              <w:pStyle w:val="Compact"/>
              <w:jc w:val="center"/>
            </w:pPr>
            <w:r>
              <w:t xml:space="preserve">0.11639</w:t>
            </w:r>
          </w:p>
        </w:tc>
        <w:tc>
          <w:tcPr/>
          <w:p>
            <w:pPr>
              <w:pStyle w:val="Compact"/>
              <w:jc w:val="center"/>
            </w:pPr>
            <w:r>
              <w:t xml:space="preserve">[0.11439, 0.11842]</w:t>
            </w:r>
          </w:p>
        </w:tc>
        <w:tc>
          <w:tcPr/>
          <w:p>
            <w:pPr>
              <w:pStyle w:val="Compact"/>
              <w:jc w:val="center"/>
            </w:pPr>
            <w:r>
              <w:t xml:space="preserve">0.18108</w:t>
            </w:r>
          </w:p>
        </w:tc>
        <w:tc>
          <w:tcPr/>
          <w:p>
            <w:pPr>
              <w:pStyle w:val="Compact"/>
              <w:jc w:val="center"/>
            </w:pPr>
            <w:r>
              <w:t xml:space="preserve">[0.17874, 0.18344]</w:t>
            </w:r>
          </w:p>
        </w:tc>
      </w:tr>
      <w:tr>
        <w:tc>
          <w:tcPr/>
          <w:p>
            <w:pPr>
              <w:pStyle w:val="Compact"/>
              <w:jc w:val="center"/>
            </w:pPr>
            <w:r>
              <w:t xml:space="preserve">Matina</w:t>
            </w:r>
          </w:p>
        </w:tc>
        <w:tc>
          <w:tcPr/>
          <w:p>
            <w:pPr>
              <w:pStyle w:val="Compact"/>
              <w:jc w:val="center"/>
            </w:pPr>
            <w:r>
              <w:t xml:space="preserve">0.11767</w:t>
            </w:r>
          </w:p>
        </w:tc>
        <w:tc>
          <w:tcPr/>
          <w:p>
            <w:pPr>
              <w:pStyle w:val="Compact"/>
              <w:jc w:val="center"/>
            </w:pPr>
            <w:r>
              <w:t xml:space="preserve">[0.11545, 0.11994]</w:t>
            </w:r>
          </w:p>
        </w:tc>
        <w:tc>
          <w:tcPr/>
          <w:p>
            <w:pPr>
              <w:pStyle w:val="Compact"/>
              <w:jc w:val="center"/>
            </w:pPr>
            <w:r>
              <w:t xml:space="preserve">0.17928</w:t>
            </w:r>
          </w:p>
        </w:tc>
        <w:tc>
          <w:tcPr/>
          <w:p>
            <w:pPr>
              <w:pStyle w:val="Compact"/>
              <w:jc w:val="center"/>
            </w:pPr>
            <w:r>
              <w:t xml:space="preserve">[0.17661, 0.1819]</w:t>
            </w:r>
          </w:p>
        </w:tc>
      </w:tr>
      <w:tr>
        <w:tc>
          <w:tcPr/>
          <w:p>
            <w:pPr>
              <w:pStyle w:val="Compact"/>
              <w:jc w:val="center"/>
            </w:pPr>
            <w:r>
              <w:t xml:space="preserve">Heredia</w:t>
            </w:r>
          </w:p>
        </w:tc>
        <w:tc>
          <w:tcPr/>
          <w:p>
            <w:pPr>
              <w:pStyle w:val="Compact"/>
              <w:jc w:val="center"/>
            </w:pPr>
            <w:r>
              <w:t xml:space="preserve">0.15713</w:t>
            </w:r>
          </w:p>
        </w:tc>
        <w:tc>
          <w:tcPr/>
          <w:p>
            <w:pPr>
              <w:pStyle w:val="Compact"/>
              <w:jc w:val="center"/>
            </w:pPr>
            <w:r>
              <w:t xml:space="preserve">[0.15495, 0.15935]</w:t>
            </w:r>
          </w:p>
        </w:tc>
        <w:tc>
          <w:tcPr/>
          <w:p>
            <w:pPr>
              <w:pStyle w:val="Compact"/>
              <w:jc w:val="center"/>
            </w:pPr>
            <w:r>
              <w:t xml:space="preserve">0.21262</w:t>
            </w:r>
          </w:p>
        </w:tc>
        <w:tc>
          <w:tcPr/>
          <w:p>
            <w:pPr>
              <w:pStyle w:val="Compact"/>
              <w:jc w:val="center"/>
            </w:pPr>
            <w:r>
              <w:t xml:space="preserve">[0.21051, 0.21465]</w:t>
            </w:r>
          </w:p>
        </w:tc>
      </w:tr>
      <w:tr>
        <w:tc>
          <w:tcPr/>
          <w:p>
            <w:pPr>
              <w:pStyle w:val="Compact"/>
              <w:jc w:val="center"/>
            </w:pPr>
            <w:r>
              <w:t xml:space="preserve">Santo Domingo</w:t>
            </w:r>
          </w:p>
        </w:tc>
        <w:tc>
          <w:tcPr/>
          <w:p>
            <w:pPr>
              <w:pStyle w:val="Compact"/>
              <w:jc w:val="center"/>
            </w:pPr>
            <w:r>
              <w:t xml:space="preserve">0.15720</w:t>
            </w:r>
          </w:p>
        </w:tc>
        <w:tc>
          <w:tcPr/>
          <w:p>
            <w:pPr>
              <w:pStyle w:val="Compact"/>
              <w:jc w:val="center"/>
            </w:pPr>
            <w:r>
              <w:t xml:space="preserve">[0.15501, 0.15938]</w:t>
            </w:r>
          </w:p>
        </w:tc>
        <w:tc>
          <w:tcPr/>
          <w:p>
            <w:pPr>
              <w:pStyle w:val="Compact"/>
              <w:jc w:val="center"/>
            </w:pPr>
            <w:r>
              <w:t xml:space="preserve">0.21487</w:t>
            </w:r>
          </w:p>
        </w:tc>
        <w:tc>
          <w:tcPr/>
          <w:p>
            <w:pPr>
              <w:pStyle w:val="Compact"/>
              <w:jc w:val="center"/>
            </w:pPr>
            <w:r>
              <w:t xml:space="preserve">[0.21239, 0.2173]</w:t>
            </w:r>
          </w:p>
        </w:tc>
      </w:tr>
      <w:tr>
        <w:tc>
          <w:tcPr/>
          <w:p>
            <w:pPr>
              <w:pStyle w:val="Compact"/>
              <w:jc w:val="center"/>
            </w:pPr>
            <w:r>
              <w:t xml:space="preserve">Moravia</w:t>
            </w:r>
          </w:p>
        </w:tc>
        <w:tc>
          <w:tcPr/>
          <w:p>
            <w:pPr>
              <w:pStyle w:val="Compact"/>
              <w:jc w:val="center"/>
            </w:pPr>
            <w:r>
              <w:t xml:space="preserve">0.15842</w:t>
            </w:r>
          </w:p>
        </w:tc>
        <w:tc>
          <w:tcPr/>
          <w:p>
            <w:pPr>
              <w:pStyle w:val="Compact"/>
              <w:jc w:val="center"/>
            </w:pPr>
            <w:r>
              <w:t xml:space="preserve">[0.15617, 0.16073]</w:t>
            </w:r>
          </w:p>
        </w:tc>
        <w:tc>
          <w:tcPr/>
          <w:p>
            <w:pPr>
              <w:pStyle w:val="Compact"/>
              <w:jc w:val="center"/>
            </w:pPr>
            <w:r>
              <w:t xml:space="preserve">0.21311</w:t>
            </w:r>
          </w:p>
        </w:tc>
        <w:tc>
          <w:tcPr/>
          <w:p>
            <w:pPr>
              <w:pStyle w:val="Compact"/>
              <w:jc w:val="center"/>
            </w:pPr>
            <w:r>
              <w:t xml:space="preserve">[0.21097, 0.2152]</w:t>
            </w:r>
          </w:p>
        </w:tc>
      </w:tr>
      <w:tr>
        <w:tc>
          <w:tcPr/>
          <w:p>
            <w:pPr>
              <w:pStyle w:val="Compact"/>
              <w:jc w:val="center"/>
            </w:pPr>
            <w:r>
              <w:t xml:space="preserve">Belen</w:t>
            </w:r>
          </w:p>
        </w:tc>
        <w:tc>
          <w:tcPr/>
          <w:p>
            <w:pPr>
              <w:pStyle w:val="Compact"/>
              <w:jc w:val="center"/>
            </w:pPr>
            <w:r>
              <w:t xml:space="preserve">0.15857</w:t>
            </w:r>
          </w:p>
        </w:tc>
        <w:tc>
          <w:tcPr/>
          <w:p>
            <w:pPr>
              <w:pStyle w:val="Compact"/>
              <w:jc w:val="center"/>
            </w:pPr>
            <w:r>
              <w:t xml:space="preserve">[0.15622, 0.16087]</w:t>
            </w:r>
          </w:p>
        </w:tc>
        <w:tc>
          <w:tcPr/>
          <w:p>
            <w:pPr>
              <w:pStyle w:val="Compact"/>
              <w:jc w:val="center"/>
            </w:pPr>
            <w:r>
              <w:t xml:space="preserve">0.21879</w:t>
            </w:r>
          </w:p>
        </w:tc>
        <w:tc>
          <w:tcPr/>
          <w:p>
            <w:pPr>
              <w:pStyle w:val="Compact"/>
              <w:jc w:val="center"/>
            </w:pPr>
            <w:r>
              <w:t xml:space="preserve">[0.21605, 0.22153]</w:t>
            </w:r>
          </w:p>
        </w:tc>
      </w:tr>
      <w:tr>
        <w:tc>
          <w:tcPr/>
          <w:p>
            <w:pPr>
              <w:pStyle w:val="Compact"/>
              <w:jc w:val="center"/>
            </w:pPr>
            <w:r>
              <w:t xml:space="preserve">Montes De Oca</w:t>
            </w:r>
          </w:p>
        </w:tc>
        <w:tc>
          <w:tcPr/>
          <w:p>
            <w:pPr>
              <w:pStyle w:val="Compact"/>
              <w:jc w:val="center"/>
            </w:pPr>
            <w:r>
              <w:t xml:space="preserve">0.16897</w:t>
            </w:r>
          </w:p>
        </w:tc>
        <w:tc>
          <w:tcPr/>
          <w:p>
            <w:pPr>
              <w:pStyle w:val="Compact"/>
              <w:jc w:val="center"/>
            </w:pPr>
            <w:r>
              <w:t xml:space="preserve">[0.16519, 0.17287]</w:t>
            </w:r>
          </w:p>
        </w:tc>
        <w:tc>
          <w:tcPr/>
          <w:p>
            <w:pPr>
              <w:pStyle w:val="Compact"/>
              <w:jc w:val="center"/>
            </w:pPr>
            <w:r>
              <w:t xml:space="preserve">0.22065</w:t>
            </w:r>
          </w:p>
        </w:tc>
        <w:tc>
          <w:tcPr/>
          <w:p>
            <w:pPr>
              <w:pStyle w:val="Compact"/>
              <w:jc w:val="center"/>
            </w:pPr>
            <w:r>
              <w:t xml:space="preserve">[0.2171, 0.22418]</w:t>
            </w:r>
          </w:p>
        </w:tc>
      </w:tr>
    </w:tbl>
    <w:p>
      <w:pPr>
        <w:pStyle w:val="BodyText"/>
      </w:pPr>
      <w:r>
        <w:t xml:space="preserve">Estos hallazgos coinciden con los resultados del análisis espacial bayesiano de</w:t>
      </w:r>
      <w:r>
        <w:t xml:space="preserve"> </w:t>
      </w:r>
      <w:hyperlink w:anchor="ref-Gomez2023">
        <w:r>
          <w:rPr>
            <w:rStyle w:val="Hyperlink"/>
          </w:rPr>
          <w:t xml:space="preserve">Gómez et al.</w:t>
        </w:r>
      </w:hyperlink>
      <w:r>
        <w:t xml:space="preserve"> </w:t>
      </w:r>
      <w:r>
        <w:t xml:space="preserve">(</w:t>
      </w:r>
      <w:hyperlink w:anchor="ref-Gomez2023">
        <w:r>
          <w:rPr>
            <w:rStyle w:val="Hyperlink"/>
          </w:rPr>
          <w:t xml:space="preserve">2023</w:t>
        </w:r>
      </w:hyperlink>
      <w:r>
        <w:t xml:space="preserve">)</w:t>
      </w:r>
      <w:r>
        <w:t xml:space="preserve">, quienes observaron que</w:t>
      </w:r>
      <w:r>
        <w:t xml:space="preserve"> </w:t>
      </w:r>
      <w:r>
        <w:t xml:space="preserve">“</w:t>
      </w:r>
      <w:r>
        <w:t xml:space="preserve">las prevalencias más altas de sobrepeso y obesidad infantil se concentran en el Valle Central, en distritos cabecera de provincia y en zonas urbanizadas de mayor desarrollo económico</w:t>
      </w:r>
      <w:r>
        <w:t xml:space="preserve">”</w:t>
      </w:r>
      <w:r>
        <w:t xml:space="preserve">. Esta coherencia espacial reafirma que las condiciones urbanas y socioeconómicas más favorables, lejos de representar un factor protector, se asocian con mayores tasas de exceso de peso en las etapas iniciales de la transición nutricional.</w:t>
      </w:r>
      <w:r>
        <w:t xml:space="preserve"> </w:t>
      </w:r>
      <w:hyperlink w:anchor="ref-Hernandez2016">
        <w:r>
          <w:rPr>
            <w:rStyle w:val="Hyperlink"/>
          </w:rPr>
          <w:t xml:space="preserve">Hernández-Vásquez et al.</w:t>
        </w:r>
      </w:hyperlink>
      <w:r>
        <w:t xml:space="preserve"> </w:t>
      </w:r>
      <w:r>
        <w:t xml:space="preserve">(</w:t>
      </w:r>
      <w:hyperlink w:anchor="ref-Hernandez2016">
        <w:r>
          <w:rPr>
            <w:rStyle w:val="Hyperlink"/>
          </w:rPr>
          <w:t xml:space="preserve">2016</w:t>
        </w:r>
      </w:hyperlink>
      <w:r>
        <w:t xml:space="preserve">)</w:t>
      </w:r>
      <w:r>
        <w:t xml:space="preserve"> </w:t>
      </w:r>
      <w:r>
        <w:t xml:space="preserve">observaron un fenómeno análogo en Perú, al documentar que</w:t>
      </w:r>
      <w:r>
        <w:t xml:space="preserve"> </w:t>
      </w:r>
      <w:r>
        <w:t xml:space="preserve">“</w:t>
      </w:r>
      <w:r>
        <w:t xml:space="preserve">la obesidad infantil predomina en las zonas urbanas y la región costera del país, mientras que las regiones andinas y amazónicas registran prevalencias significativamente menores</w:t>
      </w:r>
      <w:r>
        <w:t xml:space="preserve">”</w:t>
      </w:r>
      <w:r>
        <w:t xml:space="preserve">. La similitud entre ambos países, pese a sus diferencias contextuales, refuerza la noción de que el exceso de peso infantil tiende a concentrarse en territorios con mayor desarrollo económico y urbano, en parte debido al acceso a alimentos ultraprocesados, al incremento del sedentarismo y a la reconfiguración de los entornos alimentarios.</w:t>
      </w:r>
    </w:p>
    <w:p>
      <w:pPr>
        <w:pStyle w:val="BodyText"/>
      </w:pPr>
      <w:r>
        <w:t xml:space="preserve">A nivel global, los resultados nacionales obtenidos aquí se sitúan dentro del rango descrito por la evidencia más reciente.</w:t>
      </w:r>
      <w:r>
        <w:t xml:space="preserve"> </w:t>
      </w:r>
      <w:hyperlink w:anchor="ref-GBD2025">
        <w:r>
          <w:rPr>
            <w:rStyle w:val="Hyperlink"/>
          </w:rPr>
          <w:t xml:space="preserve">GBD 2025 Collaborators</w:t>
        </w:r>
      </w:hyperlink>
      <w:r>
        <w:t xml:space="preserve"> </w:t>
      </w:r>
      <w:r>
        <w:t xml:space="preserve">(</w:t>
      </w:r>
      <w:hyperlink w:anchor="ref-GBD2025">
        <w:r>
          <w:rPr>
            <w:rStyle w:val="Hyperlink"/>
          </w:rPr>
          <w:t xml:space="preserve">2025</w:t>
        </w:r>
      </w:hyperlink>
      <w:r>
        <w:t xml:space="preserve">)</w:t>
      </w:r>
      <w:r>
        <w:t xml:space="preserve"> </w:t>
      </w:r>
      <w:r>
        <w:t xml:space="preserve">reportaron que</w:t>
      </w:r>
      <w:r>
        <w:t xml:space="preserve"> </w:t>
      </w:r>
      <w:r>
        <w:t xml:space="preserve">“</w:t>
      </w:r>
      <w:r>
        <w:t xml:space="preserve">the global prevalence of overweight and obesity among children and adolescents doubled between 1990 and 2021, with obesity alone tripling during that period</w:t>
      </w:r>
      <w:r>
        <w:t xml:space="preserve">”</w:t>
      </w:r>
      <w:r>
        <w:t xml:space="preserve">. Esa misma fuente proyecta que</w:t>
      </w:r>
      <w:r>
        <w:t xml:space="preserve"> </w:t>
      </w:r>
      <w:r>
        <w:t xml:space="preserve">“</w:t>
      </w:r>
      <w:r>
        <w:t xml:space="preserve">by 2050, approximately 15% of younger children (5–14) and 14% of older adolescents (15–24) worldwide will have obesity</w:t>
      </w:r>
      <w:r>
        <w:t xml:space="preserve">”</w:t>
      </w:r>
      <w:r>
        <w:t xml:space="preserve">. En comparación, la prevalencia nacional de obesidad infantil en Costa Rica (14%) coincide exactamente con la estimación global proyectada, lo cual indica que el país se encuentra en plena convergencia con las tendencias internacionales.</w:t>
      </w:r>
    </w:p>
    <w:p>
      <w:pPr>
        <w:pStyle w:val="BodyText"/>
      </w:pPr>
      <w:r>
        <w:t xml:space="preserve">La</w:t>
      </w:r>
      <w:r>
        <w:t xml:space="preserve"> </w:t>
      </w:r>
      <w:hyperlink w:anchor="ref-WorldObesity2023">
        <w:r>
          <w:rPr>
            <w:rStyle w:val="Hyperlink"/>
          </w:rPr>
          <w:t xml:space="preserve">World Obesity Federation</w:t>
        </w:r>
      </w:hyperlink>
      <w:r>
        <w:t xml:space="preserve"> </w:t>
      </w:r>
      <w:r>
        <w:t xml:space="preserve">(</w:t>
      </w:r>
      <w:hyperlink w:anchor="ref-WorldObesity2023">
        <w:r>
          <w:rPr>
            <w:rStyle w:val="Hyperlink"/>
          </w:rPr>
          <w:t xml:space="preserve">2023</w:t>
        </w:r>
      </w:hyperlink>
      <w:r>
        <w:t xml:space="preserve">)</w:t>
      </w:r>
      <w:r>
        <w:t xml:space="preserve">, por su parte, advierte que</w:t>
      </w:r>
      <w:r>
        <w:t xml:space="preserve"> </w:t>
      </w:r>
      <w:r>
        <w:t xml:space="preserve">“</w:t>
      </w:r>
      <w:r>
        <w:t xml:space="preserve">childhood obesity could double from 2020 levels by 2035, reaching nearly 400 million children globally</w:t>
      </w:r>
      <w:r>
        <w:t xml:space="preserve">”</w:t>
      </w:r>
      <w:r>
        <w:t xml:space="preserve">, lo que enmarca las cifras nacionales dentro de una tendencia mundial en expansión. Del mismo modo,</w:t>
      </w:r>
      <w:r>
        <w:t xml:space="preserve"> </w:t>
      </w:r>
      <w:hyperlink w:anchor="ref-Zhang2024">
        <w:r>
          <w:rPr>
            <w:rStyle w:val="Hyperlink"/>
          </w:rPr>
          <w:t xml:space="preserve">Zhang et al.</w:t>
        </w:r>
      </w:hyperlink>
      <w:r>
        <w:t xml:space="preserve"> </w:t>
      </w:r>
      <w:r>
        <w:t xml:space="preserve">(</w:t>
      </w:r>
      <w:hyperlink w:anchor="ref-Zhang2024">
        <w:r>
          <w:rPr>
            <w:rStyle w:val="Hyperlink"/>
          </w:rPr>
          <w:t xml:space="preserve">2024</w:t>
        </w:r>
      </w:hyperlink>
      <w:r>
        <w:t xml:space="preserve">)</w:t>
      </w:r>
      <w:r>
        <w:t xml:space="preserve"> </w:t>
      </w:r>
      <w:r>
        <w:t xml:space="preserve">subrayan que</w:t>
      </w:r>
      <w:r>
        <w:t xml:space="preserve"> </w:t>
      </w:r>
      <w:r>
        <w:t xml:space="preserve">“</w:t>
      </w:r>
      <w:r>
        <w:t xml:space="preserve">approximately one in five children and adolescents worldwide are now overweight or obese, a prevalence driven by combined behavioral, environmental, and socioeconomic factors</w:t>
      </w:r>
      <w:r>
        <w:t xml:space="preserve">”</w:t>
      </w:r>
      <w:r>
        <w:t xml:space="preserve">. Los resultados del presente estudio, que sitúan el sobrepeso en torno al 20%, reproducen con notable exactitud esa proporción, evidenciando la vigencia de los determinantes globales en el contexto costarricense.</w:t>
      </w:r>
    </w:p>
    <w:p>
      <w:pPr>
        <w:pStyle w:val="BodyText"/>
      </w:pPr>
      <w:r>
        <w:t xml:space="preserve">A nivel institucional, las interpretaciones coinciden. La</w:t>
      </w:r>
      <w:r>
        <w:t xml:space="preserve"> </w:t>
      </w:r>
      <w:hyperlink w:anchor="ref-WHO2025">
        <w:r>
          <w:rPr>
            <w:rStyle w:val="Hyperlink"/>
          </w:rPr>
          <w:t xml:space="preserve">World Health Organization</w:t>
        </w:r>
      </w:hyperlink>
      <w:r>
        <w:t xml:space="preserve"> </w:t>
      </w:r>
      <w:r>
        <w:t xml:space="preserve">(</w:t>
      </w:r>
      <w:hyperlink w:anchor="ref-WHO2025">
        <w:r>
          <w:rPr>
            <w:rStyle w:val="Hyperlink"/>
          </w:rPr>
          <w:t xml:space="preserve">2025</w:t>
        </w:r>
      </w:hyperlink>
      <w:r>
        <w:t xml:space="preserve">)</w:t>
      </w:r>
      <w:r>
        <w:t xml:space="preserve"> </w:t>
      </w:r>
      <w:r>
        <w:t xml:space="preserve">enfatiza que</w:t>
      </w:r>
      <w:r>
        <w:t xml:space="preserve"> </w:t>
      </w:r>
      <w:r>
        <w:t xml:space="preserve">“</w:t>
      </w:r>
      <w:r>
        <w:t xml:space="preserve">the fundamental cause of obesity and overweight is an energy imbalance between calories consumed and calories expended</w:t>
      </w:r>
      <w:r>
        <w:t xml:space="preserve">”</w:t>
      </w:r>
      <w:r>
        <w:t xml:space="preserve">, una definición que engloba la interacción entre dieta, actividad física y entorno urbano. Por su parte,</w:t>
      </w:r>
      <w:r>
        <w:t xml:space="preserve"> </w:t>
      </w:r>
      <w:hyperlink w:anchor="ref-UNICEF2023">
        <w:r>
          <w:rPr>
            <w:rStyle w:val="Hyperlink"/>
          </w:rPr>
          <w:t xml:space="preserve">United Nations Children’s Fund</w:t>
        </w:r>
      </w:hyperlink>
      <w:r>
        <w:t xml:space="preserve"> </w:t>
      </w:r>
      <w:r>
        <w:t xml:space="preserve">(</w:t>
      </w:r>
      <w:hyperlink w:anchor="ref-UNICEF2023">
        <w:r>
          <w:rPr>
            <w:rStyle w:val="Hyperlink"/>
          </w:rPr>
          <w:t xml:space="preserve">2023</w:t>
        </w:r>
      </w:hyperlink>
      <w:r>
        <w:t xml:space="preserve">)</w:t>
      </w:r>
      <w:r>
        <w:t xml:space="preserve"> </w:t>
      </w:r>
      <w:r>
        <w:t xml:space="preserve">describe la actual situación como</w:t>
      </w:r>
      <w:r>
        <w:t xml:space="preserve"> </w:t>
      </w:r>
      <w:r>
        <w:t xml:space="preserve">“</w:t>
      </w:r>
      <w:r>
        <w:t xml:space="preserve">a global trap of unhealthy, ultra-processed foods combined with declining physical activity among children</w:t>
      </w:r>
      <w:r>
        <w:t xml:space="preserve">”</w:t>
      </w:r>
      <w:r>
        <w:t xml:space="preserve">, alertando sobre el papel del entorno alimentario industrializado. La convergencia de estas explicaciones con la distribución espacial de los resultados —prevalencias mayores en provincias urbanas y menores en costeras— sugiere que los procesos de urbanización y modernización alimentaria costarricenses han replicado las condiciones de ese</w:t>
      </w:r>
      <w:r>
        <w:t xml:space="preserve"> </w:t>
      </w:r>
      <w:r>
        <w:t xml:space="preserve">“</w:t>
      </w:r>
      <w:r>
        <w:t xml:space="preserve">trampa</w:t>
      </w:r>
      <w:r>
        <w:t xml:space="preserve">”</w:t>
      </w:r>
      <w:r>
        <w:t xml:space="preserve"> </w:t>
      </w:r>
      <w:r>
        <w:t xml:space="preserve">descrita anteriormente, especialmente en el área metropolitana central.</w:t>
      </w:r>
    </w:p>
    <w:p>
      <w:pPr>
        <w:pStyle w:val="BodyText"/>
      </w:pPr>
      <w:r>
        <w:t xml:space="preserve">Desde un punto de vista demográfico, los resultados revelan que la prevalencia combinada (sobrepeso + obesidad) ronda el 34%, lo que coloca a Costa Rica por encima del promedio latinoamericano y muy cerca de la media observada en países de la OCDE. El informe del</w:t>
      </w:r>
      <w:r>
        <w:t xml:space="preserve"> </w:t>
      </w:r>
      <w:hyperlink w:anchor="ref-CDC2022">
        <w:r>
          <w:rPr>
            <w:rStyle w:val="Hyperlink"/>
          </w:rPr>
          <w:t xml:space="preserve">Centers for Disease Control and Prevention</w:t>
        </w:r>
      </w:hyperlink>
      <w:r>
        <w:t xml:space="preserve"> </w:t>
      </w:r>
      <w:r>
        <w:t xml:space="preserve">(</w:t>
      </w:r>
      <w:hyperlink w:anchor="ref-CDC2022">
        <w:r>
          <w:rPr>
            <w:rStyle w:val="Hyperlink"/>
          </w:rPr>
          <w:t xml:space="preserve">2022</w:t>
        </w:r>
      </w:hyperlink>
      <w:r>
        <w:t xml:space="preserve">)</w:t>
      </w:r>
      <w:r>
        <w:t xml:space="preserve"> </w:t>
      </w:r>
      <w:r>
        <w:t xml:space="preserve">informa que</w:t>
      </w:r>
      <w:r>
        <w:t xml:space="preserve"> </w:t>
      </w:r>
      <w:r>
        <w:t xml:space="preserve">“</w:t>
      </w:r>
      <w:r>
        <w:t xml:space="preserve">in the United States, the prevalence of obesity among children and adolescents aged 2–19 years was 19.7% in 2017–2020</w:t>
      </w:r>
      <w:r>
        <w:t xml:space="preserve">”</w:t>
      </w:r>
      <w:r>
        <w:t xml:space="preserve">, una cifra similar a la obtenida en nuestro estudio para obesidad infantil (14%). A pesar de las diferencias estructurales entre países, esta coincidencia cuantitativa sugiere que Costa Rica enfrenta un desafío sanitario comparable al de naciones desarrolladas, pero con recursos y capacidades institucionales más limitadas. En este sentido, los hallazgos se suman a la preocupación expresada por la OMS cuando advierte que</w:t>
      </w:r>
      <w:r>
        <w:t xml:space="preserve"> </w:t>
      </w:r>
      <w:r>
        <w:t xml:space="preserve">“</w:t>
      </w:r>
      <w:r>
        <w:t xml:space="preserve">without intervention, the prevalence of obesity will continue to rise, leading to severe health and economic consequences</w:t>
      </w:r>
      <w:r>
        <w:t xml:space="preserve">”</w:t>
      </w:r>
      <w:r>
        <w:t xml:space="preserve"> </w:t>
      </w:r>
      <w:hyperlink w:anchor="ref-WHO2025">
        <w:r>
          <w:rPr>
            <w:rStyle w:val="Hyperlink"/>
          </w:rPr>
          <w:t xml:space="preserve">World Health Organization</w:t>
        </w:r>
      </w:hyperlink>
      <w:r>
        <w:t xml:space="preserve"> </w:t>
      </w:r>
      <w:r>
        <w:t xml:space="preserve">(</w:t>
      </w:r>
      <w:hyperlink w:anchor="ref-WHO2025">
        <w:r>
          <w:rPr>
            <w:rStyle w:val="Hyperlink"/>
          </w:rPr>
          <w:t xml:space="preserve">2025</w:t>
        </w:r>
      </w:hyperlink>
      <w:r>
        <w:t xml:space="preserve">)</w:t>
      </w:r>
      <w:r>
        <w:t xml:space="preserve">.</w:t>
      </w:r>
    </w:p>
    <w:p>
      <w:pPr>
        <w:pStyle w:val="BodyText"/>
      </w:pPr>
      <w:r>
        <w:t xml:space="preserve">Si bien los resultados principales se refieren a la prevalencia provincial, el análisis posterior del modelo permite identificar consistencia interna entre sobrepeso y obesidad: las provincias con mayor sobrepeso tienden también a mostrar mayor obesidad, lo que evidencia la continuidad epidemiológica entre ambas condiciones. Esta continuidad es coherente con lo descrito por</w:t>
      </w:r>
      <w:r>
        <w:t xml:space="preserve"> </w:t>
      </w:r>
      <w:hyperlink w:anchor="ref-GBD2025">
        <w:r>
          <w:rPr>
            <w:rStyle w:val="Hyperlink"/>
          </w:rPr>
          <w:t xml:space="preserve">GBD 2025 Collaborators</w:t>
        </w:r>
      </w:hyperlink>
      <w:r>
        <w:t xml:space="preserve"> </w:t>
      </w:r>
      <w:r>
        <w:t xml:space="preserve">(</w:t>
      </w:r>
      <w:hyperlink w:anchor="ref-GBD2025">
        <w:r>
          <w:rPr>
            <w:rStyle w:val="Hyperlink"/>
          </w:rPr>
          <w:t xml:space="preserve">2025</w:t>
        </w:r>
      </w:hyperlink>
      <w:r>
        <w:t xml:space="preserve">)</w:t>
      </w:r>
      <w:r>
        <w:t xml:space="preserve">, donde se advierte que</w:t>
      </w:r>
      <w:r>
        <w:t xml:space="preserve"> </w:t>
      </w:r>
      <w:r>
        <w:t xml:space="preserve">“</w:t>
      </w:r>
      <w:r>
        <w:t xml:space="preserve">overweight in childhood frequently tracks into adult obesity, amplifying the long-term disease burden</w:t>
      </w:r>
      <w:r>
        <w:t xml:space="preserve">”</w:t>
      </w:r>
      <w:r>
        <w:t xml:space="preserve">. En este sentido, las estimaciones provinciales aquí presentadas no solo reflejan un estado actual, sino también el potencial acumulativo de riesgo futuro para la salud de la población infantil costarricense.</w:t>
      </w:r>
    </w:p>
    <w:p>
      <w:pPr>
        <w:pStyle w:val="BodyText"/>
      </w:pPr>
      <w:r>
        <w:t xml:space="preserve">Finalmente, el conjunto de resultados obtenidos permite delinear un panorama coherente sobre la distribución territorial y la magnitud del exceso de peso infantil en Costa Rica, mostrando cómo los patrones nacionales, provinciales y cantonales convergen con las tendencias regionales y globales descritas por la literatura. Esta coherencia interna y externa refuerza la solidez del modelo utilizado y prepara el terreno para, en el siguiente apartado, discutir las implicaciones prácticas y las orientaciones que pueden derivarse de estos hallazgos para la formulación de políticas públicas y acciones de salud preventiva.</w:t>
      </w:r>
    </w:p>
    <w:bookmarkEnd w:id="32"/>
    <w:bookmarkStart w:id="33" w:name="conclusiones-y-recomendaciones"/>
    <w:p>
      <w:pPr>
        <w:pStyle w:val="Heading1"/>
      </w:pPr>
      <w:r>
        <w:t xml:space="preserve">Conclusiones y recomendaciones</w:t>
      </w:r>
    </w:p>
    <w:p>
      <w:pPr>
        <w:pStyle w:val="FirstParagraph"/>
      </w:pPr>
      <w:r>
        <w:t xml:space="preserve">Los resultados de este estudio muestran que el exceso de peso infantil en Costa Rica es un problema de gran magnitud y con un patrón territorial claramente diferenciado. La prevalencia combinada cercana al 34 % ubica al país por encima del promedio latinoamericano y en niveles comparables a los de países de ingresos altos, lo que confirma que la transición nutricional costarricense presenta características avanzadas. Además, el gradiente centro–periferia identificado —con valores más altos en el Valle Central y menores en las zonas costeras y fronterizas— indica que el fenómeno no es uniforme, sino profundamente influido por factores urbanos, socioeconómicos y ambientales. Esta coherencia con estudios previos nacionales e internacionales refuerza la interpretación de que el exceso de peso infantil se concentra en territorios más urbanizados, donde la disponibilidad de alimentos ultraprocesados, los cambios en los patrones de movilidad y el sedentarismo desempeñan un papel cada vez más relevante.</w:t>
      </w:r>
    </w:p>
    <w:p>
      <w:pPr>
        <w:pStyle w:val="BodyText"/>
      </w:pPr>
      <w:r>
        <w:t xml:space="preserve">Metodológicamente, el modelo logit–binomial ajustado mediante NUTS mostró buena convergencia y estabilidad en sus estimaciones, lo que respalda la confiabilidad de los resultados a nivel nacional, provincial y cantonal. No obstante, este enfoque presenta limitaciones importantes que deben ser reconocidas. En primer lugar, los datos utilizados corresponden únicamente al año 2016, por lo que el estudio no permite evaluar tendencias temporales ni posibles cambios recientes. En segundo lugar, el modelo no incorpora una estructura espacial jerárquica que capture dependencias territoriales residuales, por lo que parte de la variabilidad geográfica podría no estar completamente representada. También es necesario señalar que las covariables disponibles no reflejan dimensiones clave como la calidad del entorno alimentario, la infraestructura urbana o los niveles reales de actividad física en cada distrito, factores que podrían complementar y profundizar la explicación del fenómeno. Finalmente, dado que el análisis es ecológico, las inferencias se realizan a nivel territorial y no individual, por lo que no es posible establecer relaciones causales directas entre las características sociodemográficas y el estado nutricional de cada niño.</w:t>
      </w:r>
    </w:p>
    <w:p>
      <w:pPr>
        <w:pStyle w:val="BodyText"/>
      </w:pPr>
      <w:r>
        <w:t xml:space="preserve">Aun con estas limitaciones, los hallazgos ofrecen una base sólida para orientar intervenciones públicas. Se recomienda priorizar acciones en cantones del Gran Área Metropolitana, donde las prevalencias son sistemáticamente más altas, mediante la mejora del entorno alimentario escolar, la regulación de productos ultraprocesados, la promoción de actividad física y la creación de espacios seguros para la movilidad activa. Al mismo tiempo, es importante mantener la vigilancia epidemiológica en zonas costeras y periféricas para evitar que las brechas territoriales se amplíen en el futuro. Asimismo, se sugiere fortalecer los sistemas de monitoreo nutricional y actualizar periódicamente análisis bayesianos como el desarrollado en este estudio, de modo que el país pueda disponer de estimaciones actualizadas para evaluar la efectividad de las políticas implementadas.</w:t>
      </w:r>
    </w:p>
    <w:p>
      <w:pPr>
        <w:pStyle w:val="BodyText"/>
      </w:pPr>
      <w:r>
        <w:t xml:space="preserve">En conjunto, esta investigación evidencia que Costa Rica enfrenta un desafío nutricional relevante y complejo, pero también que cuenta con información robusta para diseñar estrategias basadas en evidencia que contribuyan a frenar el avance del sobrepeso y la obesidad infantil en los próximos años.</w:t>
      </w:r>
    </w:p>
    <w:bookmarkEnd w:id="33"/>
    <w:bookmarkStart w:id="34" w:name="agradecimientos"/>
    <w:p>
      <w:pPr>
        <w:pStyle w:val="Heading1"/>
      </w:pPr>
      <w:r>
        <w:t xml:space="preserve">Agradecimientos</w:t>
      </w:r>
    </w:p>
    <w:p>
      <w:pPr>
        <w:pStyle w:val="FirstParagraph"/>
      </w:pPr>
      <w:r>
        <w:t xml:space="preserve">Se agradece profundamente a nuestro profesor, PhD. Maikol Solís, por su orientación y apoyo durante todo el proceso de investigación. Su guía y consejos fueron fundamentales para que la realización de nuestro proyecto fuera posible. Estamos muy agradecidos por su dedicación, paciencia y tiempo brindado.</w:t>
      </w:r>
    </w:p>
    <w:p>
      <w:r>
        <w:br w:type="page"/>
      </w:r>
    </w:p>
    <w:bookmarkEnd w:id="34"/>
    <w:bookmarkStart w:id="66" w:name="bibliografía"/>
    <w:p>
      <w:pPr>
        <w:pStyle w:val="Heading1"/>
      </w:pPr>
      <w:r>
        <w:t xml:space="preserve">Bibliografía</w:t>
      </w:r>
    </w:p>
    <w:bookmarkStart w:id="65" w:name="refs"/>
    <w:bookmarkStart w:id="36" w:name="ref-CensoEscolar2016"/>
    <w:p>
      <w:pPr>
        <w:pStyle w:val="Bibliography"/>
      </w:pPr>
      <w:r>
        <w:t xml:space="preserve">Censo Escolar Peso-Talla 2016. (2016).</w:t>
      </w:r>
      <w:r>
        <w:t xml:space="preserve"> </w:t>
      </w:r>
      <w:r>
        <w:rPr>
          <w:iCs/>
          <w:i/>
        </w:rPr>
        <w:t xml:space="preserve">Censo escolar peso-talla, Costa Rica 2016. Informe ejecutivo y resultados</w:t>
      </w:r>
      <w:r>
        <w:t xml:space="preserve">.</w:t>
      </w:r>
      <w:r>
        <w:t xml:space="preserve"> </w:t>
      </w:r>
      <w:hyperlink r:id="rId35">
        <w:r>
          <w:rPr>
            <w:rStyle w:val="Hyperlink"/>
          </w:rPr>
          <w:t xml:space="preserve">https://www.binasss.sa.cr/opac-ms/media/digitales/Censo%20escolar%20peso-talla,%20Costa%20Rica%202016.%20Informe%20ejecutivo%20y%20resultados.pdf</w:t>
        </w:r>
      </w:hyperlink>
      <w:r>
        <w:t xml:space="preserve">.</w:t>
      </w:r>
    </w:p>
    <w:bookmarkEnd w:id="36"/>
    <w:bookmarkStart w:id="37" w:name="ref-CDC2022"/>
    <w:p>
      <w:pPr>
        <w:pStyle w:val="Bibliography"/>
      </w:pPr>
      <w:r>
        <w:t xml:space="preserve">Centers for Disease Control and Prevention. (2022).</w:t>
      </w:r>
      <w:r>
        <w:t xml:space="preserve"> </w:t>
      </w:r>
      <w:r>
        <w:rPr>
          <w:iCs/>
          <w:i/>
        </w:rPr>
        <w:t xml:space="preserve">Childhood Obesity Facts</w:t>
      </w:r>
      <w:r>
        <w:t xml:space="preserve">.</w:t>
      </w:r>
    </w:p>
    <w:bookmarkEnd w:id="37"/>
    <w:bookmarkStart w:id="39" w:name="ref-Gamboa2021"/>
    <w:p>
      <w:pPr>
        <w:pStyle w:val="Bibliography"/>
      </w:pPr>
      <w:r>
        <w:t xml:space="preserve">Gamboa-Gamboa, T., Fantin, R., Cordoba, J., Caravaca, I., &amp; Gómez-Duarte, I. (2021). Relationship between childhood obesity and socio-economic status among primary school children in Costa Rica.</w:t>
      </w:r>
      <w:r>
        <w:t xml:space="preserve"> </w:t>
      </w:r>
      <w:r>
        <w:rPr>
          <w:iCs/>
          <w:i/>
        </w:rPr>
        <w:t xml:space="preserve">Public Health Nutrition</w:t>
      </w:r>
      <w:r>
        <w:t xml:space="preserve">,</w:t>
      </w:r>
      <w:r>
        <w:t xml:space="preserve"> </w:t>
      </w:r>
      <w:r>
        <w:rPr>
          <w:iCs/>
          <w:i/>
        </w:rPr>
        <w:t xml:space="preserve">24</w:t>
      </w:r>
      <w:r>
        <w:t xml:space="preserve">(12), 3825-3833.</w:t>
      </w:r>
      <w:r>
        <w:t xml:space="preserve"> </w:t>
      </w:r>
      <w:hyperlink r:id="rId38">
        <w:r>
          <w:rPr>
            <w:rStyle w:val="Hyperlink"/>
          </w:rPr>
          <w:t xml:space="preserve">https://doi.org/10.1017/S1368980021002032</w:t>
        </w:r>
      </w:hyperlink>
    </w:p>
    <w:bookmarkEnd w:id="39"/>
    <w:bookmarkStart w:id="41" w:name="ref-GBD2025"/>
    <w:p>
      <w:pPr>
        <w:pStyle w:val="Bibliography"/>
      </w:pPr>
      <w:r>
        <w:t xml:space="preserve">GBD 2025 Collaborators. (2025). Global Prevalence of Child and Adolescent Overweight and Obesity, 1990–2021, with Forecasts to 2050.</w:t>
      </w:r>
      <w:r>
        <w:t xml:space="preserve"> </w:t>
      </w:r>
      <w:r>
        <w:rPr>
          <w:iCs/>
          <w:i/>
        </w:rPr>
        <w:t xml:space="preserve">The Lancet</w:t>
      </w:r>
      <w:r>
        <w:t xml:space="preserve">,</w:t>
      </w:r>
      <w:r>
        <w:t xml:space="preserve"> </w:t>
      </w:r>
      <w:r>
        <w:rPr>
          <w:iCs/>
          <w:i/>
        </w:rPr>
        <w:t xml:space="preserve">405</w:t>
      </w:r>
      <w:r>
        <w:t xml:space="preserve">(10345), 1-12.</w:t>
      </w:r>
      <w:r>
        <w:t xml:space="preserve"> </w:t>
      </w:r>
      <w:hyperlink r:id="rId40">
        <w:r>
          <w:rPr>
            <w:rStyle w:val="Hyperlink"/>
          </w:rPr>
          <w:t xml:space="preserve">https://doi.org/10.1016/s0140-6736(25)00397-6</w:t>
        </w:r>
      </w:hyperlink>
    </w:p>
    <w:bookmarkEnd w:id="41"/>
    <w:bookmarkStart w:id="43" w:name="ref-Gelfand2010Handbook"/>
    <w:p>
      <w:pPr>
        <w:pStyle w:val="Bibliography"/>
      </w:pPr>
      <w:r>
        <w:t xml:space="preserve">Gelfand, A. E., Diggle, P. J., Guttorp, P., &amp; Fuentes, M. (Eds.). (2010).</w:t>
      </w:r>
      <w:r>
        <w:t xml:space="preserve"> </w:t>
      </w:r>
      <w:r>
        <w:rPr>
          <w:iCs/>
          <w:i/>
        </w:rPr>
        <w:t xml:space="preserve">Handbook of Spatial Statistics</w:t>
      </w:r>
      <w:r>
        <w:t xml:space="preserve">. Chapman &amp; Hall/CRC.</w:t>
      </w:r>
      <w:r>
        <w:t xml:space="preserve"> </w:t>
      </w:r>
      <w:hyperlink r:id="rId42">
        <w:r>
          <w:rPr>
            <w:rStyle w:val="Hyperlink"/>
          </w:rPr>
          <w:t xml:space="preserve">https://doi.org/10.1201/9781420072884</w:t>
        </w:r>
      </w:hyperlink>
    </w:p>
    <w:bookmarkEnd w:id="43"/>
    <w:bookmarkStart w:id="45" w:name="ref-Gomez2023"/>
    <w:p>
      <w:pPr>
        <w:pStyle w:val="Bibliography"/>
      </w:pPr>
      <w:r>
        <w:t xml:space="preserve">Gómez, M. J., Barboza, L. A., Vásquez, P., &amp; Moraga, P. (2023). Bayesian spatial modeling of childhood overweight and obesity prevalence in Costa Rica.</w:t>
      </w:r>
      <w:r>
        <w:t xml:space="preserve"> </w:t>
      </w:r>
      <w:r>
        <w:rPr>
          <w:iCs/>
          <w:i/>
        </w:rPr>
        <w:t xml:space="preserve">BMC Public Health</w:t>
      </w:r>
      <w:r>
        <w:t xml:space="preserve">,</w:t>
      </w:r>
      <w:r>
        <w:t xml:space="preserve"> </w:t>
      </w:r>
      <w:r>
        <w:rPr>
          <w:iCs/>
          <w:i/>
        </w:rPr>
        <w:t xml:space="preserve">23</w:t>
      </w:r>
      <w:r>
        <w:t xml:space="preserve">(1).</w:t>
      </w:r>
      <w:r>
        <w:t xml:space="preserve"> </w:t>
      </w:r>
      <w:hyperlink r:id="rId44">
        <w:r>
          <w:rPr>
            <w:rStyle w:val="Hyperlink"/>
          </w:rPr>
          <w:t xml:space="preserve">https://doi.org/10.1186/s12889-023-15486-1</w:t>
        </w:r>
      </w:hyperlink>
    </w:p>
    <w:bookmarkEnd w:id="45"/>
    <w:bookmarkStart w:id="47" w:name="ref-Hernandez2016"/>
    <w:p>
      <w:pPr>
        <w:pStyle w:val="Bibliography"/>
      </w:pPr>
      <w:r>
        <w:t xml:space="preserve">Hernández-Vásquez, A., Bendezú-Quispe, G., Díaz-Seijas, D., Santero, M., Minckas, N., Azañedo, D., &amp; Antiporta, D. A. (2016). Análisis espacial del sobrepeso y la obesidad infantil en el Perú, 2014 [Spatial analysis of childhood obesity and overweight in Peru, 2014].</w:t>
      </w:r>
      <w:r>
        <w:t xml:space="preserve"> </w:t>
      </w:r>
      <w:r>
        <w:rPr>
          <w:iCs/>
          <w:i/>
        </w:rPr>
        <w:t xml:space="preserve">Revista Peruana de Medicina Experimental y Salud Pública</w:t>
      </w:r>
      <w:r>
        <w:t xml:space="preserve">,</w:t>
      </w:r>
      <w:r>
        <w:t xml:space="preserve"> </w:t>
      </w:r>
      <w:r>
        <w:rPr>
          <w:iCs/>
          <w:i/>
        </w:rPr>
        <w:t xml:space="preserve">33</w:t>
      </w:r>
      <w:r>
        <w:t xml:space="preserve">(3), 489-497.</w:t>
      </w:r>
      <w:r>
        <w:t xml:space="preserve"> </w:t>
      </w:r>
      <w:hyperlink r:id="rId46">
        <w:r>
          <w:rPr>
            <w:rStyle w:val="Hyperlink"/>
          </w:rPr>
          <w:t xml:space="preserve">https://doi.org/10.17843/rpmesp.2016.333.2298</w:t>
        </w:r>
      </w:hyperlink>
    </w:p>
    <w:bookmarkEnd w:id="47"/>
    <w:bookmarkStart w:id="49" w:name="ref-HoffmanGelman2014"/>
    <w:p>
      <w:pPr>
        <w:pStyle w:val="Bibliography"/>
      </w:pPr>
      <w:r>
        <w:t xml:space="preserve">Hoffman, M. D., &amp; Gelman, A. (2014). The No-U-Turn Sampler: Adaptively Setting Path Lengths in Hamiltonian Monte Carlo.</w:t>
      </w:r>
      <w:r>
        <w:t xml:space="preserve"> </w:t>
      </w:r>
      <w:r>
        <w:rPr>
          <w:iCs/>
          <w:i/>
        </w:rPr>
        <w:t xml:space="preserve">Journal of Machine Learning Research</w:t>
      </w:r>
      <w:r>
        <w:t xml:space="preserve">,</w:t>
      </w:r>
      <w:r>
        <w:t xml:space="preserve"> </w:t>
      </w:r>
      <w:r>
        <w:rPr>
          <w:iCs/>
          <w:i/>
        </w:rPr>
        <w:t xml:space="preserve">15</w:t>
      </w:r>
      <w:r>
        <w:t xml:space="preserve">, 1593-1623.</w:t>
      </w:r>
      <w:r>
        <w:t xml:space="preserve"> </w:t>
      </w:r>
      <w:hyperlink r:id="rId48">
        <w:r>
          <w:rPr>
            <w:rStyle w:val="Hyperlink"/>
          </w:rPr>
          <w:t xml:space="preserve">https://www.jmlr.org/papers/v15/hoffman14a.html</w:t>
        </w:r>
      </w:hyperlink>
    </w:p>
    <w:bookmarkEnd w:id="49"/>
    <w:bookmarkStart w:id="51" w:name="ref-Moraga2019Geospatial"/>
    <w:p>
      <w:pPr>
        <w:pStyle w:val="Bibliography"/>
      </w:pPr>
      <w:r>
        <w:t xml:space="preserve">Moraga, P. (2019).</w:t>
      </w:r>
      <w:r>
        <w:t xml:space="preserve"> </w:t>
      </w:r>
      <w:r>
        <w:rPr>
          <w:iCs/>
          <w:i/>
        </w:rPr>
        <w:t xml:space="preserve">Geospatial Health Data: Modeling and Visualization with R-INLA and Shiny</w:t>
      </w:r>
      <w:r>
        <w:t xml:space="preserve">. Chapman &amp; Hall/CRC.</w:t>
      </w:r>
      <w:r>
        <w:t xml:space="preserve"> </w:t>
      </w:r>
      <w:hyperlink r:id="rId50">
        <w:r>
          <w:rPr>
            <w:rStyle w:val="Hyperlink"/>
          </w:rPr>
          <w:t xml:space="preserve">https://doi.org/10.1201/9780429341823</w:t>
        </w:r>
      </w:hyperlink>
    </w:p>
    <w:bookmarkEnd w:id="51"/>
    <w:bookmarkStart w:id="53" w:name="ref-Moraga2020Sloth"/>
    <w:p>
      <w:pPr>
        <w:pStyle w:val="Bibliography"/>
      </w:pPr>
      <w:r>
        <w:t xml:space="preserve">Moraga, P. (2020). Species Distribution Modeling Using Spatial Point Processes: A Case Study of Sloth Occurrence in Costa Rica.</w:t>
      </w:r>
      <w:r>
        <w:t xml:space="preserve"> </w:t>
      </w:r>
      <w:r>
        <w:rPr>
          <w:iCs/>
          <w:i/>
        </w:rPr>
        <w:t xml:space="preserve">The R Journal</w:t>
      </w:r>
      <w:r>
        <w:t xml:space="preserve">,</w:t>
      </w:r>
      <w:r>
        <w:t xml:space="preserve"> </w:t>
      </w:r>
      <w:r>
        <w:rPr>
          <w:iCs/>
          <w:i/>
        </w:rPr>
        <w:t xml:space="preserve">12</w:t>
      </w:r>
      <w:r>
        <w:t xml:space="preserve">(2), 293-310.</w:t>
      </w:r>
      <w:r>
        <w:t xml:space="preserve"> </w:t>
      </w:r>
      <w:hyperlink r:id="rId52">
        <w:r>
          <w:rPr>
            <w:rStyle w:val="Hyperlink"/>
          </w:rPr>
          <w:t xml:space="preserve">https://doi.org/10.32614/RJ-2021-017</w:t>
        </w:r>
      </w:hyperlink>
    </w:p>
    <w:bookmarkEnd w:id="53"/>
    <w:bookmarkStart w:id="55" w:name="ref-Moraga2023SpatialStats"/>
    <w:p>
      <w:pPr>
        <w:pStyle w:val="Bibliography"/>
      </w:pPr>
      <w:r>
        <w:t xml:space="preserve">Moraga, P. (2023).</w:t>
      </w:r>
      <w:r>
        <w:t xml:space="preserve"> </w:t>
      </w:r>
      <w:r>
        <w:rPr>
          <w:iCs/>
          <w:i/>
        </w:rPr>
        <w:t xml:space="preserve">Spatial Statistics for Data Science: Theory and Practice with R</w:t>
      </w:r>
      <w:r>
        <w:t xml:space="preserve">. Chapman &amp; Hall/CRC.</w:t>
      </w:r>
      <w:r>
        <w:t xml:space="preserve"> </w:t>
      </w:r>
      <w:hyperlink r:id="rId54">
        <w:r>
          <w:rPr>
            <w:rStyle w:val="Hyperlink"/>
          </w:rPr>
          <w:t xml:space="preserve">https://doi.org/10.1201/9781032641522</w:t>
        </w:r>
      </w:hyperlink>
    </w:p>
    <w:bookmarkEnd w:id="55"/>
    <w:bookmarkStart w:id="57" w:name="ref-Nunez2022"/>
    <w:p>
      <w:pPr>
        <w:pStyle w:val="Bibliography"/>
      </w:pPr>
      <w:r>
        <w:t xml:space="preserve">Núñez-Rivas, H. P., Holst-Schumacher, I., Campos-Saborío, N., &amp; López-López, E. (2022). Percentiles of body mass index and waist circumference for Costa Rican children and adolescents. Percentiles de índice de masa corporal y circunferencia de la cintura en niños y adolescentes de Costa Rica.</w:t>
      </w:r>
      <w:r>
        <w:t xml:space="preserve"> </w:t>
      </w:r>
      <w:r>
        <w:rPr>
          <w:iCs/>
          <w:i/>
        </w:rPr>
        <w:t xml:space="preserve">Nutrición Hospitalaria</w:t>
      </w:r>
      <w:r>
        <w:t xml:space="preserve">,</w:t>
      </w:r>
      <w:r>
        <w:t xml:space="preserve"> </w:t>
      </w:r>
      <w:r>
        <w:rPr>
          <w:iCs/>
          <w:i/>
        </w:rPr>
        <w:t xml:space="preserve">39</w:t>
      </w:r>
      <w:r>
        <w:t xml:space="preserve">(6), 1228-1236.</w:t>
      </w:r>
      <w:r>
        <w:t xml:space="preserve"> </w:t>
      </w:r>
      <w:hyperlink r:id="rId56">
        <w:r>
          <w:rPr>
            <w:rStyle w:val="Hyperlink"/>
          </w:rPr>
          <w:t xml:space="preserve">https://doi.org/10.20960/nh.04130</w:t>
        </w:r>
      </w:hyperlink>
    </w:p>
    <w:bookmarkEnd w:id="57"/>
    <w:bookmarkStart w:id="58" w:name="ref-UNICEF2023"/>
    <w:p>
      <w:pPr>
        <w:pStyle w:val="Bibliography"/>
      </w:pPr>
      <w:r>
        <w:t xml:space="preserve">United Nations Children’s Fund. (2023).</w:t>
      </w:r>
      <w:r>
        <w:t xml:space="preserve"> </w:t>
      </w:r>
      <w:r>
        <w:rPr>
          <w:iCs/>
          <w:i/>
        </w:rPr>
        <w:t xml:space="preserve">Prevention of Overweight and Obesity in Children and Adolescents: Programme Guidance</w:t>
      </w:r>
      <w:r>
        <w:t xml:space="preserve">.</w:t>
      </w:r>
    </w:p>
    <w:bookmarkEnd w:id="58"/>
    <w:bookmarkStart w:id="60" w:name="ref-WHO2018"/>
    <w:p>
      <w:pPr>
        <w:pStyle w:val="Bibliography"/>
      </w:pPr>
      <w:r>
        <w:t xml:space="preserve">World Health Organization. (2018).</w:t>
      </w:r>
      <w:r>
        <w:t xml:space="preserve"> </w:t>
      </w:r>
      <w:r>
        <w:rPr>
          <w:iCs/>
          <w:i/>
        </w:rPr>
        <w:t xml:space="preserve">Taking action on childhood obesity</w:t>
      </w:r>
      <w:r>
        <w:t xml:space="preserve">.</w:t>
      </w:r>
      <w:r>
        <w:t xml:space="preserve"> </w:t>
      </w:r>
      <w:hyperlink r:id="rId59">
        <w:r>
          <w:rPr>
            <w:rStyle w:val="Hyperlink"/>
          </w:rPr>
          <w:t xml:space="preserve">https://apps.who.int/iris/bitstream/handle/10665/274792/WHO-NMH-PND-ECHO-18.1-eng.pdf</w:t>
        </w:r>
      </w:hyperlink>
      <w:r>
        <w:t xml:space="preserve">.</w:t>
      </w:r>
    </w:p>
    <w:bookmarkEnd w:id="60"/>
    <w:bookmarkStart w:id="61" w:name="ref-WHO2025"/>
    <w:p>
      <w:pPr>
        <w:pStyle w:val="Bibliography"/>
      </w:pPr>
      <w:r>
        <w:t xml:space="preserve">World Health Organization. (2025).</w:t>
      </w:r>
      <w:r>
        <w:t xml:space="preserve"> </w:t>
      </w:r>
      <w:r>
        <w:rPr>
          <w:iCs/>
          <w:i/>
        </w:rPr>
        <w:t xml:space="preserve">Obesity and Overweight: Fact Sheet</w:t>
      </w:r>
      <w:r>
        <w:t xml:space="preserve">.</w:t>
      </w:r>
    </w:p>
    <w:bookmarkEnd w:id="61"/>
    <w:bookmarkStart w:id="62" w:name="ref-WorldObesity2023"/>
    <w:p>
      <w:pPr>
        <w:pStyle w:val="Bibliography"/>
      </w:pPr>
      <w:r>
        <w:t xml:space="preserve">World Obesity Federation. (2023).</w:t>
      </w:r>
      <w:r>
        <w:t xml:space="preserve"> </w:t>
      </w:r>
      <w:r>
        <w:rPr>
          <w:iCs/>
          <w:i/>
        </w:rPr>
        <w:t xml:space="preserve">World Obesity Atlas 2023</w:t>
      </w:r>
      <w:r>
        <w:t xml:space="preserve">.</w:t>
      </w:r>
    </w:p>
    <w:bookmarkEnd w:id="62"/>
    <w:bookmarkStart w:id="64" w:name="ref-Zhang2024"/>
    <w:p>
      <w:pPr>
        <w:pStyle w:val="Bibliography"/>
      </w:pPr>
      <w:r>
        <w:t xml:space="preserve">Zhang, X., Wang, L., &amp; Liu, H. (2024). Global Prevalence of Overweight and Obesity in Children and Adolescents: A Systematic Review and Meta-Analysis.</w:t>
      </w:r>
      <w:r>
        <w:t xml:space="preserve"> </w:t>
      </w:r>
      <w:r>
        <w:rPr>
          <w:iCs/>
          <w:i/>
        </w:rPr>
        <w:t xml:space="preserve">JAMA Pediatrics</w:t>
      </w:r>
      <w:r>
        <w:t xml:space="preserve">,</w:t>
      </w:r>
      <w:r>
        <w:t xml:space="preserve"> </w:t>
      </w:r>
      <w:r>
        <w:rPr>
          <w:iCs/>
          <w:i/>
        </w:rPr>
        <w:t xml:space="preserve">178</w:t>
      </w:r>
      <w:r>
        <w:t xml:space="preserve">(5), 1-12.</w:t>
      </w:r>
      <w:r>
        <w:t xml:space="preserve"> </w:t>
      </w:r>
      <w:hyperlink r:id="rId63">
        <w:r>
          <w:rPr>
            <w:rStyle w:val="Hyperlink"/>
          </w:rPr>
          <w:t xml:space="preserve">https://doi.org/10.1001/jamapediatrics.2024.1576</w:t>
        </w:r>
      </w:hyperlink>
    </w:p>
    <w:bookmarkEnd w:id="64"/>
    <w:bookmarkEnd w:id="65"/>
    <w:bookmarkEnd w:id="66"/>
    <w:bookmarkStart w:id="69" w:name="anexos"/>
    <w:p>
      <w:pPr>
        <w:pStyle w:val="Heading1"/>
      </w:pPr>
      <w:r>
        <w:t xml:space="preserve">Anexos</w:t>
      </w:r>
    </w:p>
    <w:bookmarkStart w:id="68" w:name="repositorio-github"/>
    <w:p>
      <w:pPr>
        <w:pStyle w:val="Heading2"/>
      </w:pPr>
      <w:r>
        <w:t xml:space="preserve">Repositorio GitHub</w:t>
      </w:r>
    </w:p>
    <w:p>
      <w:pPr>
        <w:pStyle w:val="FirstParagraph"/>
      </w:pPr>
      <w:hyperlink r:id="rId67">
        <w:r>
          <w:rPr>
            <w:rStyle w:val="Hyperlink"/>
          </w:rPr>
          <w:t xml:space="preserve">https://github.com/CA0307-II-2025/grupo-1</w:t>
        </w:r>
      </w:hyperlink>
    </w:p>
    <w:p>
      <w:pPr>
        <w:pStyle w:val="TableCaption"/>
      </w:pPr>
      <w:r>
        <w:t xml:space="preserve">Resumen por cantones: obesidad y sobrepeso</w:t>
      </w:r>
    </w:p>
    <w:tbl>
      <w:tblPr>
        <w:tblStyle w:val="Table"/>
        <w:tblW w:type="auto" w:w="0"/>
        <w:tblLook w:firstRow="1" w:lastRow="0" w:firstColumn="0" w:lastColumn="0" w:noHBand="0" w:noVBand="0" w:val="0020"/>
        <w:tblCaption w:val="Resumen por cantones: obesidad y sobrepeso"/>
      </w:tblPr>
      <w:tblGrid>
        <w:gridCol w:w="1584"/>
        <w:gridCol w:w="1584"/>
        <w:gridCol w:w="1584"/>
        <w:gridCol w:w="1584"/>
        <w:gridCol w:w="1584"/>
      </w:tblGrid>
      <w:tr>
        <w:trPr>
          <w:tblHeader w:val="true"/>
        </w:trPr>
        <w:tc>
          <w:tcPr/>
          <w:p>
            <w:pPr>
              <w:pStyle w:val="Compact"/>
              <w:jc w:val="center"/>
            </w:pPr>
            <w:r>
              <w:t xml:space="preserve">Grupo</w:t>
            </w:r>
          </w:p>
        </w:tc>
        <w:tc>
          <w:tcPr/>
          <w:p>
            <w:pPr>
              <w:pStyle w:val="Compact"/>
              <w:jc w:val="center"/>
            </w:pPr>
            <w:r>
              <w:t xml:space="preserve">Media_Obesidad</w:t>
            </w:r>
          </w:p>
        </w:tc>
        <w:tc>
          <w:tcPr/>
          <w:p>
            <w:pPr>
              <w:pStyle w:val="Compact"/>
              <w:jc w:val="center"/>
            </w:pPr>
            <w:r>
              <w:t xml:space="preserve">Intervalo Obesidad</w:t>
            </w:r>
          </w:p>
        </w:tc>
        <w:tc>
          <w:tcPr/>
          <w:p>
            <w:pPr>
              <w:pStyle w:val="Compact"/>
              <w:jc w:val="center"/>
            </w:pPr>
            <w:r>
              <w:t xml:space="preserve">Media_Sobrepeso</w:t>
            </w:r>
          </w:p>
        </w:tc>
        <w:tc>
          <w:tcPr/>
          <w:p>
            <w:pPr>
              <w:pStyle w:val="Compact"/>
              <w:jc w:val="center"/>
            </w:pPr>
            <w:r>
              <w:t xml:space="preserve">Intervalo Sobrepeso</w:t>
            </w:r>
          </w:p>
        </w:tc>
      </w:tr>
      <w:tr>
        <w:tc>
          <w:tcPr/>
          <w:p>
            <w:pPr>
              <w:pStyle w:val="Compact"/>
              <w:jc w:val="center"/>
            </w:pPr>
            <w:r>
              <w:t xml:space="preserve">Abangares</w:t>
            </w:r>
          </w:p>
        </w:tc>
        <w:tc>
          <w:tcPr/>
          <w:p>
            <w:pPr>
              <w:pStyle w:val="Compact"/>
              <w:jc w:val="center"/>
            </w:pPr>
            <w:r>
              <w:t xml:space="preserve">0.14002</w:t>
            </w:r>
          </w:p>
        </w:tc>
        <w:tc>
          <w:tcPr/>
          <w:p>
            <w:pPr>
              <w:pStyle w:val="Compact"/>
              <w:jc w:val="center"/>
            </w:pPr>
            <w:r>
              <w:t xml:space="preserve">[0.13746, 0.14272]</w:t>
            </w:r>
          </w:p>
        </w:tc>
        <w:tc>
          <w:tcPr/>
          <w:p>
            <w:pPr>
              <w:pStyle w:val="Compact"/>
              <w:jc w:val="center"/>
            </w:pPr>
            <w:r>
              <w:t xml:space="preserve">0.18187</w:t>
            </w:r>
          </w:p>
        </w:tc>
        <w:tc>
          <w:tcPr/>
          <w:p>
            <w:pPr>
              <w:pStyle w:val="Compact"/>
              <w:jc w:val="center"/>
            </w:pPr>
            <w:r>
              <w:t xml:space="preserve">[0.17856, 0.18532]</w:t>
            </w:r>
          </w:p>
        </w:tc>
      </w:tr>
      <w:tr>
        <w:tc>
          <w:tcPr/>
          <w:p>
            <w:pPr>
              <w:pStyle w:val="Compact"/>
              <w:jc w:val="center"/>
            </w:pPr>
            <w:r>
              <w:t xml:space="preserve">Acosta</w:t>
            </w:r>
          </w:p>
        </w:tc>
        <w:tc>
          <w:tcPr/>
          <w:p>
            <w:pPr>
              <w:pStyle w:val="Compact"/>
              <w:jc w:val="center"/>
            </w:pPr>
            <w:r>
              <w:t xml:space="preserve">0.13513</w:t>
            </w:r>
          </w:p>
        </w:tc>
        <w:tc>
          <w:tcPr/>
          <w:p>
            <w:pPr>
              <w:pStyle w:val="Compact"/>
              <w:jc w:val="center"/>
            </w:pPr>
            <w:r>
              <w:t xml:space="preserve">[0.13279, 0.13754]</w:t>
            </w:r>
          </w:p>
        </w:tc>
        <w:tc>
          <w:tcPr/>
          <w:p>
            <w:pPr>
              <w:pStyle w:val="Compact"/>
              <w:jc w:val="center"/>
            </w:pPr>
            <w:r>
              <w:t xml:space="preserve">0.19586</w:t>
            </w:r>
          </w:p>
        </w:tc>
        <w:tc>
          <w:tcPr/>
          <w:p>
            <w:pPr>
              <w:pStyle w:val="Compact"/>
              <w:jc w:val="center"/>
            </w:pPr>
            <w:r>
              <w:t xml:space="preserve">[0.19253, 0.19913]</w:t>
            </w:r>
          </w:p>
        </w:tc>
      </w:tr>
      <w:tr>
        <w:tc>
          <w:tcPr/>
          <w:p>
            <w:pPr>
              <w:pStyle w:val="Compact"/>
              <w:jc w:val="center"/>
            </w:pPr>
            <w:r>
              <w:t xml:space="preserve">Alajuela</w:t>
            </w:r>
          </w:p>
        </w:tc>
        <w:tc>
          <w:tcPr/>
          <w:p>
            <w:pPr>
              <w:pStyle w:val="Compact"/>
              <w:jc w:val="center"/>
            </w:pPr>
            <w:r>
              <w:t xml:space="preserve">0.14993</w:t>
            </w:r>
          </w:p>
        </w:tc>
        <w:tc>
          <w:tcPr/>
          <w:p>
            <w:pPr>
              <w:pStyle w:val="Compact"/>
              <w:jc w:val="center"/>
            </w:pPr>
            <w:r>
              <w:t xml:space="preserve">[0.14848, 0.15137]</w:t>
            </w:r>
          </w:p>
        </w:tc>
        <w:tc>
          <w:tcPr/>
          <w:p>
            <w:pPr>
              <w:pStyle w:val="Compact"/>
              <w:jc w:val="center"/>
            </w:pPr>
            <w:r>
              <w:t xml:space="preserve">0.20433</w:t>
            </w:r>
          </w:p>
        </w:tc>
        <w:tc>
          <w:tcPr/>
          <w:p>
            <w:pPr>
              <w:pStyle w:val="Compact"/>
              <w:jc w:val="center"/>
            </w:pPr>
            <w:r>
              <w:t xml:space="preserve">[0.20273, 0.20584]</w:t>
            </w:r>
          </w:p>
        </w:tc>
      </w:tr>
      <w:tr>
        <w:tc>
          <w:tcPr/>
          <w:p>
            <w:pPr>
              <w:pStyle w:val="Compact"/>
              <w:jc w:val="center"/>
            </w:pPr>
            <w:r>
              <w:t xml:space="preserve">Alajuelita</w:t>
            </w:r>
          </w:p>
        </w:tc>
        <w:tc>
          <w:tcPr/>
          <w:p>
            <w:pPr>
              <w:pStyle w:val="Compact"/>
              <w:jc w:val="center"/>
            </w:pPr>
            <w:r>
              <w:t xml:space="preserve">0.13902</w:t>
            </w:r>
          </w:p>
        </w:tc>
        <w:tc>
          <w:tcPr/>
          <w:p>
            <w:pPr>
              <w:pStyle w:val="Compact"/>
              <w:jc w:val="center"/>
            </w:pPr>
            <w:r>
              <w:t xml:space="preserve">[0.13771, 0.14035]</w:t>
            </w:r>
          </w:p>
        </w:tc>
        <w:tc>
          <w:tcPr/>
          <w:p>
            <w:pPr>
              <w:pStyle w:val="Compact"/>
              <w:jc w:val="center"/>
            </w:pPr>
            <w:r>
              <w:t xml:space="preserve">0.19931</w:t>
            </w:r>
          </w:p>
        </w:tc>
        <w:tc>
          <w:tcPr/>
          <w:p>
            <w:pPr>
              <w:pStyle w:val="Compact"/>
              <w:jc w:val="center"/>
            </w:pPr>
            <w:r>
              <w:t xml:space="preserve">[0.19699, 0.20164]</w:t>
            </w:r>
          </w:p>
        </w:tc>
      </w:tr>
      <w:tr>
        <w:tc>
          <w:tcPr/>
          <w:p>
            <w:pPr>
              <w:pStyle w:val="Compact"/>
              <w:jc w:val="center"/>
            </w:pPr>
            <w:r>
              <w:t xml:space="preserve">Alvarado</w:t>
            </w:r>
          </w:p>
        </w:tc>
        <w:tc>
          <w:tcPr/>
          <w:p>
            <w:pPr>
              <w:pStyle w:val="Compact"/>
              <w:jc w:val="center"/>
            </w:pPr>
            <w:r>
              <w:t xml:space="preserve">0.13779</w:t>
            </w:r>
          </w:p>
        </w:tc>
        <w:tc>
          <w:tcPr/>
          <w:p>
            <w:pPr>
              <w:pStyle w:val="Compact"/>
              <w:jc w:val="center"/>
            </w:pPr>
            <w:r>
              <w:t xml:space="preserve">[0.13467, 0.14101]</w:t>
            </w:r>
          </w:p>
        </w:tc>
        <w:tc>
          <w:tcPr/>
          <w:p>
            <w:pPr>
              <w:pStyle w:val="Compact"/>
              <w:jc w:val="center"/>
            </w:pPr>
            <w:r>
              <w:t xml:space="preserve">0.20719</w:t>
            </w:r>
          </w:p>
        </w:tc>
        <w:tc>
          <w:tcPr/>
          <w:p>
            <w:pPr>
              <w:pStyle w:val="Compact"/>
              <w:jc w:val="center"/>
            </w:pPr>
            <w:r>
              <w:t xml:space="preserve">[0.20421, 0.21019]</w:t>
            </w:r>
          </w:p>
        </w:tc>
      </w:tr>
      <w:tr>
        <w:tc>
          <w:tcPr/>
          <w:p>
            <w:pPr>
              <w:pStyle w:val="Compact"/>
              <w:jc w:val="center"/>
            </w:pPr>
            <w:r>
              <w:t xml:space="preserve">Aserri</w:t>
            </w:r>
          </w:p>
        </w:tc>
        <w:tc>
          <w:tcPr/>
          <w:p>
            <w:pPr>
              <w:pStyle w:val="Compact"/>
              <w:jc w:val="center"/>
            </w:pPr>
            <w:r>
              <w:t xml:space="preserve">0.14252</w:t>
            </w:r>
          </w:p>
        </w:tc>
        <w:tc>
          <w:tcPr/>
          <w:p>
            <w:pPr>
              <w:pStyle w:val="Compact"/>
              <w:jc w:val="center"/>
            </w:pPr>
            <w:r>
              <w:t xml:space="preserve">[0.1412, 0.14385]</w:t>
            </w:r>
          </w:p>
        </w:tc>
        <w:tc>
          <w:tcPr/>
          <w:p>
            <w:pPr>
              <w:pStyle w:val="Compact"/>
              <w:jc w:val="center"/>
            </w:pPr>
            <w:r>
              <w:t xml:space="preserve">0.20003</w:t>
            </w:r>
          </w:p>
        </w:tc>
        <w:tc>
          <w:tcPr/>
          <w:p>
            <w:pPr>
              <w:pStyle w:val="Compact"/>
              <w:jc w:val="center"/>
            </w:pPr>
            <w:r>
              <w:t xml:space="preserve">[0.19862, 0.20137]</w:t>
            </w:r>
          </w:p>
        </w:tc>
      </w:tr>
      <w:tr>
        <w:tc>
          <w:tcPr/>
          <w:p>
            <w:pPr>
              <w:pStyle w:val="Compact"/>
              <w:jc w:val="center"/>
            </w:pPr>
            <w:r>
              <w:t xml:space="preserve">Atenas</w:t>
            </w:r>
          </w:p>
        </w:tc>
        <w:tc>
          <w:tcPr/>
          <w:p>
            <w:pPr>
              <w:pStyle w:val="Compact"/>
              <w:jc w:val="center"/>
            </w:pPr>
            <w:r>
              <w:t xml:space="preserve">0.14991</w:t>
            </w:r>
          </w:p>
        </w:tc>
        <w:tc>
          <w:tcPr/>
          <w:p>
            <w:pPr>
              <w:pStyle w:val="Compact"/>
              <w:jc w:val="center"/>
            </w:pPr>
            <w:r>
              <w:t xml:space="preserve">[0.14764, 0.15214]</w:t>
            </w:r>
          </w:p>
        </w:tc>
        <w:tc>
          <w:tcPr/>
          <w:p>
            <w:pPr>
              <w:pStyle w:val="Compact"/>
              <w:jc w:val="center"/>
            </w:pPr>
            <w:r>
              <w:t xml:space="preserve">0.20907</w:t>
            </w:r>
          </w:p>
        </w:tc>
        <w:tc>
          <w:tcPr/>
          <w:p>
            <w:pPr>
              <w:pStyle w:val="Compact"/>
              <w:jc w:val="center"/>
            </w:pPr>
            <w:r>
              <w:t xml:space="preserve">[0.20645, 0.21173]</w:t>
            </w:r>
          </w:p>
        </w:tc>
      </w:tr>
      <w:tr>
        <w:tc>
          <w:tcPr/>
          <w:p>
            <w:pPr>
              <w:pStyle w:val="Compact"/>
              <w:jc w:val="center"/>
            </w:pPr>
            <w:r>
              <w:t xml:space="preserve">Bagaces</w:t>
            </w:r>
          </w:p>
        </w:tc>
        <w:tc>
          <w:tcPr/>
          <w:p>
            <w:pPr>
              <w:pStyle w:val="Compact"/>
              <w:jc w:val="center"/>
            </w:pPr>
            <w:r>
              <w:t xml:space="preserve">0.13085</w:t>
            </w:r>
          </w:p>
        </w:tc>
        <w:tc>
          <w:tcPr/>
          <w:p>
            <w:pPr>
              <w:pStyle w:val="Compact"/>
              <w:jc w:val="center"/>
            </w:pPr>
            <w:r>
              <w:t xml:space="preserve">[0.12948, 0.13223]</w:t>
            </w:r>
          </w:p>
        </w:tc>
        <w:tc>
          <w:tcPr/>
          <w:p>
            <w:pPr>
              <w:pStyle w:val="Compact"/>
              <w:jc w:val="center"/>
            </w:pPr>
            <w:r>
              <w:t xml:space="preserve">0.18810</w:t>
            </w:r>
          </w:p>
        </w:tc>
        <w:tc>
          <w:tcPr/>
          <w:p>
            <w:pPr>
              <w:pStyle w:val="Compact"/>
              <w:jc w:val="center"/>
            </w:pPr>
            <w:r>
              <w:t xml:space="preserve">[0.18635, 0.1898]</w:t>
            </w:r>
          </w:p>
        </w:tc>
      </w:tr>
      <w:tr>
        <w:tc>
          <w:tcPr/>
          <w:p>
            <w:pPr>
              <w:pStyle w:val="Compact"/>
              <w:jc w:val="center"/>
            </w:pPr>
            <w:r>
              <w:t xml:space="preserve">Barva</w:t>
            </w:r>
          </w:p>
        </w:tc>
        <w:tc>
          <w:tcPr/>
          <w:p>
            <w:pPr>
              <w:pStyle w:val="Compact"/>
              <w:jc w:val="center"/>
            </w:pPr>
            <w:r>
              <w:t xml:space="preserve">0.15036</w:t>
            </w:r>
          </w:p>
        </w:tc>
        <w:tc>
          <w:tcPr/>
          <w:p>
            <w:pPr>
              <w:pStyle w:val="Compact"/>
              <w:jc w:val="center"/>
            </w:pPr>
            <w:r>
              <w:t xml:space="preserve">[0.14798, 0.15273]</w:t>
            </w:r>
          </w:p>
        </w:tc>
        <w:tc>
          <w:tcPr/>
          <w:p>
            <w:pPr>
              <w:pStyle w:val="Compact"/>
              <w:jc w:val="center"/>
            </w:pPr>
            <w:r>
              <w:t xml:space="preserve">0.21326</w:t>
            </w:r>
          </w:p>
        </w:tc>
        <w:tc>
          <w:tcPr/>
          <w:p>
            <w:pPr>
              <w:pStyle w:val="Compact"/>
              <w:jc w:val="center"/>
            </w:pPr>
            <w:r>
              <w:t xml:space="preserve">[0.21083, 0.21567]</w:t>
            </w:r>
          </w:p>
        </w:tc>
      </w:tr>
      <w:tr>
        <w:tc>
          <w:tcPr/>
          <w:p>
            <w:pPr>
              <w:pStyle w:val="Compact"/>
              <w:jc w:val="center"/>
            </w:pPr>
            <w:r>
              <w:t xml:space="preserve">Belen</w:t>
            </w:r>
          </w:p>
        </w:tc>
        <w:tc>
          <w:tcPr/>
          <w:p>
            <w:pPr>
              <w:pStyle w:val="Compact"/>
              <w:jc w:val="center"/>
            </w:pPr>
            <w:r>
              <w:t xml:space="preserve">0.15857</w:t>
            </w:r>
          </w:p>
        </w:tc>
        <w:tc>
          <w:tcPr/>
          <w:p>
            <w:pPr>
              <w:pStyle w:val="Compact"/>
              <w:jc w:val="center"/>
            </w:pPr>
            <w:r>
              <w:t xml:space="preserve">[0.15622, 0.16087]</w:t>
            </w:r>
          </w:p>
        </w:tc>
        <w:tc>
          <w:tcPr/>
          <w:p>
            <w:pPr>
              <w:pStyle w:val="Compact"/>
              <w:jc w:val="center"/>
            </w:pPr>
            <w:r>
              <w:t xml:space="preserve">0.21879</w:t>
            </w:r>
          </w:p>
        </w:tc>
        <w:tc>
          <w:tcPr/>
          <w:p>
            <w:pPr>
              <w:pStyle w:val="Compact"/>
              <w:jc w:val="center"/>
            </w:pPr>
            <w:r>
              <w:t xml:space="preserve">[0.21605, 0.22153]</w:t>
            </w:r>
          </w:p>
        </w:tc>
      </w:tr>
      <w:tr>
        <w:tc>
          <w:tcPr/>
          <w:p>
            <w:pPr>
              <w:pStyle w:val="Compact"/>
              <w:jc w:val="center"/>
            </w:pPr>
            <w:r>
              <w:t xml:space="preserve">Buenos Aires</w:t>
            </w:r>
          </w:p>
        </w:tc>
        <w:tc>
          <w:tcPr/>
          <w:p>
            <w:pPr>
              <w:pStyle w:val="Compact"/>
              <w:jc w:val="center"/>
            </w:pPr>
            <w:r>
              <w:t xml:space="preserve">0.11142</w:t>
            </w:r>
          </w:p>
        </w:tc>
        <w:tc>
          <w:tcPr/>
          <w:p>
            <w:pPr>
              <w:pStyle w:val="Compact"/>
              <w:jc w:val="center"/>
            </w:pPr>
            <w:r>
              <w:t xml:space="preserve">[0.10907, 0.11383]</w:t>
            </w:r>
          </w:p>
        </w:tc>
        <w:tc>
          <w:tcPr/>
          <w:p>
            <w:pPr>
              <w:pStyle w:val="Compact"/>
              <w:jc w:val="center"/>
            </w:pPr>
            <w:r>
              <w:t xml:space="preserve">0.18071</w:t>
            </w:r>
          </w:p>
        </w:tc>
        <w:tc>
          <w:tcPr/>
          <w:p>
            <w:pPr>
              <w:pStyle w:val="Compact"/>
              <w:jc w:val="center"/>
            </w:pPr>
            <w:r>
              <w:t xml:space="preserve">[0.17787, 0.18356]</w:t>
            </w:r>
          </w:p>
        </w:tc>
      </w:tr>
      <w:tr>
        <w:tc>
          <w:tcPr/>
          <w:p>
            <w:pPr>
              <w:pStyle w:val="Compact"/>
              <w:jc w:val="center"/>
            </w:pPr>
            <w:r>
              <w:t xml:space="preserve">Carrillo</w:t>
            </w:r>
          </w:p>
        </w:tc>
        <w:tc>
          <w:tcPr/>
          <w:p>
            <w:pPr>
              <w:pStyle w:val="Compact"/>
              <w:jc w:val="center"/>
            </w:pPr>
            <w:r>
              <w:t xml:space="preserve">0.13955</w:t>
            </w:r>
          </w:p>
        </w:tc>
        <w:tc>
          <w:tcPr/>
          <w:p>
            <w:pPr>
              <w:pStyle w:val="Compact"/>
              <w:jc w:val="center"/>
            </w:pPr>
            <w:r>
              <w:t xml:space="preserve">[0.13694, 0.14225]</w:t>
            </w:r>
          </w:p>
        </w:tc>
        <w:tc>
          <w:tcPr/>
          <w:p>
            <w:pPr>
              <w:pStyle w:val="Compact"/>
              <w:jc w:val="center"/>
            </w:pPr>
            <w:r>
              <w:t xml:space="preserve">0.18453</w:t>
            </w:r>
          </w:p>
        </w:tc>
        <w:tc>
          <w:tcPr/>
          <w:p>
            <w:pPr>
              <w:pStyle w:val="Compact"/>
              <w:jc w:val="center"/>
            </w:pPr>
            <w:r>
              <w:t xml:space="preserve">[0.18168, 0.1875]</w:t>
            </w:r>
          </w:p>
        </w:tc>
      </w:tr>
      <w:tr>
        <w:tc>
          <w:tcPr/>
          <w:p>
            <w:pPr>
              <w:pStyle w:val="Compact"/>
              <w:jc w:val="center"/>
            </w:pPr>
            <w:r>
              <w:t xml:space="preserve">Cartago</w:t>
            </w:r>
          </w:p>
        </w:tc>
        <w:tc>
          <w:tcPr/>
          <w:p>
            <w:pPr>
              <w:pStyle w:val="Compact"/>
              <w:jc w:val="center"/>
            </w:pPr>
            <w:r>
              <w:t xml:space="preserve">0.15106</w:t>
            </w:r>
          </w:p>
        </w:tc>
        <w:tc>
          <w:tcPr/>
          <w:p>
            <w:pPr>
              <w:pStyle w:val="Compact"/>
              <w:jc w:val="center"/>
            </w:pPr>
            <w:r>
              <w:t xml:space="preserve">[0.14961, 0.15249]</w:t>
            </w:r>
          </w:p>
        </w:tc>
        <w:tc>
          <w:tcPr/>
          <w:p>
            <w:pPr>
              <w:pStyle w:val="Compact"/>
              <w:jc w:val="center"/>
            </w:pPr>
            <w:r>
              <w:t xml:space="preserve">0.20672</w:t>
            </w:r>
          </w:p>
        </w:tc>
        <w:tc>
          <w:tcPr/>
          <w:p>
            <w:pPr>
              <w:pStyle w:val="Compact"/>
              <w:jc w:val="center"/>
            </w:pPr>
            <w:r>
              <w:t xml:space="preserve">[0.20507, 0.20833]</w:t>
            </w:r>
          </w:p>
        </w:tc>
      </w:tr>
      <w:tr>
        <w:tc>
          <w:tcPr/>
          <w:p>
            <w:pPr>
              <w:pStyle w:val="Compact"/>
              <w:jc w:val="center"/>
            </w:pPr>
            <w:r>
              <w:t xml:space="preserve">Caã‘as</w:t>
            </w:r>
          </w:p>
        </w:tc>
        <w:tc>
          <w:tcPr/>
          <w:p>
            <w:pPr>
              <w:pStyle w:val="Compact"/>
              <w:jc w:val="center"/>
            </w:pPr>
            <w:r>
              <w:t xml:space="preserve">0.13563</w:t>
            </w:r>
          </w:p>
        </w:tc>
        <w:tc>
          <w:tcPr/>
          <w:p>
            <w:pPr>
              <w:pStyle w:val="Compact"/>
              <w:jc w:val="center"/>
            </w:pPr>
            <w:r>
              <w:t xml:space="preserve">[0.13421, 0.13701]</w:t>
            </w:r>
          </w:p>
        </w:tc>
        <w:tc>
          <w:tcPr/>
          <w:p>
            <w:pPr>
              <w:pStyle w:val="Compact"/>
              <w:jc w:val="center"/>
            </w:pPr>
            <w:r>
              <w:t xml:space="preserve">0.19832</w:t>
            </w:r>
          </w:p>
        </w:tc>
        <w:tc>
          <w:tcPr/>
          <w:p>
            <w:pPr>
              <w:pStyle w:val="Compact"/>
              <w:jc w:val="center"/>
            </w:pPr>
            <w:r>
              <w:t xml:space="preserve">[0.1964, 0.20027]</w:t>
            </w:r>
          </w:p>
        </w:tc>
      </w:tr>
      <w:tr>
        <w:tc>
          <w:tcPr/>
          <w:p>
            <w:pPr>
              <w:pStyle w:val="Compact"/>
              <w:jc w:val="center"/>
            </w:pPr>
            <w:r>
              <w:t xml:space="preserve">Corredores</w:t>
            </w:r>
          </w:p>
        </w:tc>
        <w:tc>
          <w:tcPr/>
          <w:p>
            <w:pPr>
              <w:pStyle w:val="Compact"/>
              <w:jc w:val="center"/>
            </w:pPr>
            <w:r>
              <w:t xml:space="preserve">0.12164</w:t>
            </w:r>
          </w:p>
        </w:tc>
        <w:tc>
          <w:tcPr/>
          <w:p>
            <w:pPr>
              <w:pStyle w:val="Compact"/>
              <w:jc w:val="center"/>
            </w:pPr>
            <w:r>
              <w:t xml:space="preserve">[0.11931, 0.124]</w:t>
            </w:r>
          </w:p>
        </w:tc>
        <w:tc>
          <w:tcPr/>
          <w:p>
            <w:pPr>
              <w:pStyle w:val="Compact"/>
              <w:jc w:val="center"/>
            </w:pPr>
            <w:r>
              <w:t xml:space="preserve">0.19494</w:t>
            </w:r>
          </w:p>
        </w:tc>
        <w:tc>
          <w:tcPr/>
          <w:p>
            <w:pPr>
              <w:pStyle w:val="Compact"/>
              <w:jc w:val="center"/>
            </w:pPr>
            <w:r>
              <w:t xml:space="preserve">[0.19229, 0.19757]</w:t>
            </w:r>
          </w:p>
        </w:tc>
      </w:tr>
      <w:tr>
        <w:tc>
          <w:tcPr/>
          <w:p>
            <w:pPr>
              <w:pStyle w:val="Compact"/>
              <w:jc w:val="center"/>
            </w:pPr>
            <w:r>
              <w:t xml:space="preserve">Coto Brus</w:t>
            </w:r>
          </w:p>
        </w:tc>
        <w:tc>
          <w:tcPr/>
          <w:p>
            <w:pPr>
              <w:pStyle w:val="Compact"/>
              <w:jc w:val="center"/>
            </w:pPr>
            <w:r>
              <w:t xml:space="preserve">0.12038</w:t>
            </w:r>
          </w:p>
        </w:tc>
        <w:tc>
          <w:tcPr/>
          <w:p>
            <w:pPr>
              <w:pStyle w:val="Compact"/>
              <w:jc w:val="center"/>
            </w:pPr>
            <w:r>
              <w:t xml:space="preserve">[0.11804, 0.12263]</w:t>
            </w:r>
          </w:p>
        </w:tc>
        <w:tc>
          <w:tcPr/>
          <w:p>
            <w:pPr>
              <w:pStyle w:val="Compact"/>
              <w:jc w:val="center"/>
            </w:pPr>
            <w:r>
              <w:t xml:space="preserve">0.18857</w:t>
            </w:r>
          </w:p>
        </w:tc>
        <w:tc>
          <w:tcPr/>
          <w:p>
            <w:pPr>
              <w:pStyle w:val="Compact"/>
              <w:jc w:val="center"/>
            </w:pPr>
            <w:r>
              <w:t xml:space="preserve">[0.18553, 0.19155]</w:t>
            </w:r>
          </w:p>
        </w:tc>
      </w:tr>
      <w:tr>
        <w:tc>
          <w:tcPr/>
          <w:p>
            <w:pPr>
              <w:pStyle w:val="Compact"/>
              <w:jc w:val="center"/>
            </w:pPr>
            <w:r>
              <w:t xml:space="preserve">Curridabat</w:t>
            </w:r>
          </w:p>
        </w:tc>
        <w:tc>
          <w:tcPr/>
          <w:p>
            <w:pPr>
              <w:pStyle w:val="Compact"/>
              <w:jc w:val="center"/>
            </w:pPr>
            <w:r>
              <w:t xml:space="preserve">0.15153</w:t>
            </w:r>
          </w:p>
        </w:tc>
        <w:tc>
          <w:tcPr/>
          <w:p>
            <w:pPr>
              <w:pStyle w:val="Compact"/>
              <w:jc w:val="center"/>
            </w:pPr>
            <w:r>
              <w:t xml:space="preserve">[0.14918, 0.15391]</w:t>
            </w:r>
          </w:p>
        </w:tc>
        <w:tc>
          <w:tcPr/>
          <w:p>
            <w:pPr>
              <w:pStyle w:val="Compact"/>
              <w:jc w:val="center"/>
            </w:pPr>
            <w:r>
              <w:t xml:space="preserve">0.21138</w:t>
            </w:r>
          </w:p>
        </w:tc>
        <w:tc>
          <w:tcPr/>
          <w:p>
            <w:pPr>
              <w:pStyle w:val="Compact"/>
              <w:jc w:val="center"/>
            </w:pPr>
            <w:r>
              <w:t xml:space="preserve">[0.20905, 0.21365]</w:t>
            </w:r>
          </w:p>
        </w:tc>
      </w:tr>
      <w:tr>
        <w:tc>
          <w:tcPr/>
          <w:p>
            <w:pPr>
              <w:pStyle w:val="Compact"/>
              <w:jc w:val="center"/>
            </w:pPr>
            <w:r>
              <w:t xml:space="preserve">Desamparados</w:t>
            </w:r>
          </w:p>
        </w:tc>
        <w:tc>
          <w:tcPr/>
          <w:p>
            <w:pPr>
              <w:pStyle w:val="Compact"/>
              <w:jc w:val="center"/>
            </w:pPr>
            <w:r>
              <w:t xml:space="preserve">0.15327</w:t>
            </w:r>
          </w:p>
        </w:tc>
        <w:tc>
          <w:tcPr/>
          <w:p>
            <w:pPr>
              <w:pStyle w:val="Compact"/>
              <w:jc w:val="center"/>
            </w:pPr>
            <w:r>
              <w:t xml:space="preserve">[0.15164, 0.15492]</w:t>
            </w:r>
          </w:p>
        </w:tc>
        <w:tc>
          <w:tcPr/>
          <w:p>
            <w:pPr>
              <w:pStyle w:val="Compact"/>
              <w:jc w:val="center"/>
            </w:pPr>
            <w:r>
              <w:t xml:space="preserve">0.20427</w:t>
            </w:r>
          </w:p>
        </w:tc>
        <w:tc>
          <w:tcPr/>
          <w:p>
            <w:pPr>
              <w:pStyle w:val="Compact"/>
              <w:jc w:val="center"/>
            </w:pPr>
            <w:r>
              <w:t xml:space="preserve">[0.20251, 0.20597]</w:t>
            </w:r>
          </w:p>
        </w:tc>
      </w:tr>
      <w:tr>
        <w:tc>
          <w:tcPr/>
          <w:p>
            <w:pPr>
              <w:pStyle w:val="Compact"/>
              <w:jc w:val="center"/>
            </w:pPr>
            <w:r>
              <w:t xml:space="preserve">Dota</w:t>
            </w:r>
          </w:p>
        </w:tc>
        <w:tc>
          <w:tcPr/>
          <w:p>
            <w:pPr>
              <w:pStyle w:val="Compact"/>
              <w:jc w:val="center"/>
            </w:pPr>
            <w:r>
              <w:t xml:space="preserve">0.12525</w:t>
            </w:r>
          </w:p>
        </w:tc>
        <w:tc>
          <w:tcPr/>
          <w:p>
            <w:pPr>
              <w:pStyle w:val="Compact"/>
              <w:jc w:val="center"/>
            </w:pPr>
            <w:r>
              <w:t xml:space="preserve">[0.12275, 0.12781]</w:t>
            </w:r>
          </w:p>
        </w:tc>
        <w:tc>
          <w:tcPr/>
          <w:p>
            <w:pPr>
              <w:pStyle w:val="Compact"/>
              <w:jc w:val="center"/>
            </w:pPr>
            <w:r>
              <w:t xml:space="preserve">0.19638</w:t>
            </w:r>
          </w:p>
        </w:tc>
        <w:tc>
          <w:tcPr/>
          <w:p>
            <w:pPr>
              <w:pStyle w:val="Compact"/>
              <w:jc w:val="center"/>
            </w:pPr>
            <w:r>
              <w:t xml:space="preserve">[0.19321, 0.19959]</w:t>
            </w:r>
          </w:p>
        </w:tc>
      </w:tr>
      <w:tr>
        <w:tc>
          <w:tcPr/>
          <w:p>
            <w:pPr>
              <w:pStyle w:val="Compact"/>
              <w:jc w:val="center"/>
            </w:pPr>
            <w:r>
              <w:t xml:space="preserve">El Guarco</w:t>
            </w:r>
          </w:p>
        </w:tc>
        <w:tc>
          <w:tcPr/>
          <w:p>
            <w:pPr>
              <w:pStyle w:val="Compact"/>
              <w:jc w:val="center"/>
            </w:pPr>
            <w:r>
              <w:t xml:space="preserve">0.14634</w:t>
            </w:r>
          </w:p>
        </w:tc>
        <w:tc>
          <w:tcPr/>
          <w:p>
            <w:pPr>
              <w:pStyle w:val="Compact"/>
              <w:jc w:val="center"/>
            </w:pPr>
            <w:r>
              <w:t xml:space="preserve">[0.14481, 0.14791]</w:t>
            </w:r>
          </w:p>
        </w:tc>
        <w:tc>
          <w:tcPr/>
          <w:p>
            <w:pPr>
              <w:pStyle w:val="Compact"/>
              <w:jc w:val="center"/>
            </w:pPr>
            <w:r>
              <w:t xml:space="preserve">0.20285</w:t>
            </w:r>
          </w:p>
        </w:tc>
        <w:tc>
          <w:tcPr/>
          <w:p>
            <w:pPr>
              <w:pStyle w:val="Compact"/>
              <w:jc w:val="center"/>
            </w:pPr>
            <w:r>
              <w:t xml:space="preserve">[0.20109, 0.20462]</w:t>
            </w:r>
          </w:p>
        </w:tc>
      </w:tr>
      <w:tr>
        <w:tc>
          <w:tcPr/>
          <w:p>
            <w:pPr>
              <w:pStyle w:val="Compact"/>
              <w:jc w:val="center"/>
            </w:pPr>
            <w:r>
              <w:t xml:space="preserve">Escazu</w:t>
            </w:r>
          </w:p>
        </w:tc>
        <w:tc>
          <w:tcPr/>
          <w:p>
            <w:pPr>
              <w:pStyle w:val="Compact"/>
              <w:jc w:val="center"/>
            </w:pPr>
            <w:r>
              <w:t xml:space="preserve">0.15387</w:t>
            </w:r>
          </w:p>
        </w:tc>
        <w:tc>
          <w:tcPr/>
          <w:p>
            <w:pPr>
              <w:pStyle w:val="Compact"/>
              <w:jc w:val="center"/>
            </w:pPr>
            <w:r>
              <w:t xml:space="preserve">[0.15175, 0.15606]</w:t>
            </w:r>
          </w:p>
        </w:tc>
        <w:tc>
          <w:tcPr/>
          <w:p>
            <w:pPr>
              <w:pStyle w:val="Compact"/>
              <w:jc w:val="center"/>
            </w:pPr>
            <w:r>
              <w:t xml:space="preserve">0.21176</w:t>
            </w:r>
          </w:p>
        </w:tc>
        <w:tc>
          <w:tcPr/>
          <w:p>
            <w:pPr>
              <w:pStyle w:val="Compact"/>
              <w:jc w:val="center"/>
            </w:pPr>
            <w:r>
              <w:t xml:space="preserve">[0.2095, 0.21395]</w:t>
            </w:r>
          </w:p>
        </w:tc>
      </w:tr>
      <w:tr>
        <w:tc>
          <w:tcPr/>
          <w:p>
            <w:pPr>
              <w:pStyle w:val="Compact"/>
              <w:jc w:val="center"/>
            </w:pPr>
            <w:r>
              <w:t xml:space="preserve">Esparza</w:t>
            </w:r>
          </w:p>
        </w:tc>
        <w:tc>
          <w:tcPr/>
          <w:p>
            <w:pPr>
              <w:pStyle w:val="Compact"/>
              <w:jc w:val="center"/>
            </w:pPr>
            <w:r>
              <w:t xml:space="preserve">0.14310</w:t>
            </w:r>
          </w:p>
        </w:tc>
        <w:tc>
          <w:tcPr/>
          <w:p>
            <w:pPr>
              <w:pStyle w:val="Compact"/>
              <w:jc w:val="center"/>
            </w:pPr>
            <w:r>
              <w:t xml:space="preserve">[0.14179, 0.14439]</w:t>
            </w:r>
          </w:p>
        </w:tc>
        <w:tc>
          <w:tcPr/>
          <w:p>
            <w:pPr>
              <w:pStyle w:val="Compact"/>
              <w:jc w:val="center"/>
            </w:pPr>
            <w:r>
              <w:t xml:space="preserve">0.19959</w:t>
            </w:r>
          </w:p>
        </w:tc>
        <w:tc>
          <w:tcPr/>
          <w:p>
            <w:pPr>
              <w:pStyle w:val="Compact"/>
              <w:jc w:val="center"/>
            </w:pPr>
            <w:r>
              <w:t xml:space="preserve">[0.19809, 0.20104]</w:t>
            </w:r>
          </w:p>
        </w:tc>
      </w:tr>
      <w:tr>
        <w:tc>
          <w:tcPr/>
          <w:p>
            <w:pPr>
              <w:pStyle w:val="Compact"/>
              <w:jc w:val="center"/>
            </w:pPr>
            <w:r>
              <w:t xml:space="preserve">Flores</w:t>
            </w:r>
          </w:p>
        </w:tc>
        <w:tc>
          <w:tcPr/>
          <w:p>
            <w:pPr>
              <w:pStyle w:val="Compact"/>
              <w:jc w:val="center"/>
            </w:pPr>
            <w:r>
              <w:t xml:space="preserve">0.15471</w:t>
            </w:r>
          </w:p>
        </w:tc>
        <w:tc>
          <w:tcPr/>
          <w:p>
            <w:pPr>
              <w:pStyle w:val="Compact"/>
              <w:jc w:val="center"/>
            </w:pPr>
            <w:r>
              <w:t xml:space="preserve">[0.15192, 0.15749]</w:t>
            </w:r>
          </w:p>
        </w:tc>
        <w:tc>
          <w:tcPr/>
          <w:p>
            <w:pPr>
              <w:pStyle w:val="Compact"/>
              <w:jc w:val="center"/>
            </w:pPr>
            <w:r>
              <w:t xml:space="preserve">0.21564</w:t>
            </w:r>
          </w:p>
        </w:tc>
        <w:tc>
          <w:tcPr/>
          <w:p>
            <w:pPr>
              <w:pStyle w:val="Compact"/>
              <w:jc w:val="center"/>
            </w:pPr>
            <w:r>
              <w:t xml:space="preserve">[0.21317, 0.21808]</w:t>
            </w:r>
          </w:p>
        </w:tc>
      </w:tr>
      <w:tr>
        <w:tc>
          <w:tcPr/>
          <w:p>
            <w:pPr>
              <w:pStyle w:val="Compact"/>
              <w:jc w:val="center"/>
            </w:pPr>
            <w:r>
              <w:t xml:space="preserve">Garabito</w:t>
            </w:r>
          </w:p>
        </w:tc>
        <w:tc>
          <w:tcPr/>
          <w:p>
            <w:pPr>
              <w:pStyle w:val="Compact"/>
              <w:jc w:val="center"/>
            </w:pPr>
            <w:r>
              <w:t xml:space="preserve">0.13064</w:t>
            </w:r>
          </w:p>
        </w:tc>
        <w:tc>
          <w:tcPr/>
          <w:p>
            <w:pPr>
              <w:pStyle w:val="Compact"/>
              <w:jc w:val="center"/>
            </w:pPr>
            <w:r>
              <w:t xml:space="preserve">[0.12908, 0.13216]</w:t>
            </w:r>
          </w:p>
        </w:tc>
        <w:tc>
          <w:tcPr/>
          <w:p>
            <w:pPr>
              <w:pStyle w:val="Compact"/>
              <w:jc w:val="center"/>
            </w:pPr>
            <w:r>
              <w:t xml:space="preserve">0.19243</w:t>
            </w:r>
          </w:p>
        </w:tc>
        <w:tc>
          <w:tcPr/>
          <w:p>
            <w:pPr>
              <w:pStyle w:val="Compact"/>
              <w:jc w:val="center"/>
            </w:pPr>
            <w:r>
              <w:t xml:space="preserve">[0.19046, 0.1944]</w:t>
            </w:r>
          </w:p>
        </w:tc>
      </w:tr>
      <w:tr>
        <w:tc>
          <w:tcPr/>
          <w:p>
            <w:pPr>
              <w:pStyle w:val="Compact"/>
              <w:jc w:val="center"/>
            </w:pPr>
            <w:r>
              <w:t xml:space="preserve">Goicoechea</w:t>
            </w:r>
          </w:p>
        </w:tc>
        <w:tc>
          <w:tcPr/>
          <w:p>
            <w:pPr>
              <w:pStyle w:val="Compact"/>
              <w:jc w:val="center"/>
            </w:pPr>
            <w:r>
              <w:t xml:space="preserve">0.15535</w:t>
            </w:r>
          </w:p>
        </w:tc>
        <w:tc>
          <w:tcPr/>
          <w:p>
            <w:pPr>
              <w:pStyle w:val="Compact"/>
              <w:jc w:val="center"/>
            </w:pPr>
            <w:r>
              <w:t xml:space="preserve">[0.15362, 0.1571]</w:t>
            </w:r>
          </w:p>
        </w:tc>
        <w:tc>
          <w:tcPr/>
          <w:p>
            <w:pPr>
              <w:pStyle w:val="Compact"/>
              <w:jc w:val="center"/>
            </w:pPr>
            <w:r>
              <w:t xml:space="preserve">0.20649</w:t>
            </w:r>
          </w:p>
        </w:tc>
        <w:tc>
          <w:tcPr/>
          <w:p>
            <w:pPr>
              <w:pStyle w:val="Compact"/>
              <w:jc w:val="center"/>
            </w:pPr>
            <w:r>
              <w:t xml:space="preserve">[0.20448, 0.20846]</w:t>
            </w:r>
          </w:p>
        </w:tc>
      </w:tr>
      <w:tr>
        <w:tc>
          <w:tcPr/>
          <w:p>
            <w:pPr>
              <w:pStyle w:val="Compact"/>
              <w:jc w:val="center"/>
            </w:pPr>
            <w:r>
              <w:t xml:space="preserve">Golfito</w:t>
            </w:r>
          </w:p>
        </w:tc>
        <w:tc>
          <w:tcPr/>
          <w:p>
            <w:pPr>
              <w:pStyle w:val="Compact"/>
              <w:jc w:val="center"/>
            </w:pPr>
            <w:r>
              <w:t xml:space="preserve">0.12345</w:t>
            </w:r>
          </w:p>
        </w:tc>
        <w:tc>
          <w:tcPr/>
          <w:p>
            <w:pPr>
              <w:pStyle w:val="Compact"/>
              <w:jc w:val="center"/>
            </w:pPr>
            <w:r>
              <w:t xml:space="preserve">[0.12161, 0.12535]</w:t>
            </w:r>
          </w:p>
        </w:tc>
        <w:tc>
          <w:tcPr/>
          <w:p>
            <w:pPr>
              <w:pStyle w:val="Compact"/>
              <w:jc w:val="center"/>
            </w:pPr>
            <w:r>
              <w:t xml:space="preserve">0.18653</w:t>
            </w:r>
          </w:p>
        </w:tc>
        <w:tc>
          <w:tcPr/>
          <w:p>
            <w:pPr>
              <w:pStyle w:val="Compact"/>
              <w:jc w:val="center"/>
            </w:pPr>
            <w:r>
              <w:t xml:space="preserve">[0.1844, 0.18862]</w:t>
            </w:r>
          </w:p>
        </w:tc>
      </w:tr>
      <w:tr>
        <w:tc>
          <w:tcPr/>
          <w:p>
            <w:pPr>
              <w:pStyle w:val="Compact"/>
              <w:jc w:val="center"/>
            </w:pPr>
            <w:r>
              <w:t xml:space="preserve">Grecia</w:t>
            </w:r>
          </w:p>
        </w:tc>
        <w:tc>
          <w:tcPr/>
          <w:p>
            <w:pPr>
              <w:pStyle w:val="Compact"/>
              <w:jc w:val="center"/>
            </w:pPr>
            <w:r>
              <w:t xml:space="preserve">0.14654</w:t>
            </w:r>
          </w:p>
        </w:tc>
        <w:tc>
          <w:tcPr/>
          <w:p>
            <w:pPr>
              <w:pStyle w:val="Compact"/>
              <w:jc w:val="center"/>
            </w:pPr>
            <w:r>
              <w:t xml:space="preserve">[0.14479, 0.14829]</w:t>
            </w:r>
          </w:p>
        </w:tc>
        <w:tc>
          <w:tcPr/>
          <w:p>
            <w:pPr>
              <w:pStyle w:val="Compact"/>
              <w:jc w:val="center"/>
            </w:pPr>
            <w:r>
              <w:t xml:space="preserve">0.20229</w:t>
            </w:r>
          </w:p>
        </w:tc>
        <w:tc>
          <w:tcPr/>
          <w:p>
            <w:pPr>
              <w:pStyle w:val="Compact"/>
              <w:jc w:val="center"/>
            </w:pPr>
            <w:r>
              <w:t xml:space="preserve">[0.20041, 0.20415]</w:t>
            </w:r>
          </w:p>
        </w:tc>
      </w:tr>
      <w:tr>
        <w:tc>
          <w:tcPr/>
          <w:p>
            <w:pPr>
              <w:pStyle w:val="Compact"/>
              <w:jc w:val="center"/>
            </w:pPr>
            <w:r>
              <w:t xml:space="preserve">Guacimo</w:t>
            </w:r>
          </w:p>
        </w:tc>
        <w:tc>
          <w:tcPr/>
          <w:p>
            <w:pPr>
              <w:pStyle w:val="Compact"/>
              <w:jc w:val="center"/>
            </w:pPr>
            <w:r>
              <w:t xml:space="preserve">0.13137</w:t>
            </w:r>
          </w:p>
        </w:tc>
        <w:tc>
          <w:tcPr/>
          <w:p>
            <w:pPr>
              <w:pStyle w:val="Compact"/>
              <w:jc w:val="center"/>
            </w:pPr>
            <w:r>
              <w:t xml:space="preserve">[0.12948, 0.13329]</w:t>
            </w:r>
          </w:p>
        </w:tc>
        <w:tc>
          <w:tcPr/>
          <w:p>
            <w:pPr>
              <w:pStyle w:val="Compact"/>
              <w:jc w:val="center"/>
            </w:pPr>
            <w:r>
              <w:t xml:space="preserve">0.18534</w:t>
            </w:r>
          </w:p>
        </w:tc>
        <w:tc>
          <w:tcPr/>
          <w:p>
            <w:pPr>
              <w:pStyle w:val="Compact"/>
              <w:jc w:val="center"/>
            </w:pPr>
            <w:r>
              <w:t xml:space="preserve">[0.18323, 0.18743]</w:t>
            </w:r>
          </w:p>
        </w:tc>
      </w:tr>
      <w:tr>
        <w:tc>
          <w:tcPr/>
          <w:p>
            <w:pPr>
              <w:pStyle w:val="Compact"/>
              <w:jc w:val="center"/>
            </w:pPr>
            <w:r>
              <w:t xml:space="preserve">Guatuso</w:t>
            </w:r>
          </w:p>
        </w:tc>
        <w:tc>
          <w:tcPr/>
          <w:p>
            <w:pPr>
              <w:pStyle w:val="Compact"/>
              <w:jc w:val="center"/>
            </w:pPr>
            <w:r>
              <w:t xml:space="preserve">0.12292</w:t>
            </w:r>
          </w:p>
        </w:tc>
        <w:tc>
          <w:tcPr/>
          <w:p>
            <w:pPr>
              <w:pStyle w:val="Compact"/>
              <w:jc w:val="center"/>
            </w:pPr>
            <w:r>
              <w:t xml:space="preserve">[0.12083, 0.12507]</w:t>
            </w:r>
          </w:p>
        </w:tc>
        <w:tc>
          <w:tcPr/>
          <w:p>
            <w:pPr>
              <w:pStyle w:val="Compact"/>
              <w:jc w:val="center"/>
            </w:pPr>
            <w:r>
              <w:t xml:space="preserve">0.18721</w:t>
            </w:r>
          </w:p>
        </w:tc>
        <w:tc>
          <w:tcPr/>
          <w:p>
            <w:pPr>
              <w:pStyle w:val="Compact"/>
              <w:jc w:val="center"/>
            </w:pPr>
            <w:r>
              <w:t xml:space="preserve">[0.18445, 0.19]</w:t>
            </w:r>
          </w:p>
        </w:tc>
      </w:tr>
      <w:tr>
        <w:tc>
          <w:tcPr/>
          <w:p>
            <w:pPr>
              <w:pStyle w:val="Compact"/>
              <w:jc w:val="center"/>
            </w:pPr>
            <w:r>
              <w:t xml:space="preserve">Heredia</w:t>
            </w:r>
          </w:p>
        </w:tc>
        <w:tc>
          <w:tcPr/>
          <w:p>
            <w:pPr>
              <w:pStyle w:val="Compact"/>
              <w:jc w:val="center"/>
            </w:pPr>
            <w:r>
              <w:t xml:space="preserve">0.15713</w:t>
            </w:r>
          </w:p>
        </w:tc>
        <w:tc>
          <w:tcPr/>
          <w:p>
            <w:pPr>
              <w:pStyle w:val="Compact"/>
              <w:jc w:val="center"/>
            </w:pPr>
            <w:r>
              <w:t xml:space="preserve">[0.15495, 0.15935]</w:t>
            </w:r>
          </w:p>
        </w:tc>
        <w:tc>
          <w:tcPr/>
          <w:p>
            <w:pPr>
              <w:pStyle w:val="Compact"/>
              <w:jc w:val="center"/>
            </w:pPr>
            <w:r>
              <w:t xml:space="preserve">0.21262</w:t>
            </w:r>
          </w:p>
        </w:tc>
        <w:tc>
          <w:tcPr/>
          <w:p>
            <w:pPr>
              <w:pStyle w:val="Compact"/>
              <w:jc w:val="center"/>
            </w:pPr>
            <w:r>
              <w:t xml:space="preserve">[0.21051, 0.21465]</w:t>
            </w:r>
          </w:p>
        </w:tc>
      </w:tr>
      <w:tr>
        <w:tc>
          <w:tcPr/>
          <w:p>
            <w:pPr>
              <w:pStyle w:val="Compact"/>
              <w:jc w:val="center"/>
            </w:pPr>
            <w:r>
              <w:t xml:space="preserve">Hojancha</w:t>
            </w:r>
          </w:p>
        </w:tc>
        <w:tc>
          <w:tcPr/>
          <w:p>
            <w:pPr>
              <w:pStyle w:val="Compact"/>
              <w:jc w:val="center"/>
            </w:pPr>
            <w:r>
              <w:t xml:space="preserve">0.13769</w:t>
            </w:r>
          </w:p>
        </w:tc>
        <w:tc>
          <w:tcPr/>
          <w:p>
            <w:pPr>
              <w:pStyle w:val="Compact"/>
              <w:jc w:val="center"/>
            </w:pPr>
            <w:r>
              <w:t xml:space="preserve">[0.1352, 0.14017]</w:t>
            </w:r>
          </w:p>
        </w:tc>
        <w:tc>
          <w:tcPr/>
          <w:p>
            <w:pPr>
              <w:pStyle w:val="Compact"/>
              <w:jc w:val="center"/>
            </w:pPr>
            <w:r>
              <w:t xml:space="preserve">0.19812</w:t>
            </w:r>
          </w:p>
        </w:tc>
        <w:tc>
          <w:tcPr/>
          <w:p>
            <w:pPr>
              <w:pStyle w:val="Compact"/>
              <w:jc w:val="center"/>
            </w:pPr>
            <w:r>
              <w:t xml:space="preserve">[0.19493, 0.20127]</w:t>
            </w:r>
          </w:p>
        </w:tc>
      </w:tr>
      <w:tr>
        <w:tc>
          <w:tcPr/>
          <w:p>
            <w:pPr>
              <w:pStyle w:val="Compact"/>
              <w:jc w:val="center"/>
            </w:pPr>
            <w:r>
              <w:t xml:space="preserve">Jimenez</w:t>
            </w:r>
          </w:p>
        </w:tc>
        <w:tc>
          <w:tcPr/>
          <w:p>
            <w:pPr>
              <w:pStyle w:val="Compact"/>
              <w:jc w:val="center"/>
            </w:pPr>
            <w:r>
              <w:t xml:space="preserve">0.14469</w:t>
            </w:r>
          </w:p>
        </w:tc>
        <w:tc>
          <w:tcPr/>
          <w:p>
            <w:pPr>
              <w:pStyle w:val="Compact"/>
              <w:jc w:val="center"/>
            </w:pPr>
            <w:r>
              <w:t xml:space="preserve">[0.14197, 0.14748]</w:t>
            </w:r>
          </w:p>
        </w:tc>
        <w:tc>
          <w:tcPr/>
          <w:p>
            <w:pPr>
              <w:pStyle w:val="Compact"/>
              <w:jc w:val="center"/>
            </w:pPr>
            <w:r>
              <w:t xml:space="preserve">0.19989</w:t>
            </w:r>
          </w:p>
        </w:tc>
        <w:tc>
          <w:tcPr/>
          <w:p>
            <w:pPr>
              <w:pStyle w:val="Compact"/>
              <w:jc w:val="center"/>
            </w:pPr>
            <w:r>
              <w:t xml:space="preserve">[0.19801, 0.20172]</w:t>
            </w:r>
          </w:p>
        </w:tc>
      </w:tr>
      <w:tr>
        <w:tc>
          <w:tcPr/>
          <w:p>
            <w:pPr>
              <w:pStyle w:val="Compact"/>
              <w:jc w:val="center"/>
            </w:pPr>
            <w:r>
              <w:t xml:space="preserve">La Cruz</w:t>
            </w:r>
          </w:p>
        </w:tc>
        <w:tc>
          <w:tcPr/>
          <w:p>
            <w:pPr>
              <w:pStyle w:val="Compact"/>
              <w:jc w:val="center"/>
            </w:pPr>
            <w:r>
              <w:t xml:space="preserve">0.11639</w:t>
            </w:r>
          </w:p>
        </w:tc>
        <w:tc>
          <w:tcPr/>
          <w:p>
            <w:pPr>
              <w:pStyle w:val="Compact"/>
              <w:jc w:val="center"/>
            </w:pPr>
            <w:r>
              <w:t xml:space="preserve">[0.11439, 0.11842]</w:t>
            </w:r>
          </w:p>
        </w:tc>
        <w:tc>
          <w:tcPr/>
          <w:p>
            <w:pPr>
              <w:pStyle w:val="Compact"/>
              <w:jc w:val="center"/>
            </w:pPr>
            <w:r>
              <w:t xml:space="preserve">0.18108</w:t>
            </w:r>
          </w:p>
        </w:tc>
        <w:tc>
          <w:tcPr/>
          <w:p>
            <w:pPr>
              <w:pStyle w:val="Compact"/>
              <w:jc w:val="center"/>
            </w:pPr>
            <w:r>
              <w:t xml:space="preserve">[0.17874, 0.18344]</w:t>
            </w:r>
          </w:p>
        </w:tc>
      </w:tr>
      <w:tr>
        <w:tc>
          <w:tcPr/>
          <w:p>
            <w:pPr>
              <w:pStyle w:val="Compact"/>
              <w:jc w:val="center"/>
            </w:pPr>
            <w:r>
              <w:t xml:space="preserve">La Union</w:t>
            </w:r>
          </w:p>
        </w:tc>
        <w:tc>
          <w:tcPr/>
          <w:p>
            <w:pPr>
              <w:pStyle w:val="Compact"/>
              <w:jc w:val="center"/>
            </w:pPr>
            <w:r>
              <w:t xml:space="preserve">0.14868</w:t>
            </w:r>
          </w:p>
        </w:tc>
        <w:tc>
          <w:tcPr/>
          <w:p>
            <w:pPr>
              <w:pStyle w:val="Compact"/>
              <w:jc w:val="center"/>
            </w:pPr>
            <w:r>
              <w:t xml:space="preserve">[0.14711, 0.15027]</w:t>
            </w:r>
          </w:p>
        </w:tc>
        <w:tc>
          <w:tcPr/>
          <w:p>
            <w:pPr>
              <w:pStyle w:val="Compact"/>
              <w:jc w:val="center"/>
            </w:pPr>
            <w:r>
              <w:t xml:space="preserve">0.20540</w:t>
            </w:r>
          </w:p>
        </w:tc>
        <w:tc>
          <w:tcPr/>
          <w:p>
            <w:pPr>
              <w:pStyle w:val="Compact"/>
              <w:jc w:val="center"/>
            </w:pPr>
            <w:r>
              <w:t xml:space="preserve">[0.20342, 0.20731]</w:t>
            </w:r>
          </w:p>
        </w:tc>
      </w:tr>
      <w:tr>
        <w:tc>
          <w:tcPr/>
          <w:p>
            <w:pPr>
              <w:pStyle w:val="Compact"/>
              <w:jc w:val="center"/>
            </w:pPr>
            <w:r>
              <w:t xml:space="preserve">Leon Cortes</w:t>
            </w:r>
          </w:p>
        </w:tc>
        <w:tc>
          <w:tcPr/>
          <w:p>
            <w:pPr>
              <w:pStyle w:val="Compact"/>
              <w:jc w:val="center"/>
            </w:pPr>
            <w:r>
              <w:t xml:space="preserve">0.12654</w:t>
            </w:r>
          </w:p>
        </w:tc>
        <w:tc>
          <w:tcPr/>
          <w:p>
            <w:pPr>
              <w:pStyle w:val="Compact"/>
              <w:jc w:val="center"/>
            </w:pPr>
            <w:r>
              <w:t xml:space="preserve">[0.12397, 0.12914]</w:t>
            </w:r>
          </w:p>
        </w:tc>
        <w:tc>
          <w:tcPr/>
          <w:p>
            <w:pPr>
              <w:pStyle w:val="Compact"/>
              <w:jc w:val="center"/>
            </w:pPr>
            <w:r>
              <w:t xml:space="preserve">0.19546</w:t>
            </w:r>
          </w:p>
        </w:tc>
        <w:tc>
          <w:tcPr/>
          <w:p>
            <w:pPr>
              <w:pStyle w:val="Compact"/>
              <w:jc w:val="center"/>
            </w:pPr>
            <w:r>
              <w:t xml:space="preserve">[0.19223, 0.1987]</w:t>
            </w:r>
          </w:p>
        </w:tc>
      </w:tr>
      <w:tr>
        <w:tc>
          <w:tcPr/>
          <w:p>
            <w:pPr>
              <w:pStyle w:val="Compact"/>
              <w:jc w:val="center"/>
            </w:pPr>
            <w:r>
              <w:t xml:space="preserve">Liberia</w:t>
            </w:r>
          </w:p>
        </w:tc>
        <w:tc>
          <w:tcPr/>
          <w:p>
            <w:pPr>
              <w:pStyle w:val="Compact"/>
              <w:jc w:val="center"/>
            </w:pPr>
            <w:r>
              <w:t xml:space="preserve">0.13954</w:t>
            </w:r>
          </w:p>
        </w:tc>
        <w:tc>
          <w:tcPr/>
          <w:p>
            <w:pPr>
              <w:pStyle w:val="Compact"/>
              <w:jc w:val="center"/>
            </w:pPr>
            <w:r>
              <w:t xml:space="preserve">[0.13694, 0.14214]</w:t>
            </w:r>
          </w:p>
        </w:tc>
        <w:tc>
          <w:tcPr/>
          <w:p>
            <w:pPr>
              <w:pStyle w:val="Compact"/>
              <w:jc w:val="center"/>
            </w:pPr>
            <w:r>
              <w:t xml:space="preserve">0.19038</w:t>
            </w:r>
          </w:p>
        </w:tc>
        <w:tc>
          <w:tcPr/>
          <w:p>
            <w:pPr>
              <w:pStyle w:val="Compact"/>
              <w:jc w:val="center"/>
            </w:pPr>
            <w:r>
              <w:t xml:space="preserve">[0.18791, 0.19287]</w:t>
            </w:r>
          </w:p>
        </w:tc>
      </w:tr>
      <w:tr>
        <w:tc>
          <w:tcPr/>
          <w:p>
            <w:pPr>
              <w:pStyle w:val="Compact"/>
              <w:jc w:val="center"/>
            </w:pPr>
            <w:r>
              <w:t xml:space="preserve">Limon</w:t>
            </w:r>
          </w:p>
        </w:tc>
        <w:tc>
          <w:tcPr/>
          <w:p>
            <w:pPr>
              <w:pStyle w:val="Compact"/>
              <w:jc w:val="center"/>
            </w:pPr>
            <w:r>
              <w:t xml:space="preserve">0.12692</w:t>
            </w:r>
          </w:p>
        </w:tc>
        <w:tc>
          <w:tcPr/>
          <w:p>
            <w:pPr>
              <w:pStyle w:val="Compact"/>
              <w:jc w:val="center"/>
            </w:pPr>
            <w:r>
              <w:t xml:space="preserve">[0.12409, 0.12975]</w:t>
            </w:r>
          </w:p>
        </w:tc>
        <w:tc>
          <w:tcPr/>
          <w:p>
            <w:pPr>
              <w:pStyle w:val="Compact"/>
              <w:jc w:val="center"/>
            </w:pPr>
            <w:r>
              <w:t xml:space="preserve">0.18205</w:t>
            </w:r>
          </w:p>
        </w:tc>
        <w:tc>
          <w:tcPr/>
          <w:p>
            <w:pPr>
              <w:pStyle w:val="Compact"/>
              <w:jc w:val="center"/>
            </w:pPr>
            <w:r>
              <w:t xml:space="preserve">[0.1794, 0.18472]</w:t>
            </w:r>
          </w:p>
        </w:tc>
      </w:tr>
      <w:tr>
        <w:tc>
          <w:tcPr/>
          <w:p>
            <w:pPr>
              <w:pStyle w:val="Compact"/>
              <w:jc w:val="center"/>
            </w:pPr>
            <w:r>
              <w:t xml:space="preserve">Los Chiles</w:t>
            </w:r>
          </w:p>
        </w:tc>
        <w:tc>
          <w:tcPr/>
          <w:p>
            <w:pPr>
              <w:pStyle w:val="Compact"/>
              <w:jc w:val="center"/>
            </w:pPr>
            <w:r>
              <w:t xml:space="preserve">0.11245</w:t>
            </w:r>
          </w:p>
        </w:tc>
        <w:tc>
          <w:tcPr/>
          <w:p>
            <w:pPr>
              <w:pStyle w:val="Compact"/>
              <w:jc w:val="center"/>
            </w:pPr>
            <w:r>
              <w:t xml:space="preserve">[0.11006, 0.1149]</w:t>
            </w:r>
          </w:p>
        </w:tc>
        <w:tc>
          <w:tcPr/>
          <w:p>
            <w:pPr>
              <w:pStyle w:val="Compact"/>
              <w:jc w:val="center"/>
            </w:pPr>
            <w:r>
              <w:t xml:space="preserve">0.17539</w:t>
            </w:r>
          </w:p>
        </w:tc>
        <w:tc>
          <w:tcPr/>
          <w:p>
            <w:pPr>
              <w:pStyle w:val="Compact"/>
              <w:jc w:val="center"/>
            </w:pPr>
            <w:r>
              <w:t xml:space="preserve">[0.17254, 0.17824]</w:t>
            </w:r>
          </w:p>
        </w:tc>
      </w:tr>
      <w:tr>
        <w:tc>
          <w:tcPr/>
          <w:p>
            <w:pPr>
              <w:pStyle w:val="Compact"/>
              <w:jc w:val="center"/>
            </w:pPr>
            <w:r>
              <w:t xml:space="preserve">Matina</w:t>
            </w:r>
          </w:p>
        </w:tc>
        <w:tc>
          <w:tcPr/>
          <w:p>
            <w:pPr>
              <w:pStyle w:val="Compact"/>
              <w:jc w:val="center"/>
            </w:pPr>
            <w:r>
              <w:t xml:space="preserve">0.11767</w:t>
            </w:r>
          </w:p>
        </w:tc>
        <w:tc>
          <w:tcPr/>
          <w:p>
            <w:pPr>
              <w:pStyle w:val="Compact"/>
              <w:jc w:val="center"/>
            </w:pPr>
            <w:r>
              <w:t xml:space="preserve">[0.11545, 0.11994]</w:t>
            </w:r>
          </w:p>
        </w:tc>
        <w:tc>
          <w:tcPr/>
          <w:p>
            <w:pPr>
              <w:pStyle w:val="Compact"/>
              <w:jc w:val="center"/>
            </w:pPr>
            <w:r>
              <w:t xml:space="preserve">0.17928</w:t>
            </w:r>
          </w:p>
        </w:tc>
        <w:tc>
          <w:tcPr/>
          <w:p>
            <w:pPr>
              <w:pStyle w:val="Compact"/>
              <w:jc w:val="center"/>
            </w:pPr>
            <w:r>
              <w:t xml:space="preserve">[0.17661, 0.1819]</w:t>
            </w:r>
          </w:p>
        </w:tc>
      </w:tr>
      <w:tr>
        <w:tc>
          <w:tcPr/>
          <w:p>
            <w:pPr>
              <w:pStyle w:val="Compact"/>
              <w:jc w:val="center"/>
            </w:pPr>
            <w:r>
              <w:t xml:space="preserve">Montes De Oca</w:t>
            </w:r>
          </w:p>
        </w:tc>
        <w:tc>
          <w:tcPr/>
          <w:p>
            <w:pPr>
              <w:pStyle w:val="Compact"/>
              <w:jc w:val="center"/>
            </w:pPr>
            <w:r>
              <w:t xml:space="preserve">0.16897</w:t>
            </w:r>
          </w:p>
        </w:tc>
        <w:tc>
          <w:tcPr/>
          <w:p>
            <w:pPr>
              <w:pStyle w:val="Compact"/>
              <w:jc w:val="center"/>
            </w:pPr>
            <w:r>
              <w:t xml:space="preserve">[0.16519, 0.17287]</w:t>
            </w:r>
          </w:p>
        </w:tc>
        <w:tc>
          <w:tcPr/>
          <w:p>
            <w:pPr>
              <w:pStyle w:val="Compact"/>
              <w:jc w:val="center"/>
            </w:pPr>
            <w:r>
              <w:t xml:space="preserve">0.22065</w:t>
            </w:r>
          </w:p>
        </w:tc>
        <w:tc>
          <w:tcPr/>
          <w:p>
            <w:pPr>
              <w:pStyle w:val="Compact"/>
              <w:jc w:val="center"/>
            </w:pPr>
            <w:r>
              <w:t xml:space="preserve">[0.2171, 0.22418]</w:t>
            </w:r>
          </w:p>
        </w:tc>
      </w:tr>
      <w:tr>
        <w:tc>
          <w:tcPr/>
          <w:p>
            <w:pPr>
              <w:pStyle w:val="Compact"/>
              <w:jc w:val="center"/>
            </w:pPr>
            <w:r>
              <w:t xml:space="preserve">Montes De Oro</w:t>
            </w:r>
          </w:p>
        </w:tc>
        <w:tc>
          <w:tcPr/>
          <w:p>
            <w:pPr>
              <w:pStyle w:val="Compact"/>
              <w:jc w:val="center"/>
            </w:pPr>
            <w:r>
              <w:t xml:space="preserve">0.14516</w:t>
            </w:r>
          </w:p>
        </w:tc>
        <w:tc>
          <w:tcPr/>
          <w:p>
            <w:pPr>
              <w:pStyle w:val="Compact"/>
              <w:jc w:val="center"/>
            </w:pPr>
            <w:r>
              <w:t xml:space="preserve">[0.1435, 0.14681]</w:t>
            </w:r>
          </w:p>
        </w:tc>
        <w:tc>
          <w:tcPr/>
          <w:p>
            <w:pPr>
              <w:pStyle w:val="Compact"/>
              <w:jc w:val="center"/>
            </w:pPr>
            <w:r>
              <w:t xml:space="preserve">0.20547</w:t>
            </w:r>
          </w:p>
        </w:tc>
        <w:tc>
          <w:tcPr/>
          <w:p>
            <w:pPr>
              <w:pStyle w:val="Compact"/>
              <w:jc w:val="center"/>
            </w:pPr>
            <w:r>
              <w:t xml:space="preserve">[0.20372, 0.20724]</w:t>
            </w:r>
          </w:p>
        </w:tc>
      </w:tr>
      <w:tr>
        <w:tc>
          <w:tcPr/>
          <w:p>
            <w:pPr>
              <w:pStyle w:val="Compact"/>
              <w:jc w:val="center"/>
            </w:pPr>
            <w:r>
              <w:t xml:space="preserve">Mora</w:t>
            </w:r>
          </w:p>
        </w:tc>
        <w:tc>
          <w:tcPr/>
          <w:p>
            <w:pPr>
              <w:pStyle w:val="Compact"/>
              <w:jc w:val="center"/>
            </w:pPr>
            <w:r>
              <w:t xml:space="preserve">0.14789</w:t>
            </w:r>
          </w:p>
        </w:tc>
        <w:tc>
          <w:tcPr/>
          <w:p>
            <w:pPr>
              <w:pStyle w:val="Compact"/>
              <w:jc w:val="center"/>
            </w:pPr>
            <w:r>
              <w:t xml:space="preserve">[0.14644, 0.14931]</w:t>
            </w:r>
          </w:p>
        </w:tc>
        <w:tc>
          <w:tcPr/>
          <w:p>
            <w:pPr>
              <w:pStyle w:val="Compact"/>
              <w:jc w:val="center"/>
            </w:pPr>
            <w:r>
              <w:t xml:space="preserve">0.19757</w:t>
            </w:r>
          </w:p>
        </w:tc>
        <w:tc>
          <w:tcPr/>
          <w:p>
            <w:pPr>
              <w:pStyle w:val="Compact"/>
              <w:jc w:val="center"/>
            </w:pPr>
            <w:r>
              <w:t xml:space="preserve">[0.19487, 0.20033]</w:t>
            </w:r>
          </w:p>
        </w:tc>
      </w:tr>
      <w:tr>
        <w:tc>
          <w:tcPr/>
          <w:p>
            <w:pPr>
              <w:pStyle w:val="Compact"/>
              <w:jc w:val="center"/>
            </w:pPr>
            <w:r>
              <w:t xml:space="preserve">Moravia</w:t>
            </w:r>
          </w:p>
        </w:tc>
        <w:tc>
          <w:tcPr/>
          <w:p>
            <w:pPr>
              <w:pStyle w:val="Compact"/>
              <w:jc w:val="center"/>
            </w:pPr>
            <w:r>
              <w:t xml:space="preserve">0.15842</w:t>
            </w:r>
          </w:p>
        </w:tc>
        <w:tc>
          <w:tcPr/>
          <w:p>
            <w:pPr>
              <w:pStyle w:val="Compact"/>
              <w:jc w:val="center"/>
            </w:pPr>
            <w:r>
              <w:t xml:space="preserve">[0.15617, 0.16073]</w:t>
            </w:r>
          </w:p>
        </w:tc>
        <w:tc>
          <w:tcPr/>
          <w:p>
            <w:pPr>
              <w:pStyle w:val="Compact"/>
              <w:jc w:val="center"/>
            </w:pPr>
            <w:r>
              <w:t xml:space="preserve">0.21311</w:t>
            </w:r>
          </w:p>
        </w:tc>
        <w:tc>
          <w:tcPr/>
          <w:p>
            <w:pPr>
              <w:pStyle w:val="Compact"/>
              <w:jc w:val="center"/>
            </w:pPr>
            <w:r>
              <w:t xml:space="preserve">[0.21097, 0.2152]</w:t>
            </w:r>
          </w:p>
        </w:tc>
      </w:tr>
      <w:tr>
        <w:tc>
          <w:tcPr/>
          <w:p>
            <w:pPr>
              <w:pStyle w:val="Compact"/>
              <w:jc w:val="center"/>
            </w:pPr>
            <w:r>
              <w:t xml:space="preserve">Nandayure</w:t>
            </w:r>
          </w:p>
        </w:tc>
        <w:tc>
          <w:tcPr/>
          <w:p>
            <w:pPr>
              <w:pStyle w:val="Compact"/>
              <w:jc w:val="center"/>
            </w:pPr>
            <w:r>
              <w:t xml:space="preserve">0.14110</w:t>
            </w:r>
          </w:p>
        </w:tc>
        <w:tc>
          <w:tcPr/>
          <w:p>
            <w:pPr>
              <w:pStyle w:val="Compact"/>
              <w:jc w:val="center"/>
            </w:pPr>
            <w:r>
              <w:t xml:space="preserve">[0.13788, 0.14447]</w:t>
            </w:r>
          </w:p>
        </w:tc>
        <w:tc>
          <w:tcPr/>
          <w:p>
            <w:pPr>
              <w:pStyle w:val="Compact"/>
              <w:jc w:val="center"/>
            </w:pPr>
            <w:r>
              <w:t xml:space="preserve">0.18227</w:t>
            </w:r>
          </w:p>
        </w:tc>
        <w:tc>
          <w:tcPr/>
          <w:p>
            <w:pPr>
              <w:pStyle w:val="Compact"/>
              <w:jc w:val="center"/>
            </w:pPr>
            <w:r>
              <w:t xml:space="preserve">[0.1784, 0.18627]</w:t>
            </w:r>
          </w:p>
        </w:tc>
      </w:tr>
      <w:tr>
        <w:tc>
          <w:tcPr/>
          <w:p>
            <w:pPr>
              <w:pStyle w:val="Compact"/>
              <w:jc w:val="center"/>
            </w:pPr>
            <w:r>
              <w:t xml:space="preserve">Naranjo</w:t>
            </w:r>
          </w:p>
        </w:tc>
        <w:tc>
          <w:tcPr/>
          <w:p>
            <w:pPr>
              <w:pStyle w:val="Compact"/>
              <w:jc w:val="center"/>
            </w:pPr>
            <w:r>
              <w:t xml:space="preserve">0.14555</w:t>
            </w:r>
          </w:p>
        </w:tc>
        <w:tc>
          <w:tcPr/>
          <w:p>
            <w:pPr>
              <w:pStyle w:val="Compact"/>
              <w:jc w:val="center"/>
            </w:pPr>
            <w:r>
              <w:t xml:space="preserve">[0.14357, 0.14757]</w:t>
            </w:r>
          </w:p>
        </w:tc>
        <w:tc>
          <w:tcPr/>
          <w:p>
            <w:pPr>
              <w:pStyle w:val="Compact"/>
              <w:jc w:val="center"/>
            </w:pPr>
            <w:r>
              <w:t xml:space="preserve">0.20246</w:t>
            </w:r>
          </w:p>
        </w:tc>
        <w:tc>
          <w:tcPr/>
          <w:p>
            <w:pPr>
              <w:pStyle w:val="Compact"/>
              <w:jc w:val="center"/>
            </w:pPr>
            <w:r>
              <w:t xml:space="preserve">[0.20057, 0.2043]</w:t>
            </w:r>
          </w:p>
        </w:tc>
      </w:tr>
      <w:tr>
        <w:tc>
          <w:tcPr/>
          <w:p>
            <w:pPr>
              <w:pStyle w:val="Compact"/>
              <w:jc w:val="center"/>
            </w:pPr>
            <w:r>
              <w:t xml:space="preserve">Nicoya</w:t>
            </w:r>
          </w:p>
        </w:tc>
        <w:tc>
          <w:tcPr/>
          <w:p>
            <w:pPr>
              <w:pStyle w:val="Compact"/>
              <w:jc w:val="center"/>
            </w:pPr>
            <w:r>
              <w:t xml:space="preserve">0.13887</w:t>
            </w:r>
          </w:p>
        </w:tc>
        <w:tc>
          <w:tcPr/>
          <w:p>
            <w:pPr>
              <w:pStyle w:val="Compact"/>
              <w:jc w:val="center"/>
            </w:pPr>
            <w:r>
              <w:t xml:space="preserve">[0.13707, 0.14067]</w:t>
            </w:r>
          </w:p>
        </w:tc>
        <w:tc>
          <w:tcPr/>
          <w:p>
            <w:pPr>
              <w:pStyle w:val="Compact"/>
              <w:jc w:val="center"/>
            </w:pPr>
            <w:r>
              <w:t xml:space="preserve">0.19343</w:t>
            </w:r>
          </w:p>
        </w:tc>
        <w:tc>
          <w:tcPr/>
          <w:p>
            <w:pPr>
              <w:pStyle w:val="Compact"/>
              <w:jc w:val="center"/>
            </w:pPr>
            <w:r>
              <w:t xml:space="preserve">[0.19117, 0.19568]</w:t>
            </w:r>
          </w:p>
        </w:tc>
      </w:tr>
      <w:tr>
        <w:tc>
          <w:tcPr/>
          <w:p>
            <w:pPr>
              <w:pStyle w:val="Compact"/>
              <w:jc w:val="center"/>
            </w:pPr>
            <w:r>
              <w:t xml:space="preserve">Oreamuno</w:t>
            </w:r>
          </w:p>
        </w:tc>
        <w:tc>
          <w:tcPr/>
          <w:p>
            <w:pPr>
              <w:pStyle w:val="Compact"/>
              <w:jc w:val="center"/>
            </w:pPr>
            <w:r>
              <w:t xml:space="preserve">0.14284</w:t>
            </w:r>
          </w:p>
        </w:tc>
        <w:tc>
          <w:tcPr/>
          <w:p>
            <w:pPr>
              <w:pStyle w:val="Compact"/>
              <w:jc w:val="center"/>
            </w:pPr>
            <w:r>
              <w:t xml:space="preserve">[0.14124, 0.14447]</w:t>
            </w:r>
          </w:p>
        </w:tc>
        <w:tc>
          <w:tcPr/>
          <w:p>
            <w:pPr>
              <w:pStyle w:val="Compact"/>
              <w:jc w:val="center"/>
            </w:pPr>
            <w:r>
              <w:t xml:space="preserve">0.20584</w:t>
            </w:r>
          </w:p>
        </w:tc>
        <w:tc>
          <w:tcPr/>
          <w:p>
            <w:pPr>
              <w:pStyle w:val="Compact"/>
              <w:jc w:val="center"/>
            </w:pPr>
            <w:r>
              <w:t xml:space="preserve">[0.20377, 0.20791]</w:t>
            </w:r>
          </w:p>
        </w:tc>
      </w:tr>
      <w:tr>
        <w:tc>
          <w:tcPr/>
          <w:p>
            <w:pPr>
              <w:pStyle w:val="Compact"/>
              <w:jc w:val="center"/>
            </w:pPr>
            <w:r>
              <w:t xml:space="preserve">Orotina</w:t>
            </w:r>
          </w:p>
        </w:tc>
        <w:tc>
          <w:tcPr/>
          <w:p>
            <w:pPr>
              <w:pStyle w:val="Compact"/>
              <w:jc w:val="center"/>
            </w:pPr>
            <w:r>
              <w:t xml:space="preserve">0.13847</w:t>
            </w:r>
          </w:p>
        </w:tc>
        <w:tc>
          <w:tcPr/>
          <w:p>
            <w:pPr>
              <w:pStyle w:val="Compact"/>
              <w:jc w:val="center"/>
            </w:pPr>
            <w:r>
              <w:t xml:space="preserve">[0.137, 0.13995]</w:t>
            </w:r>
          </w:p>
        </w:tc>
        <w:tc>
          <w:tcPr/>
          <w:p>
            <w:pPr>
              <w:pStyle w:val="Compact"/>
              <w:jc w:val="center"/>
            </w:pPr>
            <w:r>
              <w:t xml:space="preserve">0.19699</w:t>
            </w:r>
          </w:p>
        </w:tc>
        <w:tc>
          <w:tcPr/>
          <w:p>
            <w:pPr>
              <w:pStyle w:val="Compact"/>
              <w:jc w:val="center"/>
            </w:pPr>
            <w:r>
              <w:t xml:space="preserve">[0.19512, 0.19882]</w:t>
            </w:r>
          </w:p>
        </w:tc>
      </w:tr>
      <w:tr>
        <w:tc>
          <w:tcPr/>
          <w:p>
            <w:pPr>
              <w:pStyle w:val="Compact"/>
              <w:jc w:val="center"/>
            </w:pPr>
            <w:r>
              <w:t xml:space="preserve">Osa</w:t>
            </w:r>
          </w:p>
        </w:tc>
        <w:tc>
          <w:tcPr/>
          <w:p>
            <w:pPr>
              <w:pStyle w:val="Compact"/>
              <w:jc w:val="center"/>
            </w:pPr>
            <w:r>
              <w:t xml:space="preserve">0.12323</w:t>
            </w:r>
          </w:p>
        </w:tc>
        <w:tc>
          <w:tcPr/>
          <w:p>
            <w:pPr>
              <w:pStyle w:val="Compact"/>
              <w:jc w:val="center"/>
            </w:pPr>
            <w:r>
              <w:t xml:space="preserve">[0.12095, 0.12553]</w:t>
            </w:r>
          </w:p>
        </w:tc>
        <w:tc>
          <w:tcPr/>
          <w:p>
            <w:pPr>
              <w:pStyle w:val="Compact"/>
              <w:jc w:val="center"/>
            </w:pPr>
            <w:r>
              <w:t xml:space="preserve">0.18917</w:t>
            </w:r>
          </w:p>
        </w:tc>
        <w:tc>
          <w:tcPr/>
          <w:p>
            <w:pPr>
              <w:pStyle w:val="Compact"/>
              <w:jc w:val="center"/>
            </w:pPr>
            <w:r>
              <w:t xml:space="preserve">[0.18646, 0.19189]</w:t>
            </w:r>
          </w:p>
        </w:tc>
      </w:tr>
      <w:tr>
        <w:tc>
          <w:tcPr/>
          <w:p>
            <w:pPr>
              <w:pStyle w:val="Compact"/>
              <w:jc w:val="center"/>
            </w:pPr>
            <w:r>
              <w:t xml:space="preserve">Palmares</w:t>
            </w:r>
          </w:p>
        </w:tc>
        <w:tc>
          <w:tcPr/>
          <w:p>
            <w:pPr>
              <w:pStyle w:val="Compact"/>
              <w:jc w:val="center"/>
            </w:pPr>
            <w:r>
              <w:t xml:space="preserve">0.15174</w:t>
            </w:r>
          </w:p>
        </w:tc>
        <w:tc>
          <w:tcPr/>
          <w:p>
            <w:pPr>
              <w:pStyle w:val="Compact"/>
              <w:jc w:val="center"/>
            </w:pPr>
            <w:r>
              <w:t xml:space="preserve">[0.15002, 0.15343]</w:t>
            </w:r>
          </w:p>
        </w:tc>
        <w:tc>
          <w:tcPr/>
          <w:p>
            <w:pPr>
              <w:pStyle w:val="Compact"/>
              <w:jc w:val="center"/>
            </w:pPr>
            <w:r>
              <w:t xml:space="preserve">0.20603</w:t>
            </w:r>
          </w:p>
        </w:tc>
        <w:tc>
          <w:tcPr/>
          <w:p>
            <w:pPr>
              <w:pStyle w:val="Compact"/>
              <w:jc w:val="center"/>
            </w:pPr>
            <w:r>
              <w:t xml:space="preserve">[0.20435, 0.20768]</w:t>
            </w:r>
          </w:p>
        </w:tc>
      </w:tr>
      <w:tr>
        <w:tc>
          <w:tcPr/>
          <w:p>
            <w:pPr>
              <w:pStyle w:val="Compact"/>
              <w:jc w:val="center"/>
            </w:pPr>
            <w:r>
              <w:t xml:space="preserve">Paraiso</w:t>
            </w:r>
          </w:p>
        </w:tc>
        <w:tc>
          <w:tcPr/>
          <w:p>
            <w:pPr>
              <w:pStyle w:val="Compact"/>
              <w:jc w:val="center"/>
            </w:pPr>
            <w:r>
              <w:t xml:space="preserve">0.14649</w:t>
            </w:r>
          </w:p>
        </w:tc>
        <w:tc>
          <w:tcPr/>
          <w:p>
            <w:pPr>
              <w:pStyle w:val="Compact"/>
              <w:jc w:val="center"/>
            </w:pPr>
            <w:r>
              <w:t xml:space="preserve">[0.14454, 0.14847]</w:t>
            </w:r>
          </w:p>
        </w:tc>
        <w:tc>
          <w:tcPr/>
          <w:p>
            <w:pPr>
              <w:pStyle w:val="Compact"/>
              <w:jc w:val="center"/>
            </w:pPr>
            <w:r>
              <w:t xml:space="preserve">0.19921</w:t>
            </w:r>
          </w:p>
        </w:tc>
        <w:tc>
          <w:tcPr/>
          <w:p>
            <w:pPr>
              <w:pStyle w:val="Compact"/>
              <w:jc w:val="center"/>
            </w:pPr>
            <w:r>
              <w:t xml:space="preserve">[0.19774, 0.20062]</w:t>
            </w:r>
          </w:p>
        </w:tc>
      </w:tr>
      <w:tr>
        <w:tc>
          <w:tcPr/>
          <w:p>
            <w:pPr>
              <w:pStyle w:val="Compact"/>
              <w:jc w:val="center"/>
            </w:pPr>
            <w:r>
              <w:t xml:space="preserve">Parrita</w:t>
            </w:r>
          </w:p>
        </w:tc>
        <w:tc>
          <w:tcPr/>
          <w:p>
            <w:pPr>
              <w:pStyle w:val="Compact"/>
              <w:jc w:val="center"/>
            </w:pPr>
            <w:r>
              <w:t xml:space="preserve">0.13311</w:t>
            </w:r>
          </w:p>
        </w:tc>
        <w:tc>
          <w:tcPr/>
          <w:p>
            <w:pPr>
              <w:pStyle w:val="Compact"/>
              <w:jc w:val="center"/>
            </w:pPr>
            <w:r>
              <w:t xml:space="preserve">[0.13122, 0.13504]</w:t>
            </w:r>
          </w:p>
        </w:tc>
        <w:tc>
          <w:tcPr/>
          <w:p>
            <w:pPr>
              <w:pStyle w:val="Compact"/>
              <w:jc w:val="center"/>
            </w:pPr>
            <w:r>
              <w:t xml:space="preserve">0.19314</w:t>
            </w:r>
          </w:p>
        </w:tc>
        <w:tc>
          <w:tcPr/>
          <w:p>
            <w:pPr>
              <w:pStyle w:val="Compact"/>
              <w:jc w:val="center"/>
            </w:pPr>
            <w:r>
              <w:t xml:space="preserve">[0.19134, 0.19488]</w:t>
            </w:r>
          </w:p>
        </w:tc>
      </w:tr>
      <w:tr>
        <w:tc>
          <w:tcPr/>
          <w:p>
            <w:pPr>
              <w:pStyle w:val="Compact"/>
              <w:jc w:val="center"/>
            </w:pPr>
            <w:r>
              <w:t xml:space="preserve">Perez Zeledon</w:t>
            </w:r>
          </w:p>
        </w:tc>
        <w:tc>
          <w:tcPr/>
          <w:p>
            <w:pPr>
              <w:pStyle w:val="Compact"/>
              <w:jc w:val="center"/>
            </w:pPr>
            <w:r>
              <w:t xml:space="preserve">0.13395</w:t>
            </w:r>
          </w:p>
        </w:tc>
        <w:tc>
          <w:tcPr/>
          <w:p>
            <w:pPr>
              <w:pStyle w:val="Compact"/>
              <w:jc w:val="center"/>
            </w:pPr>
            <w:r>
              <w:t xml:space="preserve">[0.13273, 0.1352]</w:t>
            </w:r>
          </w:p>
        </w:tc>
        <w:tc>
          <w:tcPr/>
          <w:p>
            <w:pPr>
              <w:pStyle w:val="Compact"/>
              <w:jc w:val="center"/>
            </w:pPr>
            <w:r>
              <w:t xml:space="preserve">0.19147</w:t>
            </w:r>
          </w:p>
        </w:tc>
        <w:tc>
          <w:tcPr/>
          <w:p>
            <w:pPr>
              <w:pStyle w:val="Compact"/>
              <w:jc w:val="center"/>
            </w:pPr>
            <w:r>
              <w:t xml:space="preserve">[0.18984, 0.19306]</w:t>
            </w:r>
          </w:p>
        </w:tc>
      </w:tr>
      <w:tr>
        <w:tc>
          <w:tcPr/>
          <w:p>
            <w:pPr>
              <w:pStyle w:val="Compact"/>
              <w:jc w:val="center"/>
            </w:pPr>
            <w:r>
              <w:t xml:space="preserve">Poas</w:t>
            </w:r>
          </w:p>
        </w:tc>
        <w:tc>
          <w:tcPr/>
          <w:p>
            <w:pPr>
              <w:pStyle w:val="Compact"/>
              <w:jc w:val="center"/>
            </w:pPr>
            <w:r>
              <w:t xml:space="preserve">0.14608</w:t>
            </w:r>
          </w:p>
        </w:tc>
        <w:tc>
          <w:tcPr/>
          <w:p>
            <w:pPr>
              <w:pStyle w:val="Compact"/>
              <w:jc w:val="center"/>
            </w:pPr>
            <w:r>
              <w:t xml:space="preserve">[0.1443, 0.14789]</w:t>
            </w:r>
          </w:p>
        </w:tc>
        <w:tc>
          <w:tcPr/>
          <w:p>
            <w:pPr>
              <w:pStyle w:val="Compact"/>
              <w:jc w:val="center"/>
            </w:pPr>
            <w:r>
              <w:t xml:space="preserve">0.19600</w:t>
            </w:r>
          </w:p>
        </w:tc>
        <w:tc>
          <w:tcPr/>
          <w:p>
            <w:pPr>
              <w:pStyle w:val="Compact"/>
              <w:jc w:val="center"/>
            </w:pPr>
            <w:r>
              <w:t xml:space="preserve">[0.19415, 0.19785]</w:t>
            </w:r>
          </w:p>
        </w:tc>
      </w:tr>
      <w:tr>
        <w:tc>
          <w:tcPr/>
          <w:p>
            <w:pPr>
              <w:pStyle w:val="Compact"/>
              <w:jc w:val="center"/>
            </w:pPr>
            <w:r>
              <w:t xml:space="preserve">Pococi</w:t>
            </w:r>
          </w:p>
        </w:tc>
        <w:tc>
          <w:tcPr/>
          <w:p>
            <w:pPr>
              <w:pStyle w:val="Compact"/>
              <w:jc w:val="center"/>
            </w:pPr>
            <w:r>
              <w:t xml:space="preserve">0.13402</w:t>
            </w:r>
          </w:p>
        </w:tc>
        <w:tc>
          <w:tcPr/>
          <w:p>
            <w:pPr>
              <w:pStyle w:val="Compact"/>
              <w:jc w:val="center"/>
            </w:pPr>
            <w:r>
              <w:t xml:space="preserve">[0.13227, 0.13583]</w:t>
            </w:r>
          </w:p>
        </w:tc>
        <w:tc>
          <w:tcPr/>
          <w:p>
            <w:pPr>
              <w:pStyle w:val="Compact"/>
              <w:jc w:val="center"/>
            </w:pPr>
            <w:r>
              <w:t xml:space="preserve">0.18629</w:t>
            </w:r>
          </w:p>
        </w:tc>
        <w:tc>
          <w:tcPr/>
          <w:p>
            <w:pPr>
              <w:pStyle w:val="Compact"/>
              <w:jc w:val="center"/>
            </w:pPr>
            <w:r>
              <w:t xml:space="preserve">[0.18428, 0.18833]</w:t>
            </w:r>
          </w:p>
        </w:tc>
      </w:tr>
      <w:tr>
        <w:tc>
          <w:tcPr/>
          <w:p>
            <w:pPr>
              <w:pStyle w:val="Compact"/>
              <w:jc w:val="center"/>
            </w:pPr>
            <w:r>
              <w:t xml:space="preserve">Puntarenas</w:t>
            </w:r>
          </w:p>
        </w:tc>
        <w:tc>
          <w:tcPr/>
          <w:p>
            <w:pPr>
              <w:pStyle w:val="Compact"/>
              <w:jc w:val="center"/>
            </w:pPr>
            <w:r>
              <w:t xml:space="preserve">0.13486</w:t>
            </w:r>
          </w:p>
        </w:tc>
        <w:tc>
          <w:tcPr/>
          <w:p>
            <w:pPr>
              <w:pStyle w:val="Compact"/>
              <w:jc w:val="center"/>
            </w:pPr>
            <w:r>
              <w:t xml:space="preserve">[0.13359, 0.13611]</w:t>
            </w:r>
          </w:p>
        </w:tc>
        <w:tc>
          <w:tcPr/>
          <w:p>
            <w:pPr>
              <w:pStyle w:val="Compact"/>
              <w:jc w:val="center"/>
            </w:pPr>
            <w:r>
              <w:t xml:space="preserve">0.19402</w:t>
            </w:r>
          </w:p>
        </w:tc>
        <w:tc>
          <w:tcPr/>
          <w:p>
            <w:pPr>
              <w:pStyle w:val="Compact"/>
              <w:jc w:val="center"/>
            </w:pPr>
            <w:r>
              <w:t xml:space="preserve">[0.19245, 0.19557]</w:t>
            </w:r>
          </w:p>
        </w:tc>
      </w:tr>
      <w:tr>
        <w:tc>
          <w:tcPr/>
          <w:p>
            <w:pPr>
              <w:pStyle w:val="Compact"/>
              <w:jc w:val="center"/>
            </w:pPr>
            <w:r>
              <w:t xml:space="preserve">Puriscal</w:t>
            </w:r>
          </w:p>
        </w:tc>
        <w:tc>
          <w:tcPr/>
          <w:p>
            <w:pPr>
              <w:pStyle w:val="Compact"/>
              <w:jc w:val="center"/>
            </w:pPr>
            <w:r>
              <w:t xml:space="preserve">0.14789</w:t>
            </w:r>
          </w:p>
        </w:tc>
        <w:tc>
          <w:tcPr/>
          <w:p>
            <w:pPr>
              <w:pStyle w:val="Compact"/>
              <w:jc w:val="center"/>
            </w:pPr>
            <w:r>
              <w:t xml:space="preserve">[0.14581, 0.14995]</w:t>
            </w:r>
          </w:p>
        </w:tc>
        <w:tc>
          <w:tcPr/>
          <w:p>
            <w:pPr>
              <w:pStyle w:val="Compact"/>
              <w:jc w:val="center"/>
            </w:pPr>
            <w:r>
              <w:t xml:space="preserve">0.19622</w:t>
            </w:r>
          </w:p>
        </w:tc>
        <w:tc>
          <w:tcPr/>
          <w:p>
            <w:pPr>
              <w:pStyle w:val="Compact"/>
              <w:jc w:val="center"/>
            </w:pPr>
            <w:r>
              <w:t xml:space="preserve">[0.19269, 0.19985]</w:t>
            </w:r>
          </w:p>
        </w:tc>
      </w:tr>
      <w:tr>
        <w:tc>
          <w:tcPr/>
          <w:p>
            <w:pPr>
              <w:pStyle w:val="Compact"/>
              <w:jc w:val="center"/>
            </w:pPr>
            <w:r>
              <w:t xml:space="preserve">Quepos</w:t>
            </w:r>
          </w:p>
        </w:tc>
        <w:tc>
          <w:tcPr/>
          <w:p>
            <w:pPr>
              <w:pStyle w:val="Compact"/>
              <w:jc w:val="center"/>
            </w:pPr>
            <w:r>
              <w:t xml:space="preserve">0.13772</w:t>
            </w:r>
          </w:p>
        </w:tc>
        <w:tc>
          <w:tcPr/>
          <w:p>
            <w:pPr>
              <w:pStyle w:val="Compact"/>
              <w:jc w:val="center"/>
            </w:pPr>
            <w:r>
              <w:t xml:space="preserve">[0.13621, 0.13929]</w:t>
            </w:r>
          </w:p>
        </w:tc>
        <w:tc>
          <w:tcPr/>
          <w:p>
            <w:pPr>
              <w:pStyle w:val="Compact"/>
              <w:jc w:val="center"/>
            </w:pPr>
            <w:r>
              <w:t xml:space="preserve">0.19031</w:t>
            </w:r>
          </w:p>
        </w:tc>
        <w:tc>
          <w:tcPr/>
          <w:p>
            <w:pPr>
              <w:pStyle w:val="Compact"/>
              <w:jc w:val="center"/>
            </w:pPr>
            <w:r>
              <w:t xml:space="preserve">[0.18847, 0.19214]</w:t>
            </w:r>
          </w:p>
        </w:tc>
      </w:tr>
      <w:tr>
        <w:tc>
          <w:tcPr/>
          <w:p>
            <w:pPr>
              <w:pStyle w:val="Compact"/>
              <w:jc w:val="center"/>
            </w:pPr>
            <w:r>
              <w:t xml:space="preserve">San Carlos</w:t>
            </w:r>
          </w:p>
        </w:tc>
        <w:tc>
          <w:tcPr/>
          <w:p>
            <w:pPr>
              <w:pStyle w:val="Compact"/>
              <w:jc w:val="center"/>
            </w:pPr>
            <w:r>
              <w:t xml:space="preserve">0.13096</w:t>
            </w:r>
          </w:p>
        </w:tc>
        <w:tc>
          <w:tcPr/>
          <w:p>
            <w:pPr>
              <w:pStyle w:val="Compact"/>
              <w:jc w:val="center"/>
            </w:pPr>
            <w:r>
              <w:t xml:space="preserve">[0.12904, 0.13284]</w:t>
            </w:r>
          </w:p>
        </w:tc>
        <w:tc>
          <w:tcPr/>
          <w:p>
            <w:pPr>
              <w:pStyle w:val="Compact"/>
              <w:jc w:val="center"/>
            </w:pPr>
            <w:r>
              <w:t xml:space="preserve">0.19314</w:t>
            </w:r>
          </w:p>
        </w:tc>
        <w:tc>
          <w:tcPr/>
          <w:p>
            <w:pPr>
              <w:pStyle w:val="Compact"/>
              <w:jc w:val="center"/>
            </w:pPr>
            <w:r>
              <w:t xml:space="preserve">[0.19085, 0.19541]</w:t>
            </w:r>
          </w:p>
        </w:tc>
      </w:tr>
      <w:tr>
        <w:tc>
          <w:tcPr/>
          <w:p>
            <w:pPr>
              <w:pStyle w:val="Compact"/>
              <w:jc w:val="center"/>
            </w:pPr>
            <w:r>
              <w:t xml:space="preserve">San Isidro</w:t>
            </w:r>
          </w:p>
        </w:tc>
        <w:tc>
          <w:tcPr/>
          <w:p>
            <w:pPr>
              <w:pStyle w:val="Compact"/>
              <w:jc w:val="center"/>
            </w:pPr>
            <w:r>
              <w:t xml:space="preserve">0.15440</w:t>
            </w:r>
          </w:p>
        </w:tc>
        <w:tc>
          <w:tcPr/>
          <w:p>
            <w:pPr>
              <w:pStyle w:val="Compact"/>
              <w:jc w:val="center"/>
            </w:pPr>
            <w:r>
              <w:t xml:space="preserve">[0.15213, 0.15665]</w:t>
            </w:r>
          </w:p>
        </w:tc>
        <w:tc>
          <w:tcPr/>
          <w:p>
            <w:pPr>
              <w:pStyle w:val="Compact"/>
              <w:jc w:val="center"/>
            </w:pPr>
            <w:r>
              <w:t xml:space="preserve">0.21693</w:t>
            </w:r>
          </w:p>
        </w:tc>
        <w:tc>
          <w:tcPr/>
          <w:p>
            <w:pPr>
              <w:pStyle w:val="Compact"/>
              <w:jc w:val="center"/>
            </w:pPr>
            <w:r>
              <w:t xml:space="preserve">[0.21425, 0.2196]</w:t>
            </w:r>
          </w:p>
        </w:tc>
      </w:tr>
      <w:tr>
        <w:tc>
          <w:tcPr/>
          <w:p>
            <w:pPr>
              <w:pStyle w:val="Compact"/>
              <w:jc w:val="center"/>
            </w:pPr>
            <w:r>
              <w:t xml:space="preserve">San Jose</w:t>
            </w:r>
          </w:p>
        </w:tc>
        <w:tc>
          <w:tcPr/>
          <w:p>
            <w:pPr>
              <w:pStyle w:val="Compact"/>
              <w:jc w:val="center"/>
            </w:pPr>
            <w:r>
              <w:t xml:space="preserve">0.15220</w:t>
            </w:r>
          </w:p>
        </w:tc>
        <w:tc>
          <w:tcPr/>
          <w:p>
            <w:pPr>
              <w:pStyle w:val="Compact"/>
              <w:jc w:val="center"/>
            </w:pPr>
            <w:r>
              <w:t xml:space="preserve">[0.15028, 0.15419]</w:t>
            </w:r>
          </w:p>
        </w:tc>
        <w:tc>
          <w:tcPr/>
          <w:p>
            <w:pPr>
              <w:pStyle w:val="Compact"/>
              <w:jc w:val="center"/>
            </w:pPr>
            <w:r>
              <w:t xml:space="preserve">0.20525</w:t>
            </w:r>
          </w:p>
        </w:tc>
        <w:tc>
          <w:tcPr/>
          <w:p>
            <w:pPr>
              <w:pStyle w:val="Compact"/>
              <w:jc w:val="center"/>
            </w:pPr>
            <w:r>
              <w:t xml:space="preserve">[0.20291, 0.20758]</w:t>
            </w:r>
          </w:p>
        </w:tc>
      </w:tr>
      <w:tr>
        <w:tc>
          <w:tcPr/>
          <w:p>
            <w:pPr>
              <w:pStyle w:val="Compact"/>
              <w:jc w:val="center"/>
            </w:pPr>
            <w:r>
              <w:t xml:space="preserve">San Mateo</w:t>
            </w:r>
          </w:p>
        </w:tc>
        <w:tc>
          <w:tcPr/>
          <w:p>
            <w:pPr>
              <w:pStyle w:val="Compact"/>
              <w:jc w:val="center"/>
            </w:pPr>
            <w:r>
              <w:t xml:space="preserve">0.13887</w:t>
            </w:r>
          </w:p>
        </w:tc>
        <w:tc>
          <w:tcPr/>
          <w:p>
            <w:pPr>
              <w:pStyle w:val="Compact"/>
              <w:jc w:val="center"/>
            </w:pPr>
            <w:r>
              <w:t xml:space="preserve">[0.13659, 0.14112]</w:t>
            </w:r>
          </w:p>
        </w:tc>
        <w:tc>
          <w:tcPr/>
          <w:p>
            <w:pPr>
              <w:pStyle w:val="Compact"/>
              <w:jc w:val="center"/>
            </w:pPr>
            <w:r>
              <w:t xml:space="preserve">0.19864</w:t>
            </w:r>
          </w:p>
        </w:tc>
        <w:tc>
          <w:tcPr/>
          <w:p>
            <w:pPr>
              <w:pStyle w:val="Compact"/>
              <w:jc w:val="center"/>
            </w:pPr>
            <w:r>
              <w:t xml:space="preserve">[0.19569, 0.20157]</w:t>
            </w:r>
          </w:p>
        </w:tc>
      </w:tr>
      <w:tr>
        <w:tc>
          <w:tcPr/>
          <w:p>
            <w:pPr>
              <w:pStyle w:val="Compact"/>
              <w:jc w:val="center"/>
            </w:pPr>
            <w:r>
              <w:t xml:space="preserve">San Pablo</w:t>
            </w:r>
          </w:p>
        </w:tc>
        <w:tc>
          <w:tcPr/>
          <w:p>
            <w:pPr>
              <w:pStyle w:val="Compact"/>
              <w:jc w:val="center"/>
            </w:pPr>
            <w:r>
              <w:t xml:space="preserve">0.15510</w:t>
            </w:r>
          </w:p>
        </w:tc>
        <w:tc>
          <w:tcPr/>
          <w:p>
            <w:pPr>
              <w:pStyle w:val="Compact"/>
              <w:jc w:val="center"/>
            </w:pPr>
            <w:r>
              <w:t xml:space="preserve">[0.15212, 0.15811]</w:t>
            </w:r>
          </w:p>
        </w:tc>
        <w:tc>
          <w:tcPr/>
          <w:p>
            <w:pPr>
              <w:pStyle w:val="Compact"/>
              <w:jc w:val="center"/>
            </w:pPr>
            <w:r>
              <w:t xml:space="preserve">0.21520</w:t>
            </w:r>
          </w:p>
        </w:tc>
        <w:tc>
          <w:tcPr/>
          <w:p>
            <w:pPr>
              <w:pStyle w:val="Compact"/>
              <w:jc w:val="center"/>
            </w:pPr>
            <w:r>
              <w:t xml:space="preserve">[0.21286, 0.21749]</w:t>
            </w:r>
          </w:p>
        </w:tc>
      </w:tr>
      <w:tr>
        <w:tc>
          <w:tcPr/>
          <w:p>
            <w:pPr>
              <w:pStyle w:val="Compact"/>
              <w:jc w:val="center"/>
            </w:pPr>
            <w:r>
              <w:t xml:space="preserve">San Rafael</w:t>
            </w:r>
          </w:p>
        </w:tc>
        <w:tc>
          <w:tcPr/>
          <w:p>
            <w:pPr>
              <w:pStyle w:val="Compact"/>
              <w:jc w:val="center"/>
            </w:pPr>
            <w:r>
              <w:t xml:space="preserve">0.15386</w:t>
            </w:r>
          </w:p>
        </w:tc>
        <w:tc>
          <w:tcPr/>
          <w:p>
            <w:pPr>
              <w:pStyle w:val="Compact"/>
              <w:jc w:val="center"/>
            </w:pPr>
            <w:r>
              <w:t xml:space="preserve">[0.15188, 0.15581]</w:t>
            </w:r>
          </w:p>
        </w:tc>
        <w:tc>
          <w:tcPr/>
          <w:p>
            <w:pPr>
              <w:pStyle w:val="Compact"/>
              <w:jc w:val="center"/>
            </w:pPr>
            <w:r>
              <w:t xml:space="preserve">0.20979</w:t>
            </w:r>
          </w:p>
        </w:tc>
        <w:tc>
          <w:tcPr/>
          <w:p>
            <w:pPr>
              <w:pStyle w:val="Compact"/>
              <w:jc w:val="center"/>
            </w:pPr>
            <w:r>
              <w:t xml:space="preserve">[0.20769, 0.21185]</w:t>
            </w:r>
          </w:p>
        </w:tc>
      </w:tr>
      <w:tr>
        <w:tc>
          <w:tcPr/>
          <w:p>
            <w:pPr>
              <w:pStyle w:val="Compact"/>
              <w:jc w:val="center"/>
            </w:pPr>
            <w:r>
              <w:t xml:space="preserve">San Ramon</w:t>
            </w:r>
          </w:p>
        </w:tc>
        <w:tc>
          <w:tcPr/>
          <w:p>
            <w:pPr>
              <w:pStyle w:val="Compact"/>
              <w:jc w:val="center"/>
            </w:pPr>
            <w:r>
              <w:t xml:space="preserve">0.14398</w:t>
            </w:r>
          </w:p>
        </w:tc>
        <w:tc>
          <w:tcPr/>
          <w:p>
            <w:pPr>
              <w:pStyle w:val="Compact"/>
              <w:jc w:val="center"/>
            </w:pPr>
            <w:r>
              <w:t xml:space="preserve">[0.14259, 0.14536]</w:t>
            </w:r>
          </w:p>
        </w:tc>
        <w:tc>
          <w:tcPr/>
          <w:p>
            <w:pPr>
              <w:pStyle w:val="Compact"/>
              <w:jc w:val="center"/>
            </w:pPr>
            <w:r>
              <w:t xml:space="preserve">0.19957</w:t>
            </w:r>
          </w:p>
        </w:tc>
        <w:tc>
          <w:tcPr/>
          <w:p>
            <w:pPr>
              <w:pStyle w:val="Compact"/>
              <w:jc w:val="center"/>
            </w:pPr>
            <w:r>
              <w:t xml:space="preserve">[0.19764, 0.20147]</w:t>
            </w:r>
          </w:p>
        </w:tc>
      </w:tr>
      <w:tr>
        <w:tc>
          <w:tcPr/>
          <w:p>
            <w:pPr>
              <w:pStyle w:val="Compact"/>
              <w:jc w:val="center"/>
            </w:pPr>
            <w:r>
              <w:t xml:space="preserve">Santa Ana</w:t>
            </w:r>
          </w:p>
        </w:tc>
        <w:tc>
          <w:tcPr/>
          <w:p>
            <w:pPr>
              <w:pStyle w:val="Compact"/>
              <w:jc w:val="center"/>
            </w:pPr>
            <w:r>
              <w:t xml:space="preserve">0.14753</w:t>
            </w:r>
          </w:p>
        </w:tc>
        <w:tc>
          <w:tcPr/>
          <w:p>
            <w:pPr>
              <w:pStyle w:val="Compact"/>
              <w:jc w:val="center"/>
            </w:pPr>
            <w:r>
              <w:t xml:space="preserve">[0.14473, 0.15037]</w:t>
            </w:r>
          </w:p>
        </w:tc>
        <w:tc>
          <w:tcPr/>
          <w:p>
            <w:pPr>
              <w:pStyle w:val="Compact"/>
              <w:jc w:val="center"/>
            </w:pPr>
            <w:r>
              <w:t xml:space="preserve">0.21331</w:t>
            </w:r>
          </w:p>
        </w:tc>
        <w:tc>
          <w:tcPr/>
          <w:p>
            <w:pPr>
              <w:pStyle w:val="Compact"/>
              <w:jc w:val="center"/>
            </w:pPr>
            <w:r>
              <w:t xml:space="preserve">[0.21085, 0.21575]</w:t>
            </w:r>
          </w:p>
        </w:tc>
      </w:tr>
      <w:tr>
        <w:tc>
          <w:tcPr/>
          <w:p>
            <w:pPr>
              <w:pStyle w:val="Compact"/>
              <w:jc w:val="center"/>
            </w:pPr>
            <w:r>
              <w:t xml:space="preserve">Santa Barbara</w:t>
            </w:r>
          </w:p>
        </w:tc>
        <w:tc>
          <w:tcPr/>
          <w:p>
            <w:pPr>
              <w:pStyle w:val="Compact"/>
              <w:jc w:val="center"/>
            </w:pPr>
            <w:r>
              <w:t xml:space="preserve">0.15008</w:t>
            </w:r>
          </w:p>
        </w:tc>
        <w:tc>
          <w:tcPr/>
          <w:p>
            <w:pPr>
              <w:pStyle w:val="Compact"/>
              <w:jc w:val="center"/>
            </w:pPr>
            <w:r>
              <w:t xml:space="preserve">[0.14831, 0.15181]</w:t>
            </w:r>
          </w:p>
        </w:tc>
        <w:tc>
          <w:tcPr/>
          <w:p>
            <w:pPr>
              <w:pStyle w:val="Compact"/>
              <w:jc w:val="center"/>
            </w:pPr>
            <w:r>
              <w:t xml:space="preserve">0.20963</w:t>
            </w:r>
          </w:p>
        </w:tc>
        <w:tc>
          <w:tcPr/>
          <w:p>
            <w:pPr>
              <w:pStyle w:val="Compact"/>
              <w:jc w:val="center"/>
            </w:pPr>
            <w:r>
              <w:t xml:space="preserve">[0.20758, 0.21166]</w:t>
            </w:r>
          </w:p>
        </w:tc>
      </w:tr>
      <w:tr>
        <w:tc>
          <w:tcPr/>
          <w:p>
            <w:pPr>
              <w:pStyle w:val="Compact"/>
              <w:jc w:val="center"/>
            </w:pPr>
            <w:r>
              <w:t xml:space="preserve">Santa Cruz</w:t>
            </w:r>
          </w:p>
        </w:tc>
        <w:tc>
          <w:tcPr/>
          <w:p>
            <w:pPr>
              <w:pStyle w:val="Compact"/>
              <w:jc w:val="center"/>
            </w:pPr>
            <w:r>
              <w:t xml:space="preserve">0.14334</w:t>
            </w:r>
          </w:p>
        </w:tc>
        <w:tc>
          <w:tcPr/>
          <w:p>
            <w:pPr>
              <w:pStyle w:val="Compact"/>
              <w:jc w:val="center"/>
            </w:pPr>
            <w:r>
              <w:t xml:space="preserve">[0.14128, 0.1454]</w:t>
            </w:r>
          </w:p>
        </w:tc>
        <w:tc>
          <w:tcPr/>
          <w:p>
            <w:pPr>
              <w:pStyle w:val="Compact"/>
              <w:jc w:val="center"/>
            </w:pPr>
            <w:r>
              <w:t xml:space="preserve">0.19022</w:t>
            </w:r>
          </w:p>
        </w:tc>
        <w:tc>
          <w:tcPr/>
          <w:p>
            <w:pPr>
              <w:pStyle w:val="Compact"/>
              <w:jc w:val="center"/>
            </w:pPr>
            <w:r>
              <w:t xml:space="preserve">[0.18762, 0.1929]</w:t>
            </w:r>
          </w:p>
        </w:tc>
      </w:tr>
      <w:tr>
        <w:tc>
          <w:tcPr/>
          <w:p>
            <w:pPr>
              <w:pStyle w:val="Compact"/>
              <w:jc w:val="center"/>
            </w:pPr>
            <w:r>
              <w:t xml:space="preserve">Santo Domingo</w:t>
            </w:r>
          </w:p>
        </w:tc>
        <w:tc>
          <w:tcPr/>
          <w:p>
            <w:pPr>
              <w:pStyle w:val="Compact"/>
              <w:jc w:val="center"/>
            </w:pPr>
            <w:r>
              <w:t xml:space="preserve">0.15720</w:t>
            </w:r>
          </w:p>
        </w:tc>
        <w:tc>
          <w:tcPr/>
          <w:p>
            <w:pPr>
              <w:pStyle w:val="Compact"/>
              <w:jc w:val="center"/>
            </w:pPr>
            <w:r>
              <w:t xml:space="preserve">[0.15501, 0.15938]</w:t>
            </w:r>
          </w:p>
        </w:tc>
        <w:tc>
          <w:tcPr/>
          <w:p>
            <w:pPr>
              <w:pStyle w:val="Compact"/>
              <w:jc w:val="center"/>
            </w:pPr>
            <w:r>
              <w:t xml:space="preserve">0.21487</w:t>
            </w:r>
          </w:p>
        </w:tc>
        <w:tc>
          <w:tcPr/>
          <w:p>
            <w:pPr>
              <w:pStyle w:val="Compact"/>
              <w:jc w:val="center"/>
            </w:pPr>
            <w:r>
              <w:t xml:space="preserve">[0.21239, 0.2173]</w:t>
            </w:r>
          </w:p>
        </w:tc>
      </w:tr>
      <w:tr>
        <w:tc>
          <w:tcPr/>
          <w:p>
            <w:pPr>
              <w:pStyle w:val="Compact"/>
              <w:jc w:val="center"/>
            </w:pPr>
            <w:r>
              <w:t xml:space="preserve">Sarapiqui</w:t>
            </w:r>
          </w:p>
        </w:tc>
        <w:tc>
          <w:tcPr/>
          <w:p>
            <w:pPr>
              <w:pStyle w:val="Compact"/>
              <w:jc w:val="center"/>
            </w:pPr>
            <w:r>
              <w:t xml:space="preserve">0.12051</w:t>
            </w:r>
          </w:p>
        </w:tc>
        <w:tc>
          <w:tcPr/>
          <w:p>
            <w:pPr>
              <w:pStyle w:val="Compact"/>
              <w:jc w:val="center"/>
            </w:pPr>
            <w:r>
              <w:t xml:space="preserve">[0.11874, 0.12233]</w:t>
            </w:r>
          </w:p>
        </w:tc>
        <w:tc>
          <w:tcPr/>
          <w:p>
            <w:pPr>
              <w:pStyle w:val="Compact"/>
              <w:jc w:val="center"/>
            </w:pPr>
            <w:r>
              <w:t xml:space="preserve">0.18089</w:t>
            </w:r>
          </w:p>
        </w:tc>
        <w:tc>
          <w:tcPr/>
          <w:p>
            <w:pPr>
              <w:pStyle w:val="Compact"/>
              <w:jc w:val="center"/>
            </w:pPr>
            <w:r>
              <w:t xml:space="preserve">[0.17847, 0.18333]</w:t>
            </w:r>
          </w:p>
        </w:tc>
      </w:tr>
      <w:tr>
        <w:tc>
          <w:tcPr/>
          <w:p>
            <w:pPr>
              <w:pStyle w:val="Compact"/>
              <w:jc w:val="center"/>
            </w:pPr>
            <w:r>
              <w:t xml:space="preserve">Sarchi</w:t>
            </w:r>
          </w:p>
        </w:tc>
        <w:tc>
          <w:tcPr/>
          <w:p>
            <w:pPr>
              <w:pStyle w:val="Compact"/>
              <w:jc w:val="center"/>
            </w:pPr>
            <w:r>
              <w:t xml:space="preserve">0.14647</w:t>
            </w:r>
          </w:p>
        </w:tc>
        <w:tc>
          <w:tcPr/>
          <w:p>
            <w:pPr>
              <w:pStyle w:val="Compact"/>
              <w:jc w:val="center"/>
            </w:pPr>
            <w:r>
              <w:t xml:space="preserve">[0.14444, 0.14851]</w:t>
            </w:r>
          </w:p>
        </w:tc>
        <w:tc>
          <w:tcPr/>
          <w:p>
            <w:pPr>
              <w:pStyle w:val="Compact"/>
              <w:jc w:val="center"/>
            </w:pPr>
            <w:r>
              <w:t xml:space="preserve">0.19619</w:t>
            </w:r>
          </w:p>
        </w:tc>
        <w:tc>
          <w:tcPr/>
          <w:p>
            <w:pPr>
              <w:pStyle w:val="Compact"/>
              <w:jc w:val="center"/>
            </w:pPr>
            <w:r>
              <w:t xml:space="preserve">[0.19349, 0.19893]</w:t>
            </w:r>
          </w:p>
        </w:tc>
      </w:tr>
      <w:tr>
        <w:tc>
          <w:tcPr/>
          <w:p>
            <w:pPr>
              <w:pStyle w:val="Compact"/>
              <w:jc w:val="center"/>
            </w:pPr>
            <w:r>
              <w:t xml:space="preserve">Siquirres</w:t>
            </w:r>
          </w:p>
        </w:tc>
        <w:tc>
          <w:tcPr/>
          <w:p>
            <w:pPr>
              <w:pStyle w:val="Compact"/>
              <w:jc w:val="center"/>
            </w:pPr>
            <w:r>
              <w:t xml:space="preserve">0.12822</w:t>
            </w:r>
          </w:p>
        </w:tc>
        <w:tc>
          <w:tcPr/>
          <w:p>
            <w:pPr>
              <w:pStyle w:val="Compact"/>
              <w:jc w:val="center"/>
            </w:pPr>
            <w:r>
              <w:t xml:space="preserve">[0.12676, 0.12968]</w:t>
            </w:r>
          </w:p>
        </w:tc>
        <w:tc>
          <w:tcPr/>
          <w:p>
            <w:pPr>
              <w:pStyle w:val="Compact"/>
              <w:jc w:val="center"/>
            </w:pPr>
            <w:r>
              <w:t xml:space="preserve">0.18880</w:t>
            </w:r>
          </w:p>
        </w:tc>
        <w:tc>
          <w:tcPr/>
          <w:p>
            <w:pPr>
              <w:pStyle w:val="Compact"/>
              <w:jc w:val="center"/>
            </w:pPr>
            <w:r>
              <w:t xml:space="preserve">[0.18707, 0.19053]</w:t>
            </w:r>
          </w:p>
        </w:tc>
      </w:tr>
      <w:tr>
        <w:tc>
          <w:tcPr/>
          <w:p>
            <w:pPr>
              <w:pStyle w:val="Compact"/>
              <w:jc w:val="center"/>
            </w:pPr>
            <w:r>
              <w:t xml:space="preserve">Talamanca</w:t>
            </w:r>
          </w:p>
        </w:tc>
        <w:tc>
          <w:tcPr/>
          <w:p>
            <w:pPr>
              <w:pStyle w:val="Compact"/>
              <w:jc w:val="center"/>
            </w:pPr>
            <w:r>
              <w:t xml:space="preserve">0.10117</w:t>
            </w:r>
          </w:p>
        </w:tc>
        <w:tc>
          <w:tcPr/>
          <w:p>
            <w:pPr>
              <w:pStyle w:val="Compact"/>
              <w:jc w:val="center"/>
            </w:pPr>
            <w:r>
              <w:t xml:space="preserve">[0.09779, 0.1046]</w:t>
            </w:r>
          </w:p>
        </w:tc>
        <w:tc>
          <w:tcPr/>
          <w:p>
            <w:pPr>
              <w:pStyle w:val="Compact"/>
              <w:jc w:val="center"/>
            </w:pPr>
            <w:r>
              <w:t xml:space="preserve">0.17762</w:t>
            </w:r>
          </w:p>
        </w:tc>
        <w:tc>
          <w:tcPr/>
          <w:p>
            <w:pPr>
              <w:pStyle w:val="Compact"/>
              <w:jc w:val="center"/>
            </w:pPr>
            <w:r>
              <w:t xml:space="preserve">[0.17413, 0.18114]</w:t>
            </w:r>
          </w:p>
        </w:tc>
      </w:tr>
      <w:tr>
        <w:tc>
          <w:tcPr/>
          <w:p>
            <w:pPr>
              <w:pStyle w:val="Compact"/>
              <w:jc w:val="center"/>
            </w:pPr>
            <w:r>
              <w:t xml:space="preserve">Tarrazu</w:t>
            </w:r>
          </w:p>
        </w:tc>
        <w:tc>
          <w:tcPr/>
          <w:p>
            <w:pPr>
              <w:pStyle w:val="Compact"/>
              <w:jc w:val="center"/>
            </w:pPr>
            <w:r>
              <w:t xml:space="preserve">0.13067</w:t>
            </w:r>
          </w:p>
        </w:tc>
        <w:tc>
          <w:tcPr/>
          <w:p>
            <w:pPr>
              <w:pStyle w:val="Compact"/>
              <w:jc w:val="center"/>
            </w:pPr>
            <w:r>
              <w:t xml:space="preserve">[0.12911, 0.13226]</w:t>
            </w:r>
          </w:p>
        </w:tc>
        <w:tc>
          <w:tcPr/>
          <w:p>
            <w:pPr>
              <w:pStyle w:val="Compact"/>
              <w:jc w:val="center"/>
            </w:pPr>
            <w:r>
              <w:t xml:space="preserve">0.19458</w:t>
            </w:r>
          </w:p>
        </w:tc>
        <w:tc>
          <w:tcPr/>
          <w:p>
            <w:pPr>
              <w:pStyle w:val="Compact"/>
              <w:jc w:val="center"/>
            </w:pPr>
            <w:r>
              <w:t xml:space="preserve">[0.19276, 0.19642]</w:t>
            </w:r>
          </w:p>
        </w:tc>
      </w:tr>
      <w:tr>
        <w:tc>
          <w:tcPr/>
          <w:p>
            <w:pPr>
              <w:pStyle w:val="Compact"/>
              <w:jc w:val="center"/>
            </w:pPr>
            <w:r>
              <w:t xml:space="preserve">Tibas</w:t>
            </w:r>
          </w:p>
        </w:tc>
        <w:tc>
          <w:tcPr/>
          <w:p>
            <w:pPr>
              <w:pStyle w:val="Compact"/>
              <w:jc w:val="center"/>
            </w:pPr>
            <w:r>
              <w:t xml:space="preserve">0.15626</w:t>
            </w:r>
          </w:p>
        </w:tc>
        <w:tc>
          <w:tcPr/>
          <w:p>
            <w:pPr>
              <w:pStyle w:val="Compact"/>
              <w:jc w:val="center"/>
            </w:pPr>
            <w:r>
              <w:t xml:space="preserve">[0.15416, 0.15837]</w:t>
            </w:r>
          </w:p>
        </w:tc>
        <w:tc>
          <w:tcPr/>
          <w:p>
            <w:pPr>
              <w:pStyle w:val="Compact"/>
              <w:jc w:val="center"/>
            </w:pPr>
            <w:r>
              <w:t xml:space="preserve">0.20752</w:t>
            </w:r>
          </w:p>
        </w:tc>
        <w:tc>
          <w:tcPr/>
          <w:p>
            <w:pPr>
              <w:pStyle w:val="Compact"/>
              <w:jc w:val="center"/>
            </w:pPr>
            <w:r>
              <w:t xml:space="preserve">[0.20509, 0.20993]</w:t>
            </w:r>
          </w:p>
        </w:tc>
      </w:tr>
      <w:tr>
        <w:tc>
          <w:tcPr/>
          <w:p>
            <w:pPr>
              <w:pStyle w:val="Compact"/>
              <w:jc w:val="center"/>
            </w:pPr>
            <w:r>
              <w:t xml:space="preserve">Tilaran</w:t>
            </w:r>
          </w:p>
        </w:tc>
        <w:tc>
          <w:tcPr/>
          <w:p>
            <w:pPr>
              <w:pStyle w:val="Compact"/>
              <w:jc w:val="center"/>
            </w:pPr>
            <w:r>
              <w:t xml:space="preserve">0.14055</w:t>
            </w:r>
          </w:p>
        </w:tc>
        <w:tc>
          <w:tcPr/>
          <w:p>
            <w:pPr>
              <w:pStyle w:val="Compact"/>
              <w:jc w:val="center"/>
            </w:pPr>
            <w:r>
              <w:t xml:space="preserve">[0.1389, 0.14223]</w:t>
            </w:r>
          </w:p>
        </w:tc>
        <w:tc>
          <w:tcPr/>
          <w:p>
            <w:pPr>
              <w:pStyle w:val="Compact"/>
              <w:jc w:val="center"/>
            </w:pPr>
            <w:r>
              <w:t xml:space="preserve">0.19843</w:t>
            </w:r>
          </w:p>
        </w:tc>
        <w:tc>
          <w:tcPr/>
          <w:p>
            <w:pPr>
              <w:pStyle w:val="Compact"/>
              <w:jc w:val="center"/>
            </w:pPr>
            <w:r>
              <w:t xml:space="preserve">[0.19663, 0.20016]</w:t>
            </w:r>
          </w:p>
        </w:tc>
      </w:tr>
      <w:tr>
        <w:tc>
          <w:tcPr/>
          <w:p>
            <w:pPr>
              <w:pStyle w:val="Compact"/>
              <w:jc w:val="center"/>
            </w:pPr>
            <w:r>
              <w:t xml:space="preserve">Turrialba</w:t>
            </w:r>
          </w:p>
        </w:tc>
        <w:tc>
          <w:tcPr/>
          <w:p>
            <w:pPr>
              <w:pStyle w:val="Compact"/>
              <w:jc w:val="center"/>
            </w:pPr>
            <w:r>
              <w:t xml:space="preserve">0.13858</w:t>
            </w:r>
          </w:p>
        </w:tc>
        <w:tc>
          <w:tcPr/>
          <w:p>
            <w:pPr>
              <w:pStyle w:val="Compact"/>
              <w:jc w:val="center"/>
            </w:pPr>
            <w:r>
              <w:t xml:space="preserve">[0.13685, 0.14033]</w:t>
            </w:r>
          </w:p>
        </w:tc>
        <w:tc>
          <w:tcPr/>
          <w:p>
            <w:pPr>
              <w:pStyle w:val="Compact"/>
              <w:jc w:val="center"/>
            </w:pPr>
            <w:r>
              <w:t xml:space="preserve">0.19674</w:t>
            </w:r>
          </w:p>
        </w:tc>
        <w:tc>
          <w:tcPr/>
          <w:p>
            <w:pPr>
              <w:pStyle w:val="Compact"/>
              <w:jc w:val="center"/>
            </w:pPr>
            <w:r>
              <w:t xml:space="preserve">[0.19501, 0.19847]</w:t>
            </w:r>
          </w:p>
        </w:tc>
      </w:tr>
      <w:tr>
        <w:tc>
          <w:tcPr/>
          <w:p>
            <w:pPr>
              <w:pStyle w:val="Compact"/>
              <w:jc w:val="center"/>
            </w:pPr>
            <w:r>
              <w:t xml:space="preserve">Turrubares</w:t>
            </w:r>
          </w:p>
        </w:tc>
        <w:tc>
          <w:tcPr/>
          <w:p>
            <w:pPr>
              <w:pStyle w:val="Compact"/>
              <w:jc w:val="center"/>
            </w:pPr>
            <w:r>
              <w:t xml:space="preserve">0.14667</w:t>
            </w:r>
          </w:p>
        </w:tc>
        <w:tc>
          <w:tcPr/>
          <w:p>
            <w:pPr>
              <w:pStyle w:val="Compact"/>
              <w:jc w:val="center"/>
            </w:pPr>
            <w:r>
              <w:t xml:space="preserve">[0.1428, 0.1507]</w:t>
            </w:r>
          </w:p>
        </w:tc>
        <w:tc>
          <w:tcPr/>
          <w:p>
            <w:pPr>
              <w:pStyle w:val="Compact"/>
              <w:jc w:val="center"/>
            </w:pPr>
            <w:r>
              <w:t xml:space="preserve">0.17948</w:t>
            </w:r>
          </w:p>
        </w:tc>
        <w:tc>
          <w:tcPr/>
          <w:p>
            <w:pPr>
              <w:pStyle w:val="Compact"/>
              <w:jc w:val="center"/>
            </w:pPr>
            <w:r>
              <w:t xml:space="preserve">[0.1749, 0.18437]</w:t>
            </w:r>
          </w:p>
        </w:tc>
      </w:tr>
      <w:tr>
        <w:tc>
          <w:tcPr/>
          <w:p>
            <w:pPr>
              <w:pStyle w:val="Compact"/>
              <w:jc w:val="center"/>
            </w:pPr>
            <w:r>
              <w:t xml:space="preserve">Upala</w:t>
            </w:r>
          </w:p>
        </w:tc>
        <w:tc>
          <w:tcPr/>
          <w:p>
            <w:pPr>
              <w:pStyle w:val="Compact"/>
              <w:jc w:val="center"/>
            </w:pPr>
            <w:r>
              <w:t xml:space="preserve">0.11776</w:t>
            </w:r>
          </w:p>
        </w:tc>
        <w:tc>
          <w:tcPr/>
          <w:p>
            <w:pPr>
              <w:pStyle w:val="Compact"/>
              <w:jc w:val="center"/>
            </w:pPr>
            <w:r>
              <w:t xml:space="preserve">[0.11572, 0.11985]</w:t>
            </w:r>
          </w:p>
        </w:tc>
        <w:tc>
          <w:tcPr/>
          <w:p>
            <w:pPr>
              <w:pStyle w:val="Compact"/>
              <w:jc w:val="center"/>
            </w:pPr>
            <w:r>
              <w:t xml:space="preserve">0.18586</w:t>
            </w:r>
          </w:p>
        </w:tc>
        <w:tc>
          <w:tcPr/>
          <w:p>
            <w:pPr>
              <w:pStyle w:val="Compact"/>
              <w:jc w:val="center"/>
            </w:pPr>
            <w:r>
              <w:t xml:space="preserve">[0.18321, 0.1885]</w:t>
            </w:r>
          </w:p>
        </w:tc>
      </w:tr>
      <w:tr>
        <w:tc>
          <w:tcPr/>
          <w:p>
            <w:pPr>
              <w:pStyle w:val="Compact"/>
              <w:jc w:val="center"/>
            </w:pPr>
            <w:r>
              <w:t xml:space="preserve">Vazquez De Coronado</w:t>
            </w:r>
          </w:p>
        </w:tc>
        <w:tc>
          <w:tcPr/>
          <w:p>
            <w:pPr>
              <w:pStyle w:val="Compact"/>
              <w:jc w:val="center"/>
            </w:pPr>
            <w:r>
              <w:t xml:space="preserve">0.15645</w:t>
            </w:r>
          </w:p>
        </w:tc>
        <w:tc>
          <w:tcPr/>
          <w:p>
            <w:pPr>
              <w:pStyle w:val="Compact"/>
              <w:jc w:val="center"/>
            </w:pPr>
            <w:r>
              <w:t xml:space="preserve">[0.1547, 0.15819]</w:t>
            </w:r>
          </w:p>
        </w:tc>
        <w:tc>
          <w:tcPr/>
          <w:p>
            <w:pPr>
              <w:pStyle w:val="Compact"/>
              <w:jc w:val="center"/>
            </w:pPr>
            <w:r>
              <w:t xml:space="preserve">0.21151</w:t>
            </w:r>
          </w:p>
        </w:tc>
        <w:tc>
          <w:tcPr/>
          <w:p>
            <w:pPr>
              <w:pStyle w:val="Compact"/>
              <w:jc w:val="center"/>
            </w:pPr>
            <w:r>
              <w:t xml:space="preserve">[0.20951, 0.21343]</w:t>
            </w:r>
          </w:p>
        </w:tc>
      </w:tr>
      <w:tr>
        <w:tc>
          <w:tcPr/>
          <w:p>
            <w:pPr>
              <w:pStyle w:val="Compact"/>
              <w:jc w:val="center"/>
            </w:pPr>
            <w:r>
              <w:t xml:space="preserve">Zarcero</w:t>
            </w:r>
          </w:p>
        </w:tc>
        <w:tc>
          <w:tcPr/>
          <w:p>
            <w:pPr>
              <w:pStyle w:val="Compact"/>
              <w:jc w:val="center"/>
            </w:pPr>
            <w:r>
              <w:t xml:space="preserve">0.14198</w:t>
            </w:r>
          </w:p>
        </w:tc>
        <w:tc>
          <w:tcPr/>
          <w:p>
            <w:pPr>
              <w:pStyle w:val="Compact"/>
              <w:jc w:val="center"/>
            </w:pPr>
            <w:r>
              <w:t xml:space="preserve">[0.13857, 0.1454]</w:t>
            </w:r>
          </w:p>
        </w:tc>
        <w:tc>
          <w:tcPr/>
          <w:p>
            <w:pPr>
              <w:pStyle w:val="Compact"/>
              <w:jc w:val="center"/>
            </w:pPr>
            <w:r>
              <w:t xml:space="preserve">0.21224</w:t>
            </w:r>
          </w:p>
        </w:tc>
        <w:tc>
          <w:tcPr/>
          <w:p>
            <w:pPr>
              <w:pStyle w:val="Compact"/>
              <w:jc w:val="center"/>
            </w:pPr>
            <w:r>
              <w:t xml:space="preserve">[0.20828, 0.21631]</w:t>
            </w:r>
          </w:p>
        </w:tc>
      </w:tr>
      <w:tr>
        <w:tc>
          <w:tcPr/>
          <w:p>
            <w:pPr>
              <w:pStyle w:val="Compact"/>
              <w:jc w:val="center"/>
            </w:pPr>
            <w:r>
              <w:t xml:space="preserve">Pais</w:t>
            </w:r>
          </w:p>
        </w:tc>
        <w:tc>
          <w:tcPr/>
          <w:p>
            <w:pPr>
              <w:pStyle w:val="Compact"/>
              <w:jc w:val="center"/>
            </w:pPr>
            <w:r>
              <w:t xml:space="preserve">0.14143</w:t>
            </w:r>
          </w:p>
        </w:tc>
        <w:tc>
          <w:tcPr/>
          <w:p>
            <w:pPr>
              <w:pStyle w:val="Compact"/>
              <w:jc w:val="center"/>
            </w:pPr>
            <w:r>
              <w:t xml:space="preserve">[0.14025, 0.14258]</w:t>
            </w:r>
          </w:p>
        </w:tc>
        <w:tc>
          <w:tcPr/>
          <w:p>
            <w:pPr>
              <w:pStyle w:val="Compact"/>
              <w:jc w:val="center"/>
            </w:pPr>
            <w:r>
              <w:t xml:space="preserve">0.19847</w:t>
            </w:r>
          </w:p>
        </w:tc>
        <w:tc>
          <w:tcPr/>
          <w:p>
            <w:pPr>
              <w:pStyle w:val="Compact"/>
              <w:jc w:val="center"/>
            </w:pPr>
            <w:r>
              <w:t xml:space="preserve">[0.19708, 0.19978]</w:t>
            </w:r>
          </w:p>
        </w:tc>
      </w:tr>
    </w:tbl>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30" Target="media/rId30.png" /><Relationship Type="http://schemas.openxmlformats.org/officeDocument/2006/relationships/hyperlink" Id="rId59" Target="https://apps.who.int/iris/bitstream/handle/10665/274792/WHO-NMH-PND-ECHO-18.1-eng.pdf" TargetMode="External" /><Relationship Type="http://schemas.openxmlformats.org/officeDocument/2006/relationships/hyperlink" Id="rId63" Target="https://doi.org/10.1001/jamapediatrics.2024.1576" TargetMode="External" /><Relationship Type="http://schemas.openxmlformats.org/officeDocument/2006/relationships/hyperlink" Id="rId40" Target="https://doi.org/10.1016/s0140-6736(25)00397-6" TargetMode="External" /><Relationship Type="http://schemas.openxmlformats.org/officeDocument/2006/relationships/hyperlink" Id="rId38" Target="https://doi.org/10.1017/S1368980021002032" TargetMode="External" /><Relationship Type="http://schemas.openxmlformats.org/officeDocument/2006/relationships/hyperlink" Id="rId44" Target="https://doi.org/10.1186/s12889-023-15486-1" TargetMode="External" /><Relationship Type="http://schemas.openxmlformats.org/officeDocument/2006/relationships/hyperlink" Id="rId50" Target="https://doi.org/10.1201/9780429341823" TargetMode="External" /><Relationship Type="http://schemas.openxmlformats.org/officeDocument/2006/relationships/hyperlink" Id="rId54" Target="https://doi.org/10.1201/9781032641522" TargetMode="External" /><Relationship Type="http://schemas.openxmlformats.org/officeDocument/2006/relationships/hyperlink" Id="rId42" Target="https://doi.org/10.1201/9781420072884" TargetMode="External" /><Relationship Type="http://schemas.openxmlformats.org/officeDocument/2006/relationships/hyperlink" Id="rId46" Target="https://doi.org/10.17843/rpmesp.2016.333.2298" TargetMode="External" /><Relationship Type="http://schemas.openxmlformats.org/officeDocument/2006/relationships/hyperlink" Id="rId56" Target="https://doi.org/10.20960/nh.04130" TargetMode="External" /><Relationship Type="http://schemas.openxmlformats.org/officeDocument/2006/relationships/hyperlink" Id="rId52" Target="https://doi.org/10.32614/RJ-2021-017" TargetMode="External" /><Relationship Type="http://schemas.openxmlformats.org/officeDocument/2006/relationships/hyperlink" Id="rId67" Target="https://github.com/CA0307-II-2025/grupo-1" TargetMode="External" /><Relationship Type="http://schemas.openxmlformats.org/officeDocument/2006/relationships/hyperlink" Id="rId35" Target="https://www.binasss.sa.cr/opac-ms/media/digitales/Censo%20escolar%20peso-talla,%20Costa%20Rica%202016.%20Informe%20ejecutivo%20y%20resultados.pdf" TargetMode="External" /><Relationship Type="http://schemas.openxmlformats.org/officeDocument/2006/relationships/hyperlink" Id="rId48" Target="https://www.jmlr.org/papers/v15/hoffman14a.html" TargetMode="External" /></Relationships>
</file>

<file path=word/_rels/footnotes.xml.rels><?xml version="1.0" encoding="UTF-8"?><Relationships xmlns="http://schemas.openxmlformats.org/package/2006/relationships"><Relationship Type="http://schemas.openxmlformats.org/officeDocument/2006/relationships/hyperlink" Id="rId59" Target="https://apps.who.int/iris/bitstream/handle/10665/274792/WHO-NMH-PND-ECHO-18.1-eng.pdf" TargetMode="External" /><Relationship Type="http://schemas.openxmlformats.org/officeDocument/2006/relationships/hyperlink" Id="rId63" Target="https://doi.org/10.1001/jamapediatrics.2024.1576" TargetMode="External" /><Relationship Type="http://schemas.openxmlformats.org/officeDocument/2006/relationships/hyperlink" Id="rId40" Target="https://doi.org/10.1016/s0140-6736(25)00397-6" TargetMode="External" /><Relationship Type="http://schemas.openxmlformats.org/officeDocument/2006/relationships/hyperlink" Id="rId38" Target="https://doi.org/10.1017/S1368980021002032" TargetMode="External" /><Relationship Type="http://schemas.openxmlformats.org/officeDocument/2006/relationships/hyperlink" Id="rId44" Target="https://doi.org/10.1186/s12889-023-15486-1" TargetMode="External" /><Relationship Type="http://schemas.openxmlformats.org/officeDocument/2006/relationships/hyperlink" Id="rId50" Target="https://doi.org/10.1201/9780429341823" TargetMode="External" /><Relationship Type="http://schemas.openxmlformats.org/officeDocument/2006/relationships/hyperlink" Id="rId54" Target="https://doi.org/10.1201/9781032641522" TargetMode="External" /><Relationship Type="http://schemas.openxmlformats.org/officeDocument/2006/relationships/hyperlink" Id="rId42" Target="https://doi.org/10.1201/9781420072884" TargetMode="External" /><Relationship Type="http://schemas.openxmlformats.org/officeDocument/2006/relationships/hyperlink" Id="rId46" Target="https://doi.org/10.17843/rpmesp.2016.333.2298" TargetMode="External" /><Relationship Type="http://schemas.openxmlformats.org/officeDocument/2006/relationships/hyperlink" Id="rId56" Target="https://doi.org/10.20960/nh.04130" TargetMode="External" /><Relationship Type="http://schemas.openxmlformats.org/officeDocument/2006/relationships/hyperlink" Id="rId52" Target="https://doi.org/10.32614/RJ-2021-017" TargetMode="External" /><Relationship Type="http://schemas.openxmlformats.org/officeDocument/2006/relationships/hyperlink" Id="rId67" Target="https://github.com/CA0307-II-2025/grupo-1" TargetMode="External" /><Relationship Type="http://schemas.openxmlformats.org/officeDocument/2006/relationships/hyperlink" Id="rId35" Target="https://www.binasss.sa.cr/opac-ms/media/digitales/Censo%20escolar%20peso-talla,%20Costa%20Rica%202016.%20Informe%20ejecutivo%20y%20resultados.pdf" TargetMode="External" /><Relationship Type="http://schemas.openxmlformats.org/officeDocument/2006/relationships/hyperlink" Id="rId48" Target="https://www.jmlr.org/papers/v15/hoffman14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Estimación Bayesiana de la prevalencia de sobrepeso y obesidad infantil en Costa Rica</dc:title>
  <dc:creator>José Carlos Quintero; Paola Espinoza; Julián Soto; María Paula Jiménez</dc:creator>
  <dc:language>es</dc:language>
  <cp:keywords/>
  <dcterms:created xsi:type="dcterms:W3CDTF">2025-11-28T06:50:57Z</dcterms:created>
  <dcterms:modified xsi:type="dcterms:W3CDTF">2025-11-28T06:50:57Z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bibliografía.bib</vt:lpwstr>
  </property>
  <property fmtid="{D5CDD505-2E9C-101B-9397-08002B2CF9AE}" pid="3" name="csl">
    <vt:lpwstr>apa.csl</vt:lpwstr>
  </property>
  <property fmtid="{D5CDD505-2E9C-101B-9397-08002B2CF9AE}" pid="4" name="date">
    <vt:lpwstr>28 de noviembre de 2025</vt:lpwstr>
  </property>
  <property fmtid="{D5CDD505-2E9C-101B-9397-08002B2CF9AE}" pid="5" name="geometry">
    <vt:lpwstr>margin=1in</vt:lpwstr>
  </property>
  <property fmtid="{D5CDD505-2E9C-101B-9397-08002B2CF9AE}" pid="6" name="header-includes">
    <vt:lpwstr/>
  </property>
  <property fmtid="{D5CDD505-2E9C-101B-9397-08002B2CF9AE}" pid="7" name="link-citations">
    <vt:lpwstr>True</vt:lpwstr>
  </property>
  <property fmtid="{D5CDD505-2E9C-101B-9397-08002B2CF9AE}" pid="8" name="nocite">
    <vt:lpwstr>@*</vt:lpwstr>
  </property>
  <property fmtid="{D5CDD505-2E9C-101B-9397-08002B2CF9AE}" pid="9" name="output">
    <vt:lpwstr/>
  </property>
</Properties>
</file>