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BC73" w14:textId="77777777" w:rsidR="00B5371D" w:rsidRDefault="00421FDD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PAYAL THARWANI</w:t>
      </w:r>
    </w:p>
    <w:p w14:paraId="09EA4E5D" w14:textId="77777777" w:rsidR="00B5371D" w:rsidRDefault="00421FDD">
      <w:pPr>
        <w:spacing w:after="80"/>
        <w:jc w:val="center"/>
      </w:pPr>
      <w:r>
        <w:rPr>
          <w:rFonts w:ascii="Calibri" w:eastAsia="Calibri" w:hAnsi="Calibri" w:cs="Calibri"/>
          <w:color w:val="555555"/>
          <w:sz w:val="21"/>
          <w:szCs w:val="21"/>
        </w:rPr>
        <w:t>Tax Auditor | Corporate Tax Compliance | Audit Methodology | Risk Assessment | Financial Analysis</w:t>
      </w:r>
    </w:p>
    <w:p w14:paraId="7CCCFD4E" w14:textId="77777777" w:rsidR="00B5371D" w:rsidRDefault="00421FDD">
      <w:pPr>
        <w:pBdr>
          <w:bottom w:val="single" w:sz="6" w:space="8" w:color="1F3864"/>
        </w:pBdr>
        <w:spacing w:after="200"/>
        <w:jc w:val="center"/>
      </w:pPr>
      <w:r>
        <w:rPr>
          <w:rFonts w:ascii="Calibri" w:eastAsia="Calibri" w:hAnsi="Calibri" w:cs="Calibri"/>
          <w:color w:val="222222"/>
        </w:rPr>
        <w:t xml:space="preserve">Brooklyn, </w:t>
      </w:r>
      <w:proofErr w:type="gramStart"/>
      <w:r>
        <w:rPr>
          <w:rFonts w:ascii="Calibri" w:eastAsia="Calibri" w:hAnsi="Calibri" w:cs="Calibri"/>
          <w:color w:val="222222"/>
        </w:rPr>
        <w:t>NY  |</w:t>
      </w:r>
      <w:proofErr w:type="gramEnd"/>
      <w:r>
        <w:rPr>
          <w:rFonts w:ascii="Calibri" w:eastAsia="Calibri" w:hAnsi="Calibri" w:cs="Calibri"/>
          <w:color w:val="222222"/>
        </w:rPr>
        <w:t xml:space="preserve">  617-949-</w:t>
      </w:r>
      <w:proofErr w:type="gramStart"/>
      <w:r>
        <w:rPr>
          <w:rFonts w:ascii="Calibri" w:eastAsia="Calibri" w:hAnsi="Calibri" w:cs="Calibri"/>
          <w:color w:val="222222"/>
        </w:rPr>
        <w:t>1805  |</w:t>
      </w:r>
      <w:proofErr w:type="gramEnd"/>
      <w:r>
        <w:rPr>
          <w:rFonts w:ascii="Calibri" w:eastAsia="Calibri" w:hAnsi="Calibri" w:cs="Calibri"/>
          <w:color w:val="222222"/>
        </w:rPr>
        <w:t xml:space="preserve">  </w:t>
      </w:r>
      <w:proofErr w:type="gramStart"/>
      <w:r>
        <w:rPr>
          <w:rFonts w:ascii="Calibri" w:eastAsia="Calibri" w:hAnsi="Calibri" w:cs="Calibri"/>
          <w:color w:val="222222"/>
        </w:rPr>
        <w:t>payaltharwani25@gmail.com  |</w:t>
      </w:r>
      <w:proofErr w:type="gramEnd"/>
      <w:r>
        <w:rPr>
          <w:rFonts w:ascii="Calibri" w:eastAsia="Calibri" w:hAnsi="Calibri" w:cs="Calibri"/>
          <w:color w:val="222222"/>
        </w:rPr>
        <w:t xml:space="preserve">  linkedin.com/in/payal-tharwani-b2bb12b3</w:t>
      </w:r>
    </w:p>
    <w:p w14:paraId="5F1E8A07" w14:textId="77777777" w:rsidR="00B5371D" w:rsidRDefault="00421FDD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SUMMARY</w:t>
      </w:r>
    </w:p>
    <w:p w14:paraId="31A20F94" w14:textId="77777777" w:rsidR="00B5371D" w:rsidRDefault="00421FDD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>Results-driven Tax and Audit professional with 15+ years of progressive experience spanning corporate tax audits, financial services, and wealth management. Proven track record delivering high-impact audit findings for multi-state and Fortune 500 entities, recovering underreported taxes up to $1.2M per engagement and exceeding recovery targets by 30%. Deep expertise in GAAP/ASC standards, multi-state tax compliance, audit methodology, internal control evaluation, and regulatory risk assessment. Skilled at m</w:t>
      </w:r>
      <w:r>
        <w:rPr>
          <w:rFonts w:ascii="Calibri" w:eastAsia="Calibri" w:hAnsi="Calibri" w:cs="Calibri"/>
          <w:color w:val="222222"/>
          <w:sz w:val="21"/>
          <w:szCs w:val="21"/>
        </w:rPr>
        <w:t>anaging complex engagements, synthesizing financial data, and communicating findings to C-suite executives and legal teams. Currently pursuing a PhD in Management, reinforcing a commitment to analytical rigor and continuous professional development.</w:t>
      </w:r>
    </w:p>
    <w:p w14:paraId="313C5CDC" w14:textId="77777777" w:rsidR="00B5371D" w:rsidRDefault="00421FDD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CORE COMPETENCIES</w:t>
      </w:r>
    </w:p>
    <w:p w14:paraId="73C33152" w14:textId="27FF623B" w:rsidR="00B5371D" w:rsidRDefault="00421FDD">
      <w:pPr>
        <w:spacing w:after="16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Corporate Tax Audits  •  Multi-State Tax Compliance  •  GAAP/ASC </w:t>
      </w:r>
      <w:r w:rsidR="003B229B">
        <w:rPr>
          <w:rFonts w:ascii="Calibri" w:eastAsia="Calibri" w:hAnsi="Calibri" w:cs="Calibri"/>
          <w:color w:val="222222"/>
          <w:sz w:val="21"/>
          <w:szCs w:val="21"/>
        </w:rPr>
        <w:t>Standards •</w:t>
      </w:r>
      <w:r>
        <w:rPr>
          <w:rFonts w:ascii="Calibri" w:eastAsia="Calibri" w:hAnsi="Calibri" w:cs="Calibri"/>
          <w:color w:val="222222"/>
          <w:sz w:val="21"/>
          <w:szCs w:val="21"/>
        </w:rPr>
        <w:t xml:space="preserve">  Risk Assessment &amp; Audit Methodology  •  Financial Statement Analysis  •  Internal Controls Evaluation  •  Apportionment &amp; Intercompany Transactions  •  Regulatory Compliance (KYC/AML/RBI)  •  Wealth &amp; Portfolio Management  •  Client Relationship Management  •  SEC EDGAR | LexisNexis | Capital IQ  •  Process Improvement  •  Executive &amp; Stakeholder Communication</w:t>
      </w:r>
    </w:p>
    <w:p w14:paraId="224808FB" w14:textId="77777777" w:rsidR="00B5371D" w:rsidRDefault="00421FDD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PROFESSIONAL EXPERIENCE</w:t>
      </w:r>
    </w:p>
    <w:p w14:paraId="408D5821" w14:textId="77777777" w:rsidR="00B5371D" w:rsidRDefault="00421FDD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Tax Auditor</w:t>
      </w:r>
      <w:r>
        <w:rPr>
          <w:rFonts w:ascii="Calibri" w:eastAsia="Calibri" w:hAnsi="Calibri" w:cs="Calibri"/>
          <w:b/>
          <w:bCs/>
          <w:color w:val="555555"/>
        </w:rPr>
        <w:tab/>
        <w:t>07/2023 – Present</w:t>
      </w:r>
    </w:p>
    <w:p w14:paraId="097AC6C1" w14:textId="77777777" w:rsidR="00B5371D" w:rsidRDefault="00421FDD">
      <w:pPr>
        <w:spacing w:after="8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California Franchise Tax Board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 |   New York, NY</w:t>
      </w:r>
    </w:p>
    <w:p w14:paraId="462788A5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Lead end-to-end corporate tax audits for multi-state entities, identifying underreported taxes ranging from $50K to $1.2M per engagement while consistently meeting California regulatory standards.</w:t>
      </w:r>
    </w:p>
    <w:p w14:paraId="75B1F40F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Execute risk-based audit assessments and define engagement scope, documenting findings in PASS in accordance with California audit standards to ensure defensible, audit-ready workpapers.</w:t>
      </w:r>
    </w:p>
    <w:p w14:paraId="46ECE6A6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Analyze financial statements, apportionment schedules, intercompany transactions, and state tax filings for multi-state entities to identify GAAP/ASC compliance exposure.</w:t>
      </w:r>
    </w:p>
    <w:p w14:paraId="09594A3F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Conduct in-depth research using SEC EDGAR, LexisNexis, and Capital IQ to substantiate audit findings and support legal and regulatory positions.</w:t>
      </w:r>
    </w:p>
    <w:p w14:paraId="4182017E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Prepare and present detailed audit findings to clients, legal counsel, and senior management, translating complex tax issues into actionable recommendations.</w:t>
      </w:r>
    </w:p>
    <w:p w14:paraId="338017DD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Reduced average audit cycle time by 18% by redesigning reconciliation workflows and standardizing workpaper documentation processes.</w:t>
      </w:r>
    </w:p>
    <w:p w14:paraId="54205200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Exceeded corporate audit recovery targets by 30% over a 12-month period.</w:t>
      </w:r>
    </w:p>
    <w:p w14:paraId="76F6A63C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Implemented 15 process improvements that increased department efficiency by 20%.</w:t>
      </w:r>
    </w:p>
    <w:p w14:paraId="6F543CA3" w14:textId="77777777" w:rsidR="00B5371D" w:rsidRDefault="00421FDD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Head Relationship Manager</w:t>
      </w:r>
      <w:r>
        <w:rPr>
          <w:rFonts w:ascii="Calibri" w:eastAsia="Calibri" w:hAnsi="Calibri" w:cs="Calibri"/>
          <w:b/>
          <w:bCs/>
          <w:color w:val="555555"/>
        </w:rPr>
        <w:tab/>
        <w:t>05/2019 – 06/2021</w:t>
      </w:r>
    </w:p>
    <w:p w14:paraId="0DA72856" w14:textId="77777777" w:rsidR="00B5371D" w:rsidRDefault="00421FDD">
      <w:pPr>
        <w:spacing w:after="8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HDFC Bank Ltd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 |   India</w:t>
      </w:r>
    </w:p>
    <w:p w14:paraId="60C32D1A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Managed and grew high-net-worth client portfolios exceeding $10M, delivering 15% year-over-year portfolio growth.</w:t>
      </w:r>
    </w:p>
    <w:p w14:paraId="3AA631B0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 xml:space="preserve">•  Increased </w:t>
      </w:r>
      <w:proofErr w:type="gramStart"/>
      <w:r>
        <w:rPr>
          <w:rFonts w:ascii="Calibri" w:eastAsia="Calibri" w:hAnsi="Calibri" w:cs="Calibri"/>
          <w:color w:val="222222"/>
          <w:sz w:val="21"/>
          <w:szCs w:val="21"/>
        </w:rPr>
        <w:t>wallet</w:t>
      </w:r>
      <w:proofErr w:type="gramEnd"/>
      <w:r>
        <w:rPr>
          <w:rFonts w:ascii="Calibri" w:eastAsia="Calibri" w:hAnsi="Calibri" w:cs="Calibri"/>
          <w:color w:val="222222"/>
          <w:sz w:val="21"/>
          <w:szCs w:val="21"/>
        </w:rPr>
        <w:t xml:space="preserve"> share by 22% through strategic relationship management, tailored financial planning, and cross-selling of banking products.</w:t>
      </w:r>
    </w:p>
    <w:p w14:paraId="14CCEE5A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Ensured full compliance with KYC/AML regulations, internal audit standards, and RBI guidelines across all client interactions.</w:t>
      </w:r>
    </w:p>
    <w:p w14:paraId="14E0BC21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Managed an operational budget of $2M, achieving 10% annual cost savings through efficiency initiatives.</w:t>
      </w:r>
    </w:p>
    <w:p w14:paraId="0C9DF1C4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Developed client investment strategies that outperformed market benchmarks by 25% in 2020.</w:t>
      </w:r>
    </w:p>
    <w:p w14:paraId="2250B363" w14:textId="77777777" w:rsidR="00B5371D" w:rsidRDefault="00421FDD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Private Banker</w:t>
      </w:r>
      <w:r>
        <w:rPr>
          <w:rFonts w:ascii="Calibri" w:eastAsia="Calibri" w:hAnsi="Calibri" w:cs="Calibri"/>
          <w:b/>
          <w:bCs/>
          <w:color w:val="555555"/>
        </w:rPr>
        <w:tab/>
        <w:t>09/2017 – 05/2019</w:t>
      </w:r>
    </w:p>
    <w:p w14:paraId="0CFEA5E0" w14:textId="77777777" w:rsidR="00B5371D" w:rsidRDefault="00421FDD">
      <w:pPr>
        <w:spacing w:after="8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IIFL Wealth Management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 |   India</w:t>
      </w:r>
    </w:p>
    <w:p w14:paraId="202E2BBD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lastRenderedPageBreak/>
        <w:t>•  Designed customized investment strategies for ultra-high-net-worth clients in collaboration with portfolio managers and investment analysts.</w:t>
      </w:r>
    </w:p>
    <w:p w14:paraId="2650AF54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Generated 18% revenue growth through optimized asset allocation, diversified investment advisory, and proactive client engagement.</w:t>
      </w:r>
    </w:p>
    <w:p w14:paraId="0062EFCD" w14:textId="77777777" w:rsidR="00B5371D" w:rsidRDefault="00421FDD">
      <w:pPr>
        <w:tabs>
          <w:tab w:val="right" w:pos="9350"/>
        </w:tabs>
        <w:spacing w:before="160" w:after="2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Relationship Manager</w:t>
      </w:r>
      <w:r>
        <w:rPr>
          <w:rFonts w:ascii="Calibri" w:eastAsia="Calibri" w:hAnsi="Calibri" w:cs="Calibri"/>
          <w:b/>
          <w:bCs/>
          <w:color w:val="555555"/>
        </w:rPr>
        <w:tab/>
        <w:t>08/2007 – 05/2017</w:t>
      </w:r>
    </w:p>
    <w:p w14:paraId="6E964D7B" w14:textId="77777777" w:rsidR="00B5371D" w:rsidRDefault="00421FDD">
      <w:pPr>
        <w:spacing w:after="8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HDFC Bank Ltd</w:t>
      </w:r>
      <w:r>
        <w:rPr>
          <w:rFonts w:ascii="Calibri" w:eastAsia="Calibri" w:hAnsi="Calibri" w:cs="Calibri"/>
          <w:i/>
          <w:iCs/>
          <w:color w:val="555555"/>
          <w:sz w:val="21"/>
          <w:szCs w:val="21"/>
        </w:rPr>
        <w:t xml:space="preserve">   |   Mumbai, India</w:t>
      </w:r>
    </w:p>
    <w:p w14:paraId="172768DD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Managed and expanded a client portfolio exceeding $10M across retail and private banking segments over a decade-long tenure.</w:t>
      </w:r>
    </w:p>
    <w:p w14:paraId="5DEEADD7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Drove consistent improvement in client satisfaction scores and product adoption through targeted engagement and personalized financial solutions.</w:t>
      </w:r>
    </w:p>
    <w:p w14:paraId="288FFCDB" w14:textId="77777777" w:rsidR="00B5371D" w:rsidRDefault="00421FDD">
      <w:pPr>
        <w:spacing w:after="60"/>
        <w:ind w:left="270" w:hanging="180"/>
      </w:pPr>
      <w:r>
        <w:rPr>
          <w:rFonts w:ascii="Calibri" w:eastAsia="Calibri" w:hAnsi="Calibri" w:cs="Calibri"/>
          <w:color w:val="222222"/>
          <w:sz w:val="21"/>
          <w:szCs w:val="21"/>
        </w:rPr>
        <w:t>•  Recognized as Employee of the Month for outstanding client retention and revenue generation performance.</w:t>
      </w:r>
    </w:p>
    <w:p w14:paraId="36E418AE" w14:textId="77777777" w:rsidR="00B5371D" w:rsidRDefault="00421FDD">
      <w:pPr>
        <w:pBdr>
          <w:bottom w:val="single" w:sz="4" w:space="2" w:color="AAAAAA"/>
        </w:pBdr>
        <w:spacing w:before="240" w:after="10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EDUCATION</w:t>
      </w:r>
    </w:p>
    <w:p w14:paraId="67938ABF" w14:textId="77777777" w:rsidR="00B5371D" w:rsidRDefault="00421FDD">
      <w:pPr>
        <w:tabs>
          <w:tab w:val="right" w:pos="9350"/>
        </w:tabs>
        <w:spacing w:before="14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PhD in Management (In Progress)</w:t>
      </w:r>
      <w:r>
        <w:rPr>
          <w:rFonts w:ascii="Calibri" w:eastAsia="Calibri" w:hAnsi="Calibri" w:cs="Calibri"/>
          <w:b/>
          <w:bCs/>
          <w:color w:val="555555"/>
        </w:rPr>
        <w:tab/>
        <w:t>03/2026 – 03/2030</w:t>
      </w:r>
    </w:p>
    <w:p w14:paraId="223EC2CA" w14:textId="77777777" w:rsidR="00B5371D" w:rsidRDefault="00421FDD">
      <w:pPr>
        <w:spacing w:after="6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Potomac University   |   Washington, DC</w:t>
      </w:r>
    </w:p>
    <w:p w14:paraId="5CC38D75" w14:textId="77777777" w:rsidR="00B5371D" w:rsidRDefault="00421FDD">
      <w:pPr>
        <w:tabs>
          <w:tab w:val="right" w:pos="9350"/>
        </w:tabs>
        <w:spacing w:before="14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MBA – Project Management &amp; Business Analytics</w:t>
      </w:r>
      <w:r>
        <w:rPr>
          <w:rFonts w:ascii="Calibri" w:eastAsia="Calibri" w:hAnsi="Calibri" w:cs="Calibri"/>
          <w:b/>
          <w:bCs/>
          <w:color w:val="555555"/>
        </w:rPr>
        <w:tab/>
      </w:r>
    </w:p>
    <w:p w14:paraId="5516A5AF" w14:textId="77777777" w:rsidR="00B5371D" w:rsidRDefault="00421FDD">
      <w:pPr>
        <w:spacing w:after="6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Monroe College   |   New York, NY</w:t>
      </w:r>
    </w:p>
    <w:p w14:paraId="60DEFECB" w14:textId="77777777" w:rsidR="00B5371D" w:rsidRDefault="00421FDD">
      <w:pPr>
        <w:tabs>
          <w:tab w:val="right" w:pos="9350"/>
        </w:tabs>
        <w:spacing w:before="140" w:after="1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Master of Science in Financial Management</w:t>
      </w:r>
      <w:r>
        <w:rPr>
          <w:rFonts w:ascii="Calibri" w:eastAsia="Calibri" w:hAnsi="Calibri" w:cs="Calibri"/>
          <w:b/>
          <w:bCs/>
          <w:color w:val="555555"/>
        </w:rPr>
        <w:tab/>
      </w:r>
    </w:p>
    <w:p w14:paraId="65E191E1" w14:textId="77777777" w:rsidR="00B5371D" w:rsidRDefault="00421FDD">
      <w:pPr>
        <w:spacing w:after="60"/>
        <w:rPr>
          <w:rFonts w:ascii="Calibri" w:eastAsia="Calibri" w:hAnsi="Calibri" w:cs="Calibri"/>
          <w:i/>
          <w:iCs/>
          <w:color w:val="222222"/>
          <w:sz w:val="21"/>
          <w:szCs w:val="21"/>
        </w:rPr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Boston University   |   Boston, United States</w:t>
      </w:r>
    </w:p>
    <w:p w14:paraId="3D98F803" w14:textId="14F50B94" w:rsidR="003B229B" w:rsidRPr="003B229B" w:rsidRDefault="003B229B" w:rsidP="003B229B">
      <w:pPr>
        <w:tabs>
          <w:tab w:val="right" w:pos="9350"/>
        </w:tabs>
        <w:spacing w:before="140" w:after="1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 w:rsidRPr="003B229B">
        <w:rPr>
          <w:rFonts w:ascii="Calibri" w:eastAsia="Calibri" w:hAnsi="Calibri" w:cs="Calibri"/>
          <w:b/>
          <w:bCs/>
          <w:color w:val="1F3864"/>
          <w:sz w:val="21"/>
          <w:szCs w:val="21"/>
        </w:rPr>
        <w:t>MBA – Business Management</w:t>
      </w:r>
    </w:p>
    <w:p w14:paraId="38E88276" w14:textId="09F39A21" w:rsidR="003B229B" w:rsidRPr="003B229B" w:rsidRDefault="003B229B" w:rsidP="003B229B">
      <w:pPr>
        <w:spacing w:after="60"/>
        <w:rPr>
          <w:rFonts w:ascii="Calibri" w:eastAsia="Calibri" w:hAnsi="Calibri" w:cs="Calibri"/>
          <w:i/>
          <w:iCs/>
          <w:color w:val="222222"/>
          <w:sz w:val="21"/>
          <w:szCs w:val="21"/>
        </w:rPr>
      </w:pPr>
      <w:r w:rsidRPr="003B229B">
        <w:rPr>
          <w:rFonts w:ascii="Calibri" w:eastAsia="Calibri" w:hAnsi="Calibri" w:cs="Calibri"/>
          <w:i/>
          <w:iCs/>
          <w:color w:val="222222"/>
          <w:sz w:val="21"/>
          <w:szCs w:val="21"/>
        </w:rPr>
        <w:t>ITM University   |   Mumbai, India</w:t>
      </w:r>
    </w:p>
    <w:p w14:paraId="12F50963" w14:textId="0C04D964" w:rsidR="003B229B" w:rsidRPr="003B229B" w:rsidRDefault="003B229B" w:rsidP="003B229B">
      <w:pPr>
        <w:tabs>
          <w:tab w:val="right" w:pos="9350"/>
        </w:tabs>
        <w:spacing w:before="140" w:after="10"/>
        <w:rPr>
          <w:rFonts w:ascii="Calibri" w:eastAsia="Calibri" w:hAnsi="Calibri" w:cs="Calibri"/>
          <w:b/>
          <w:bCs/>
          <w:color w:val="1F3864"/>
          <w:sz w:val="21"/>
          <w:szCs w:val="21"/>
        </w:rPr>
      </w:pPr>
      <w:r w:rsidRPr="003B229B">
        <w:rPr>
          <w:rFonts w:ascii="Calibri" w:eastAsia="Calibri" w:hAnsi="Calibri" w:cs="Calibri"/>
          <w:b/>
          <w:bCs/>
          <w:color w:val="1F3864"/>
          <w:sz w:val="21"/>
          <w:szCs w:val="21"/>
        </w:rPr>
        <w:t>Bachelor of Advanced Accounting</w:t>
      </w:r>
    </w:p>
    <w:p w14:paraId="69AC9686" w14:textId="1A7A393E" w:rsidR="003B229B" w:rsidRPr="003B229B" w:rsidRDefault="003B229B" w:rsidP="003B229B">
      <w:pPr>
        <w:spacing w:after="60"/>
        <w:rPr>
          <w:rFonts w:ascii="Calibri" w:eastAsia="Calibri" w:hAnsi="Calibri" w:cs="Calibri"/>
          <w:i/>
          <w:iCs/>
          <w:color w:val="222222"/>
          <w:sz w:val="21"/>
          <w:szCs w:val="21"/>
        </w:rPr>
      </w:pPr>
      <w:r w:rsidRPr="003B229B">
        <w:rPr>
          <w:rFonts w:ascii="Calibri" w:eastAsia="Calibri" w:hAnsi="Calibri" w:cs="Calibri"/>
          <w:i/>
          <w:iCs/>
          <w:color w:val="222222"/>
          <w:sz w:val="21"/>
          <w:szCs w:val="21"/>
        </w:rPr>
        <w:t>Mumbai University    | Mumbai, India</w:t>
      </w:r>
    </w:p>
    <w:sectPr w:rsidR="003B229B" w:rsidRPr="003B229B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33208"/>
    <w:multiLevelType w:val="hybridMultilevel"/>
    <w:tmpl w:val="1DC20D7C"/>
    <w:lvl w:ilvl="0" w:tplc="B4128476">
      <w:start w:val="1"/>
      <w:numFmt w:val="bullet"/>
      <w:lvlText w:val="●"/>
      <w:lvlJc w:val="left"/>
      <w:pPr>
        <w:ind w:left="720" w:hanging="360"/>
      </w:pPr>
    </w:lvl>
    <w:lvl w:ilvl="1" w:tplc="40AC830A">
      <w:start w:val="1"/>
      <w:numFmt w:val="bullet"/>
      <w:lvlText w:val="○"/>
      <w:lvlJc w:val="left"/>
      <w:pPr>
        <w:ind w:left="1440" w:hanging="360"/>
      </w:pPr>
    </w:lvl>
    <w:lvl w:ilvl="2" w:tplc="A6301194">
      <w:start w:val="1"/>
      <w:numFmt w:val="bullet"/>
      <w:lvlText w:val="■"/>
      <w:lvlJc w:val="left"/>
      <w:pPr>
        <w:ind w:left="2160" w:hanging="360"/>
      </w:pPr>
    </w:lvl>
    <w:lvl w:ilvl="3" w:tplc="C26C2616">
      <w:start w:val="1"/>
      <w:numFmt w:val="bullet"/>
      <w:lvlText w:val="●"/>
      <w:lvlJc w:val="left"/>
      <w:pPr>
        <w:ind w:left="2880" w:hanging="360"/>
      </w:pPr>
    </w:lvl>
    <w:lvl w:ilvl="4" w:tplc="78FAA154">
      <w:start w:val="1"/>
      <w:numFmt w:val="bullet"/>
      <w:lvlText w:val="○"/>
      <w:lvlJc w:val="left"/>
      <w:pPr>
        <w:ind w:left="3600" w:hanging="360"/>
      </w:pPr>
    </w:lvl>
    <w:lvl w:ilvl="5" w:tplc="7B865CF0">
      <w:start w:val="1"/>
      <w:numFmt w:val="bullet"/>
      <w:lvlText w:val="■"/>
      <w:lvlJc w:val="left"/>
      <w:pPr>
        <w:ind w:left="4320" w:hanging="360"/>
      </w:pPr>
    </w:lvl>
    <w:lvl w:ilvl="6" w:tplc="D0D656DC">
      <w:start w:val="1"/>
      <w:numFmt w:val="bullet"/>
      <w:lvlText w:val="●"/>
      <w:lvlJc w:val="left"/>
      <w:pPr>
        <w:ind w:left="5040" w:hanging="360"/>
      </w:pPr>
    </w:lvl>
    <w:lvl w:ilvl="7" w:tplc="A0186862">
      <w:start w:val="1"/>
      <w:numFmt w:val="bullet"/>
      <w:lvlText w:val="●"/>
      <w:lvlJc w:val="left"/>
      <w:pPr>
        <w:ind w:left="5760" w:hanging="360"/>
      </w:pPr>
    </w:lvl>
    <w:lvl w:ilvl="8" w:tplc="DD383E1C">
      <w:start w:val="1"/>
      <w:numFmt w:val="bullet"/>
      <w:lvlText w:val="●"/>
      <w:lvlJc w:val="left"/>
      <w:pPr>
        <w:ind w:left="6480" w:hanging="360"/>
      </w:pPr>
    </w:lvl>
  </w:abstractNum>
  <w:num w:numId="1" w16cid:durableId="30350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71D"/>
    <w:rsid w:val="000C6E6F"/>
    <w:rsid w:val="003B229B"/>
    <w:rsid w:val="00421FDD"/>
    <w:rsid w:val="00B5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74928"/>
  <w15:docId w15:val="{CCEA14F2-3D5F-4E37-A9EE-C0D581D3B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Payal Tharwani</cp:lastModifiedBy>
  <cp:revision>2</cp:revision>
  <dcterms:created xsi:type="dcterms:W3CDTF">2026-07-20T04:23:00Z</dcterms:created>
  <dcterms:modified xsi:type="dcterms:W3CDTF">2026-07-20T04:23:00Z</dcterms:modified>
</cp:coreProperties>
</file>