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4373E" w14:textId="77777777" w:rsidR="00E35285" w:rsidRDefault="00000000">
      <w:pPr>
        <w:jc w:val="center"/>
      </w:pPr>
      <w:r>
        <w:rPr>
          <w:b/>
          <w:bCs/>
          <w:sz w:val="40"/>
          <w:szCs w:val="40"/>
        </w:rPr>
        <w:t>Anurag Thakral</w:t>
      </w:r>
    </w:p>
    <w:p w14:paraId="42C81A6B" w14:textId="77777777" w:rsidR="00E35285" w:rsidRDefault="00000000">
      <w:pPr>
        <w:spacing w:after="40"/>
        <w:jc w:val="center"/>
      </w:pPr>
      <w:r>
        <w:rPr>
          <w:i/>
          <w:iCs/>
        </w:rPr>
        <w:t>Model Risk | Regulatory Reporting | Risk Analytics</w:t>
      </w:r>
    </w:p>
    <w:p w14:paraId="11AA4CFF" w14:textId="77777777" w:rsidR="00E35285" w:rsidRDefault="00000000">
      <w:pPr>
        <w:spacing w:after="120"/>
        <w:jc w:val="center"/>
      </w:pPr>
      <w:r>
        <w:rPr>
          <w:sz w:val="20"/>
          <w:szCs w:val="20"/>
        </w:rPr>
        <w:t>New Jersey | (917) 693-9900 | athakral07@gmail.com | linkedin.com/in/athakral</w:t>
      </w:r>
    </w:p>
    <w:p w14:paraId="4D58891C" w14:textId="77777777" w:rsidR="00E35285" w:rsidRDefault="00000000">
      <w:pPr>
        <w:pStyle w:val="Heading1"/>
      </w:pPr>
      <w:r>
        <w:t>SUMMARY</w:t>
      </w:r>
    </w:p>
    <w:p w14:paraId="5890D308" w14:textId="77777777" w:rsidR="00E35285" w:rsidRDefault="00000000">
      <w:pPr>
        <w:spacing w:after="120"/>
        <w:jc w:val="both"/>
      </w:pPr>
      <w:r>
        <w:t>MBA, CPA-qualified risk and regulatory technology professional with 12+ years of experience delivering model risk, stress testing, and regulatory reporting solutions across global banks, insurers, and rating agencies. Direct contributions to CCAR stress testing, CECL requirement alignment, Basel III SACCR, and IFRS 9 ECL programs. Hands-on proficiency with Python, SQL, and Snowflake to validate model inputs, build reconciliation layers, and strengthen data lineage. Proven partner to model developers, owners, and validators on governance, documentation, and regulatory submissions.</w:t>
      </w:r>
    </w:p>
    <w:p w14:paraId="46FCCE45" w14:textId="77777777" w:rsidR="00E35285" w:rsidRDefault="00000000">
      <w:pPr>
        <w:pStyle w:val="Heading1"/>
      </w:pPr>
      <w:r>
        <w:t>CORE COMPETENCIES</w:t>
      </w:r>
    </w:p>
    <w:p w14:paraId="6B820A46" w14:textId="741539D9" w:rsidR="00E35285" w:rsidRDefault="00000000">
      <w:pPr>
        <w:pStyle w:val="ListParagraph"/>
        <w:numPr>
          <w:ilvl w:val="0"/>
          <w:numId w:val="2"/>
        </w:numPr>
        <w:spacing w:after="60"/>
      </w:pPr>
      <w:r>
        <w:t>Regulatory &amp; Risk: CCAR, CECL, IFRS 9, Basel III (AIRB, SACCR), Dodd-Frank, DFAST-adjacent submissions, Model Risk Governance</w:t>
      </w:r>
    </w:p>
    <w:p w14:paraId="76D11E21" w14:textId="77777777" w:rsidR="00E35285" w:rsidRDefault="00000000">
      <w:pPr>
        <w:pStyle w:val="ListParagraph"/>
        <w:numPr>
          <w:ilvl w:val="0"/>
          <w:numId w:val="2"/>
        </w:numPr>
        <w:spacing w:after="60"/>
      </w:pPr>
      <w:r>
        <w:t>Model Validation Support: Conceptual soundness review, input data validation, reconciliation, scenario/assumption testing, model performance monitoring</w:t>
      </w:r>
    </w:p>
    <w:p w14:paraId="4F7DDE2F" w14:textId="77777777" w:rsidR="00E35285" w:rsidRDefault="00000000">
      <w:pPr>
        <w:pStyle w:val="ListParagraph"/>
        <w:numPr>
          <w:ilvl w:val="0"/>
          <w:numId w:val="2"/>
        </w:numPr>
        <w:spacing w:after="60"/>
      </w:pPr>
      <w:r>
        <w:t>Data &amp; Analytics: Python, SQL, Snowflake, Power BI, Tableau, QlikView, Cognos BI, SAP BO, Oracle SmartView, Hyperion/Essbase</w:t>
      </w:r>
    </w:p>
    <w:p w14:paraId="2AC19734" w14:textId="77777777" w:rsidR="00E35285" w:rsidRDefault="00000000">
      <w:pPr>
        <w:pStyle w:val="ListParagraph"/>
        <w:numPr>
          <w:ilvl w:val="0"/>
          <w:numId w:val="2"/>
        </w:numPr>
        <w:spacing w:after="60"/>
      </w:pPr>
      <w:r>
        <w:t>Financial Products: Fixed Income, Equities, Derivatives (Interest Rate, Commodities, OTC), Alternatives, Annuities</w:t>
      </w:r>
    </w:p>
    <w:p w14:paraId="5FD26F78" w14:textId="77777777" w:rsidR="00E35285" w:rsidRDefault="00000000">
      <w:pPr>
        <w:pStyle w:val="ListParagraph"/>
        <w:numPr>
          <w:ilvl w:val="0"/>
          <w:numId w:val="2"/>
        </w:numPr>
        <w:spacing w:after="60"/>
      </w:pPr>
      <w:r>
        <w:t>Platforms: Aladdin, Charles River, Clearwater, Bloomberg PORT Plus, POINT</w:t>
      </w:r>
    </w:p>
    <w:p w14:paraId="270B36AC" w14:textId="77777777" w:rsidR="00E35285" w:rsidRDefault="00000000">
      <w:pPr>
        <w:pStyle w:val="ListParagraph"/>
        <w:numPr>
          <w:ilvl w:val="0"/>
          <w:numId w:val="2"/>
        </w:numPr>
        <w:spacing w:after="120"/>
      </w:pPr>
      <w:r>
        <w:t>Leadership: Stakeholder alignment with Model Developers, Risk, Finance, Compliance; team management (3-5 analysts); vendor management</w:t>
      </w:r>
    </w:p>
    <w:p w14:paraId="743D236C" w14:textId="77777777" w:rsidR="00E35285" w:rsidRDefault="00000000">
      <w:pPr>
        <w:pStyle w:val="Heading1"/>
      </w:pPr>
      <w:r>
        <w:t>PROFESSIONAL EXPERIENCE</w:t>
      </w:r>
    </w:p>
    <w:p w14:paraId="6884D640" w14:textId="77777777" w:rsidR="00E35285" w:rsidRDefault="00000000">
      <w:r>
        <w:rPr>
          <w:b/>
          <w:bCs/>
          <w:sz w:val="24"/>
          <w:szCs w:val="24"/>
        </w:rPr>
        <w:t>Tech Mahindra — Citibank</w:t>
      </w:r>
      <w:r>
        <w:t xml:space="preserve"> | New York, NY</w:t>
      </w:r>
    </w:p>
    <w:p w14:paraId="4B1C445E" w14:textId="2F4A781C" w:rsidR="00E35285" w:rsidRDefault="00387728">
      <w:pPr>
        <w:tabs>
          <w:tab w:val="right" w:pos="9360"/>
        </w:tabs>
        <w:spacing w:after="40"/>
      </w:pPr>
      <w:r>
        <w:rPr>
          <w:i/>
          <w:iCs/>
        </w:rPr>
        <w:t>Lead Analyst / Technical Lead — Risk Metrics Governance</w:t>
      </w:r>
      <w:r>
        <w:tab/>
        <w:t>Dec 2024 – Present</w:t>
      </w:r>
    </w:p>
    <w:p w14:paraId="1677B24D" w14:textId="77777777" w:rsidR="00E35285" w:rsidRDefault="00000000">
      <w:pPr>
        <w:pStyle w:val="ListParagraph"/>
        <w:numPr>
          <w:ilvl w:val="0"/>
          <w:numId w:val="2"/>
        </w:numPr>
        <w:spacing w:after="60"/>
      </w:pPr>
      <w:r>
        <w:t>Own product roadmap for Citibank's risk metrics governance, enabling compliance with Basel III model risk framework and portfolio-level reporting.</w:t>
      </w:r>
    </w:p>
    <w:p w14:paraId="08FFF9E2" w14:textId="77777777" w:rsidR="00E35285" w:rsidRDefault="00000000">
      <w:pPr>
        <w:pStyle w:val="ListParagraph"/>
        <w:numPr>
          <w:ilvl w:val="0"/>
          <w:numId w:val="2"/>
        </w:numPr>
        <w:spacing w:after="60"/>
      </w:pPr>
      <w:r>
        <w:t>Led team of 5; delivered executive-level dashboards in Snowflake and Power BI, improving timeliness of risk reports by 20%.</w:t>
      </w:r>
    </w:p>
    <w:p w14:paraId="5F2218A2" w14:textId="77777777" w:rsidR="00E35285" w:rsidRDefault="00000000">
      <w:pPr>
        <w:pStyle w:val="ListParagraph"/>
        <w:numPr>
          <w:ilvl w:val="0"/>
          <w:numId w:val="2"/>
        </w:numPr>
        <w:spacing w:after="120"/>
      </w:pPr>
      <w:r>
        <w:t>Strengthened data lineage, reconciliation, and control processes feeding risk models, reducing reporting exceptions by 25%.</w:t>
      </w:r>
    </w:p>
    <w:p w14:paraId="4DF7321D" w14:textId="77777777" w:rsidR="00387728" w:rsidRDefault="00387728" w:rsidP="007A5FD5">
      <w:pPr>
        <w:pStyle w:val="ListParagraph"/>
        <w:spacing w:after="120"/>
        <w:ind w:left="720"/>
      </w:pPr>
    </w:p>
    <w:p w14:paraId="3A17EE45" w14:textId="77777777" w:rsidR="00E35285" w:rsidRDefault="00000000">
      <w:r>
        <w:rPr>
          <w:b/>
          <w:bCs/>
          <w:sz w:val="24"/>
          <w:szCs w:val="24"/>
        </w:rPr>
        <w:t>Global Atlantic Financial Group (KKR Subsidiary)</w:t>
      </w:r>
      <w:r>
        <w:t xml:space="preserve"> | New York, NY</w:t>
      </w:r>
    </w:p>
    <w:p w14:paraId="431CAABA" w14:textId="4DF0B22A" w:rsidR="00E35285" w:rsidRDefault="00387728">
      <w:pPr>
        <w:tabs>
          <w:tab w:val="right" w:pos="9360"/>
        </w:tabs>
        <w:spacing w:after="40"/>
      </w:pPr>
      <w:r>
        <w:rPr>
          <w:i/>
          <w:iCs/>
        </w:rPr>
        <w:t>Lead Analyst — Investment Accounting</w:t>
      </w:r>
      <w:r>
        <w:tab/>
        <w:t>Jun 2023 – Aug 2024</w:t>
      </w:r>
    </w:p>
    <w:p w14:paraId="3DCE7D5C" w14:textId="77777777" w:rsidR="00E35285" w:rsidRDefault="00000000">
      <w:pPr>
        <w:pStyle w:val="ListParagraph"/>
        <w:numPr>
          <w:ilvl w:val="0"/>
          <w:numId w:val="2"/>
        </w:numPr>
        <w:spacing w:after="60"/>
      </w:pPr>
      <w:r>
        <w:t>Directed modernization of investment accounting applications supporting $100B+ AUM across multiple asset classes.</w:t>
      </w:r>
    </w:p>
    <w:p w14:paraId="35ABF974" w14:textId="4CBA1139" w:rsidR="00E35285" w:rsidRDefault="00000000">
      <w:pPr>
        <w:pStyle w:val="ListParagraph"/>
        <w:numPr>
          <w:ilvl w:val="0"/>
          <w:numId w:val="2"/>
        </w:numPr>
        <w:spacing w:after="60"/>
      </w:pPr>
      <w:r>
        <w:t>Integrated data pipelines with Clearwater building a unified investment data layer used for valuation and risk reporting.</w:t>
      </w:r>
    </w:p>
    <w:p w14:paraId="218DB87A" w14:textId="7CF8F0B1" w:rsidR="00E35285" w:rsidRDefault="00000000">
      <w:pPr>
        <w:pStyle w:val="ListParagraph"/>
        <w:numPr>
          <w:ilvl w:val="0"/>
          <w:numId w:val="2"/>
        </w:numPr>
        <w:spacing w:after="60"/>
      </w:pPr>
      <w:r>
        <w:t>Delivered Power BI and Tableau dashboards for risk and finance leadership, reducing reporting cycle time by 2 days.</w:t>
      </w:r>
    </w:p>
    <w:p w14:paraId="54EAD1EC" w14:textId="77777777" w:rsidR="00E35285" w:rsidRDefault="00000000">
      <w:pPr>
        <w:pStyle w:val="ListParagraph"/>
        <w:numPr>
          <w:ilvl w:val="0"/>
          <w:numId w:val="2"/>
        </w:numPr>
        <w:spacing w:after="120"/>
      </w:pPr>
      <w:r>
        <w:t>Presented RAG reports to senior executives, ensuring early risk mitigation.</w:t>
      </w:r>
    </w:p>
    <w:p w14:paraId="4F842E04" w14:textId="0F22C228" w:rsidR="00E35285" w:rsidRDefault="00000000">
      <w:r>
        <w:rPr>
          <w:b/>
          <w:bCs/>
          <w:sz w:val="24"/>
          <w:szCs w:val="24"/>
        </w:rPr>
        <w:lastRenderedPageBreak/>
        <w:t xml:space="preserve">Genpact Headstrong — Morgan Stanley </w:t>
      </w:r>
      <w:r>
        <w:t>| New York, NY</w:t>
      </w:r>
    </w:p>
    <w:p w14:paraId="1CE61CC8" w14:textId="6BD74247" w:rsidR="00E35285" w:rsidRDefault="00000000">
      <w:pPr>
        <w:tabs>
          <w:tab w:val="right" w:pos="9360"/>
        </w:tabs>
        <w:spacing w:after="40"/>
      </w:pPr>
      <w:r>
        <w:rPr>
          <w:i/>
          <w:iCs/>
        </w:rPr>
        <w:t>Senior Principal Consultant— Transaction Reporting (Dodd-Frank, SEC, CSA)</w:t>
      </w:r>
      <w:r>
        <w:tab/>
        <w:t>Aug 2022 – Jun 2023</w:t>
      </w:r>
    </w:p>
    <w:p w14:paraId="180C94BC" w14:textId="77777777" w:rsidR="00387728" w:rsidRDefault="00387728" w:rsidP="00387728">
      <w:pPr>
        <w:pStyle w:val="ListParagraph"/>
        <w:numPr>
          <w:ilvl w:val="0"/>
          <w:numId w:val="2"/>
        </w:numPr>
        <w:spacing w:after="60"/>
      </w:pPr>
      <w:r>
        <w:t>Delivered CFTC Part 43 (real-time public reporting) and Part 45 (regulatory reporting to SDRs) enhancements for swap and derivatives transaction reporting.</w:t>
      </w:r>
    </w:p>
    <w:p w14:paraId="35B2A62C" w14:textId="77777777" w:rsidR="00387728" w:rsidRDefault="00387728" w:rsidP="00387728">
      <w:pPr>
        <w:pStyle w:val="ListParagraph"/>
        <w:numPr>
          <w:ilvl w:val="0"/>
          <w:numId w:val="2"/>
        </w:numPr>
        <w:spacing w:after="60"/>
      </w:pPr>
      <w:r>
        <w:t>Supported SEC and CSA cross-border reporting mandates; aligned data attributes, timestamps, and reconciliation controls across jurisdictions.</w:t>
      </w:r>
    </w:p>
    <w:p w14:paraId="219DB077" w14:textId="77777777" w:rsidR="00387728" w:rsidRDefault="00387728" w:rsidP="00387728">
      <w:pPr>
        <w:pStyle w:val="ListParagraph"/>
        <w:numPr>
          <w:ilvl w:val="0"/>
          <w:numId w:val="2"/>
        </w:numPr>
        <w:spacing w:after="120"/>
      </w:pPr>
      <w:r>
        <w:t>Built validation and exception-management workflows to improve submission accuracy and auditability.</w:t>
      </w:r>
    </w:p>
    <w:p w14:paraId="490D4405" w14:textId="561217AA" w:rsidR="00E35285" w:rsidRDefault="00000000">
      <w:pPr>
        <w:pStyle w:val="ListParagraph"/>
        <w:numPr>
          <w:ilvl w:val="0"/>
          <w:numId w:val="2"/>
        </w:numPr>
        <w:spacing w:after="60"/>
      </w:pPr>
      <w:r>
        <w:t>Built Data pipelines to improve transaction traceability, cutting exceptions by 30%.</w:t>
      </w:r>
    </w:p>
    <w:p w14:paraId="2EB5661B" w14:textId="77777777" w:rsidR="00387728" w:rsidRDefault="00387728">
      <w:pPr>
        <w:rPr>
          <w:b/>
          <w:bCs/>
          <w:sz w:val="24"/>
          <w:szCs w:val="24"/>
        </w:rPr>
      </w:pPr>
    </w:p>
    <w:p w14:paraId="56CCB34E" w14:textId="0D7A7A60" w:rsidR="00E35285" w:rsidRDefault="00387728">
      <w:r>
        <w:rPr>
          <w:b/>
          <w:bCs/>
          <w:sz w:val="24"/>
          <w:szCs w:val="24"/>
        </w:rPr>
        <w:t>Relevant Consulting Engagements (Contract)</w:t>
      </w:r>
      <w:r>
        <w:t xml:space="preserve"> | Multiple Clients — New York, Boston</w:t>
      </w:r>
    </w:p>
    <w:p w14:paraId="06079E11" w14:textId="7BADC6EF" w:rsidR="00E35285" w:rsidRDefault="00000000">
      <w:pPr>
        <w:tabs>
          <w:tab w:val="right" w:pos="9360"/>
        </w:tabs>
        <w:spacing w:after="60"/>
      </w:pPr>
      <w:r>
        <w:tab/>
        <w:t>Nov 2017 – Jun 2022</w:t>
      </w:r>
    </w:p>
    <w:p w14:paraId="6D47A6C6" w14:textId="77777777" w:rsidR="00E35285" w:rsidRDefault="00000000">
      <w:pPr>
        <w:spacing w:after="40"/>
        <w:rPr>
          <w:b/>
          <w:bCs/>
        </w:rPr>
      </w:pPr>
      <w:r>
        <w:rPr>
          <w:b/>
          <w:bCs/>
        </w:rPr>
        <w:t>State Street — CECL &amp; Risk Analytics</w:t>
      </w:r>
    </w:p>
    <w:p w14:paraId="5250E602" w14:textId="3BFD3382" w:rsidR="007A5FD5" w:rsidRDefault="007A5FD5">
      <w:pPr>
        <w:spacing w:after="40"/>
      </w:pPr>
      <w:r>
        <w:rPr>
          <w:i/>
          <w:iCs/>
        </w:rPr>
        <w:t>Senior Consultant — Risk</w:t>
      </w:r>
    </w:p>
    <w:p w14:paraId="70D5E766" w14:textId="77777777" w:rsidR="00E35285" w:rsidRDefault="00000000">
      <w:pPr>
        <w:pStyle w:val="ListParagraph"/>
        <w:numPr>
          <w:ilvl w:val="0"/>
          <w:numId w:val="2"/>
        </w:numPr>
        <w:spacing w:after="60"/>
      </w:pPr>
      <w:r>
        <w:t>Led CECL requirement alignment, translating regulatory guidance (ASC 326) into model and reporting specifications; partnered with quant and risk teams on methodology and data inputs.</w:t>
      </w:r>
    </w:p>
    <w:p w14:paraId="591B1C6E" w14:textId="77777777" w:rsidR="00E35285" w:rsidRDefault="00000000">
      <w:pPr>
        <w:pStyle w:val="ListParagraph"/>
        <w:numPr>
          <w:ilvl w:val="0"/>
          <w:numId w:val="2"/>
        </w:numPr>
        <w:spacing w:after="120"/>
      </w:pPr>
      <w:r>
        <w:t>Migrated risk calculation engine from POINT to Bloomberg PORT Plus; delivered Aladdin risk reports via Snowflake environment, supporting model performance monitoring.</w:t>
      </w:r>
    </w:p>
    <w:p w14:paraId="27297143" w14:textId="77777777" w:rsidR="007A5FD5" w:rsidRDefault="007A5FD5">
      <w:pPr>
        <w:spacing w:after="40"/>
      </w:pPr>
    </w:p>
    <w:p w14:paraId="001E82DA" w14:textId="3D05EB87" w:rsidR="00E35285" w:rsidRDefault="00000000">
      <w:pPr>
        <w:spacing w:after="40"/>
        <w:rPr>
          <w:b/>
          <w:bCs/>
        </w:rPr>
      </w:pPr>
      <w:r>
        <w:rPr>
          <w:b/>
          <w:bCs/>
        </w:rPr>
        <w:t>Bank of America — CCAR &amp; Basel III</w:t>
      </w:r>
    </w:p>
    <w:p w14:paraId="5B152539" w14:textId="4D728284" w:rsidR="007A5FD5" w:rsidRDefault="007A5FD5">
      <w:pPr>
        <w:spacing w:after="40"/>
      </w:pPr>
      <w:r>
        <w:rPr>
          <w:i/>
          <w:iCs/>
        </w:rPr>
        <w:t>Senior Analyst — Risk</w:t>
      </w:r>
    </w:p>
    <w:p w14:paraId="2D8EA556" w14:textId="77777777" w:rsidR="00E35285" w:rsidRDefault="00000000">
      <w:pPr>
        <w:pStyle w:val="ListParagraph"/>
        <w:numPr>
          <w:ilvl w:val="0"/>
          <w:numId w:val="2"/>
        </w:numPr>
        <w:spacing w:after="60"/>
      </w:pPr>
      <w:r>
        <w:t>Supported CCAR stress testing activities including scenario definition, model input validation, and results reporting; contributed to DFAST-adjacent submissions.</w:t>
      </w:r>
    </w:p>
    <w:p w14:paraId="54699A4D" w14:textId="213384D2" w:rsidR="00E35285" w:rsidRDefault="00000000">
      <w:pPr>
        <w:pStyle w:val="ListParagraph"/>
        <w:numPr>
          <w:ilvl w:val="0"/>
          <w:numId w:val="2"/>
        </w:numPr>
        <w:spacing w:after="120"/>
      </w:pPr>
      <w:r>
        <w:t>Enhanced Basel III SACCR calculator; developed SQL and Python workflows to improve derivatives reporting accuracy.</w:t>
      </w:r>
    </w:p>
    <w:p w14:paraId="5244A17E" w14:textId="77777777" w:rsidR="00387728" w:rsidRDefault="00387728">
      <w:pPr>
        <w:rPr>
          <w:b/>
          <w:bCs/>
        </w:rPr>
      </w:pPr>
    </w:p>
    <w:p w14:paraId="261E58F7" w14:textId="1308C39A" w:rsidR="00E35285" w:rsidRDefault="00000000">
      <w:r>
        <w:rPr>
          <w:b/>
          <w:bCs/>
          <w:sz w:val="24"/>
          <w:szCs w:val="24"/>
        </w:rPr>
        <w:t>Equitable Bank</w:t>
      </w:r>
      <w:r>
        <w:t xml:space="preserve"> | Toronto, ON</w:t>
      </w:r>
    </w:p>
    <w:p w14:paraId="7547B665" w14:textId="2DF4419B" w:rsidR="00E35285" w:rsidRDefault="00000000">
      <w:pPr>
        <w:tabs>
          <w:tab w:val="right" w:pos="9360"/>
        </w:tabs>
        <w:spacing w:after="40"/>
      </w:pPr>
      <w:r>
        <w:rPr>
          <w:i/>
          <w:iCs/>
        </w:rPr>
        <w:t>Senior Business Analyst — Accounting &amp; Finance</w:t>
      </w:r>
      <w:r>
        <w:tab/>
        <w:t>Mar 2014 – Sep 2017</w:t>
      </w:r>
    </w:p>
    <w:p w14:paraId="5B2D4982" w14:textId="02E93F52" w:rsidR="00E35285" w:rsidRDefault="007A5FD5">
      <w:pPr>
        <w:pStyle w:val="ListParagraph"/>
        <w:numPr>
          <w:ilvl w:val="0"/>
          <w:numId w:val="2"/>
        </w:numPr>
        <w:spacing w:after="60"/>
      </w:pPr>
      <w:r>
        <w:t>SME for IFRS 9, and Basel III AIRB implementations; partnered with Finance, Risk, and IT to align compliance reporting strategy and manage vendors.</w:t>
      </w:r>
    </w:p>
    <w:p w14:paraId="7369F3FD" w14:textId="661DEFB6" w:rsidR="00E35285" w:rsidRDefault="00000000">
      <w:pPr>
        <w:pStyle w:val="ListParagraph"/>
        <w:numPr>
          <w:ilvl w:val="0"/>
          <w:numId w:val="2"/>
        </w:numPr>
        <w:spacing w:after="60"/>
      </w:pPr>
      <w:r>
        <w:t>Built an Access/VBA ECL calculator (IFRS 9 — conceptually analogous to CECL) as a prototype for the Wolters Kluwer solution and used it as the benchmark for UAT of the production implementation.</w:t>
      </w:r>
    </w:p>
    <w:p w14:paraId="7369F4FE" w14:textId="661DEFC7" w:rsidR="00E35285" w:rsidRDefault="00000000">
      <w:pPr>
        <w:pStyle w:val="ListParagraph"/>
        <w:numPr>
          <w:ilvl w:val="0"/>
          <w:numId w:val="2"/>
        </w:numPr>
        <w:spacing w:after="60"/>
      </w:pPr>
      <w:r>
        <w:t>Developed PD and LGD curves feeding the Wolters Kluwer solution for IFRS 9 ECL and Basel III AIRB reporting, applying logistic regression, survival analysis, and Merton-style structural models in R and SQL for calibration, segmentation, and back-testing.</w:t>
      </w:r>
    </w:p>
    <w:p w14:paraId="2CC96F64" w14:textId="77777777" w:rsidR="00E35285" w:rsidRDefault="00000000">
      <w:pPr>
        <w:pStyle w:val="ListParagraph"/>
        <w:numPr>
          <w:ilvl w:val="0"/>
          <w:numId w:val="2"/>
        </w:numPr>
        <w:spacing w:after="120"/>
      </w:pPr>
      <w:r>
        <w:t>Led user training and change management to ensure adoption of new systems across Finance and Risk teams.</w:t>
      </w:r>
    </w:p>
    <w:p w14:paraId="4A507DC3" w14:textId="42907D1F" w:rsidR="007A5FD5" w:rsidRDefault="007A5FD5" w:rsidP="007A5FD5">
      <w:pPr>
        <w:spacing w:after="120"/>
        <w:ind w:left="360"/>
      </w:pPr>
    </w:p>
    <w:p w14:paraId="1A2B3C4D" w14:textId="1A2B3C4E" w:rsidR="00E35285" w:rsidRDefault="00000000">
      <w:pPr>
        <w:keepNext/>
      </w:pPr>
      <w:r>
        <w:rPr>
          <w:b/>
          <w:bCs/>
          <w:sz w:val="24"/>
          <w:szCs w:val="24"/>
        </w:rPr>
        <w:t>Aviva Canada</w:t>
      </w:r>
      <w:r>
        <w:t xml:space="preserve"> | Markham, ON</w:t>
      </w:r>
    </w:p>
    <w:p w14:paraId="1A2B3C4F" w14:textId="1A2B3C50" w:rsidR="00E35285" w:rsidRDefault="00000000">
      <w:pPr>
        <w:keepNext/>
        <w:tabs>
          <w:tab w:val="right" w:pos="9360"/>
        </w:tabs>
        <w:spacing w:after="40"/>
      </w:pPr>
      <w:r>
        <w:rPr>
          <w:i/>
          <w:iCs/>
        </w:rPr>
        <w:t>Senior Business Analyst — Claims Analytics</w:t>
      </w:r>
      <w:r>
        <w:tab/>
        <w:t>May 2011 – Jun 2013</w:t>
      </w:r>
    </w:p>
    <w:p w14:paraId="1A2B3C51" w14:textId="1A2B3C52" w:rsidR="00E35285" w:rsidRDefault="00000000">
      <w:pPr>
        <w:pStyle w:val="ListParagraph"/>
        <w:numPr>
          <w:ilvl w:val="0"/>
          <w:numId w:val="2"/>
        </w:numPr>
        <w:spacing w:after="120"/>
      </w:pPr>
      <w:r>
        <w:t>Built claim loss models using non-linear regression techniques, partnering with the actuarial team to deliver clearer loss-trending insights to senior leadership.</w:t>
      </w:r>
    </w:p>
    <w:p w14:paraId="1A2B3C53" w14:textId="1A2B3C54" w:rsidR="007A5FD5" w:rsidRDefault="007A5FD5" w:rsidP="007A5FD5">
      <w:pPr>
        <w:spacing w:after="120"/>
        <w:ind w:left="360"/>
      </w:pPr>
    </w:p>
    <w:p w14:paraId="46C32C17" w14:textId="77777777" w:rsidR="00E35285" w:rsidRDefault="00000000">
      <w:pPr>
        <w:spacing w:after="120"/>
        <w:rPr>
          <w:i/>
          <w:iCs/>
        </w:rPr>
      </w:pPr>
      <w:r>
        <w:rPr>
          <w:i/>
          <w:iCs/>
        </w:rPr>
        <w:t>Prior Experience available on request</w:t>
      </w:r>
    </w:p>
    <w:p w14:paraId="5D104A22" w14:textId="77777777" w:rsidR="007A5FD5" w:rsidRDefault="007A5FD5">
      <w:pPr>
        <w:spacing w:after="120"/>
      </w:pPr>
    </w:p>
    <w:p w14:paraId="487F4340" w14:textId="77777777" w:rsidR="00E35285" w:rsidRDefault="00000000">
      <w:pPr>
        <w:pStyle w:val="Heading1"/>
      </w:pPr>
      <w:r>
        <w:t>EDUCATION &amp; CERTIFICATIONS</w:t>
      </w:r>
    </w:p>
    <w:p w14:paraId="5543C05F" w14:textId="5C110A82" w:rsidR="00E35285" w:rsidRDefault="00000000">
      <w:pPr>
        <w:pStyle w:val="ListParagraph"/>
        <w:numPr>
          <w:ilvl w:val="0"/>
          <w:numId w:val="2"/>
        </w:numPr>
        <w:spacing w:after="60"/>
      </w:pPr>
      <w:r>
        <w:t>MBA, York University, Canada</w:t>
      </w:r>
    </w:p>
    <w:p w14:paraId="2337D95A" w14:textId="1C63820A" w:rsidR="00E35285" w:rsidRDefault="00000000">
      <w:pPr>
        <w:pStyle w:val="ListParagraph"/>
        <w:numPr>
          <w:ilvl w:val="0"/>
          <w:numId w:val="2"/>
        </w:numPr>
        <w:spacing w:after="60"/>
      </w:pPr>
      <w:r>
        <w:t>CPA, Chartered Professional Accountant (Ontario, Canada)</w:t>
      </w:r>
    </w:p>
    <w:p w14:paraId="2012D72B" w14:textId="5703BA51" w:rsidR="00E35285" w:rsidRDefault="00000000" w:rsidP="007A5FD5">
      <w:pPr>
        <w:pStyle w:val="ListParagraph"/>
        <w:numPr>
          <w:ilvl w:val="0"/>
          <w:numId w:val="2"/>
        </w:numPr>
        <w:spacing w:after="60"/>
      </w:pPr>
      <w:r>
        <w:lastRenderedPageBreak/>
        <w:t>B.Tech, Computer Science &amp; Engineering, GGSIP University, India</w:t>
      </w:r>
    </w:p>
    <w:sectPr w:rsidR="00E352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B66"/>
    <w:multiLevelType w:val="hybridMultilevel"/>
    <w:tmpl w:val="27C29AEE"/>
    <w:lvl w:ilvl="0" w:tplc="FFFFFFFF">
      <w:start w:val="1"/>
      <w:numFmt w:val="bullet"/>
      <w:lvlText w:val="•"/>
      <w:lvlJc w:val="left"/>
      <w:pPr>
        <w:ind w:left="720" w:hanging="360"/>
      </w:pPr>
    </w:lvl>
    <w:lvl w:ilvl="1" w:tplc="FFFFFFFF">
      <w:numFmt w:val="decimal"/>
      <w:lvlText w:val=""/>
      <w:lvlJc w:val="left"/>
    </w:lvl>
    <w:lvl w:ilvl="2" w:tplc="04090001">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C413970"/>
    <w:multiLevelType w:val="hybridMultilevel"/>
    <w:tmpl w:val="7B76F9B0"/>
    <w:lvl w:ilvl="0" w:tplc="641AA16E">
      <w:start w:val="1"/>
      <w:numFmt w:val="bullet"/>
      <w:lvlText w:val="●"/>
      <w:lvlJc w:val="left"/>
      <w:pPr>
        <w:ind w:left="720" w:hanging="360"/>
      </w:pPr>
    </w:lvl>
    <w:lvl w:ilvl="1" w:tplc="906AC41C">
      <w:start w:val="1"/>
      <w:numFmt w:val="bullet"/>
      <w:lvlText w:val="○"/>
      <w:lvlJc w:val="left"/>
      <w:pPr>
        <w:ind w:left="1440" w:hanging="360"/>
      </w:pPr>
    </w:lvl>
    <w:lvl w:ilvl="2" w:tplc="D9C86D02">
      <w:start w:val="1"/>
      <w:numFmt w:val="bullet"/>
      <w:lvlText w:val="■"/>
      <w:lvlJc w:val="left"/>
      <w:pPr>
        <w:ind w:left="2160" w:hanging="360"/>
      </w:pPr>
    </w:lvl>
    <w:lvl w:ilvl="3" w:tplc="70E8EAD8">
      <w:start w:val="1"/>
      <w:numFmt w:val="bullet"/>
      <w:lvlText w:val="●"/>
      <w:lvlJc w:val="left"/>
      <w:pPr>
        <w:ind w:left="2880" w:hanging="360"/>
      </w:pPr>
    </w:lvl>
    <w:lvl w:ilvl="4" w:tplc="FC1E8EF2">
      <w:start w:val="1"/>
      <w:numFmt w:val="bullet"/>
      <w:lvlText w:val="○"/>
      <w:lvlJc w:val="left"/>
      <w:pPr>
        <w:ind w:left="3600" w:hanging="360"/>
      </w:pPr>
    </w:lvl>
    <w:lvl w:ilvl="5" w:tplc="79504DB0">
      <w:start w:val="1"/>
      <w:numFmt w:val="bullet"/>
      <w:lvlText w:val="■"/>
      <w:lvlJc w:val="left"/>
      <w:pPr>
        <w:ind w:left="4320" w:hanging="360"/>
      </w:pPr>
    </w:lvl>
    <w:lvl w:ilvl="6" w:tplc="CCB49028">
      <w:start w:val="1"/>
      <w:numFmt w:val="bullet"/>
      <w:lvlText w:val="●"/>
      <w:lvlJc w:val="left"/>
      <w:pPr>
        <w:ind w:left="5040" w:hanging="360"/>
      </w:pPr>
    </w:lvl>
    <w:lvl w:ilvl="7" w:tplc="FA8C7AD2">
      <w:start w:val="1"/>
      <w:numFmt w:val="bullet"/>
      <w:lvlText w:val="●"/>
      <w:lvlJc w:val="left"/>
      <w:pPr>
        <w:ind w:left="5760" w:hanging="360"/>
      </w:pPr>
    </w:lvl>
    <w:lvl w:ilvl="8" w:tplc="4ABED1F4">
      <w:start w:val="1"/>
      <w:numFmt w:val="bullet"/>
      <w:lvlText w:val="●"/>
      <w:lvlJc w:val="left"/>
      <w:pPr>
        <w:ind w:left="6480" w:hanging="360"/>
      </w:pPr>
    </w:lvl>
  </w:abstractNum>
  <w:abstractNum w:abstractNumId="2" w15:restartNumberingAfterBreak="0">
    <w:nsid w:val="759C2B65"/>
    <w:multiLevelType w:val="hybridMultilevel"/>
    <w:tmpl w:val="E256B9C0"/>
    <w:lvl w:ilvl="0" w:tplc="85FC9B24">
      <w:start w:val="1"/>
      <w:numFmt w:val="bullet"/>
      <w:lvlText w:val="•"/>
      <w:lvlJc w:val="left"/>
      <w:pPr>
        <w:ind w:left="720" w:hanging="360"/>
      </w:pPr>
    </w:lvl>
    <w:lvl w:ilvl="1" w:tplc="40F4486A">
      <w:numFmt w:val="decimal"/>
      <w:lvlText w:val=""/>
      <w:lvlJc w:val="left"/>
    </w:lvl>
    <w:lvl w:ilvl="2" w:tplc="7A908CFE">
      <w:numFmt w:val="decimal"/>
      <w:lvlText w:val=""/>
      <w:lvlJc w:val="left"/>
    </w:lvl>
    <w:lvl w:ilvl="3" w:tplc="54047C1A">
      <w:numFmt w:val="decimal"/>
      <w:lvlText w:val=""/>
      <w:lvlJc w:val="left"/>
    </w:lvl>
    <w:lvl w:ilvl="4" w:tplc="98CEC1DE">
      <w:numFmt w:val="decimal"/>
      <w:lvlText w:val=""/>
      <w:lvlJc w:val="left"/>
    </w:lvl>
    <w:lvl w:ilvl="5" w:tplc="1C568170">
      <w:numFmt w:val="decimal"/>
      <w:lvlText w:val=""/>
      <w:lvlJc w:val="left"/>
    </w:lvl>
    <w:lvl w:ilvl="6" w:tplc="0D3AEE64">
      <w:numFmt w:val="decimal"/>
      <w:lvlText w:val=""/>
      <w:lvlJc w:val="left"/>
    </w:lvl>
    <w:lvl w:ilvl="7" w:tplc="2F0E8BF0">
      <w:numFmt w:val="decimal"/>
      <w:lvlText w:val=""/>
      <w:lvlJc w:val="left"/>
    </w:lvl>
    <w:lvl w:ilvl="8" w:tplc="FE92C052">
      <w:numFmt w:val="decimal"/>
      <w:lvlText w:val=""/>
      <w:lvlJc w:val="left"/>
    </w:lvl>
  </w:abstractNum>
  <w:num w:numId="1" w16cid:durableId="427236680">
    <w:abstractNumId w:val="1"/>
    <w:lvlOverride w:ilvl="0">
      <w:startOverride w:val="1"/>
    </w:lvlOverride>
  </w:num>
  <w:num w:numId="2" w16cid:durableId="126896461">
    <w:abstractNumId w:val="2"/>
    <w:lvlOverride w:ilvl="0">
      <w:startOverride w:val="1"/>
    </w:lvlOverride>
  </w:num>
  <w:num w:numId="3" w16cid:durableId="1392772473">
    <w:abstractNumId w:val="2"/>
  </w:num>
  <w:num w:numId="4" w16cid:durableId="1166047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285"/>
    <w:rsid w:val="002511FC"/>
    <w:rsid w:val="00387728"/>
    <w:rsid w:val="00681E62"/>
    <w:rsid w:val="007A5FD5"/>
    <w:rsid w:val="00E35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701D36"/>
  <w15:docId w15:val="{1B1A215E-B690-F142-87DC-401726A6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000000"/>
      </w:pBdr>
      <w:spacing w:before="120" w:after="120"/>
      <w:outlineLvl w:val="0"/>
    </w:pPr>
    <w:rPr>
      <w:b/>
      <w:bCs/>
      <w:sz w:val="28"/>
      <w:szCs w:val="28"/>
    </w:rPr>
  </w:style>
  <w:style w:type="paragraph" w:styleId="Heading2">
    <w:name w:val="heading 2"/>
    <w:uiPriority w:val="9"/>
    <w:semiHidden/>
    <w:unhideWhenUsed/>
    <w:qFormat/>
    <w:pPr>
      <w:spacing w:before="100" w:after="6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624</Words>
  <Characters>4126</Characters>
  <Application>Microsoft Office Word</Application>
  <DocSecurity>0</DocSecurity>
  <Lines>85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Th</cp:lastModifiedBy>
  <cp:revision>2</cp:revision>
  <dcterms:created xsi:type="dcterms:W3CDTF">2026-04-22T04:11:00Z</dcterms:created>
  <dcterms:modified xsi:type="dcterms:W3CDTF">2026-04-22T04:11:00Z</dcterms:modified>
</cp:coreProperties>
</file>