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Williams Law - AI Automation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Mujahir,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struggling to keep up with the immigration case management which results in poor customer service. I want us to develop an AI system that automates 90% of my work. I believe that the current technology can help to achieve such results.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need to create online accounts where they can manage their applications. An online account will be created after the lead fills out our basic “Contact us” form.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online account, the client should be able to:</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questions and get immediate answers</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the process officially with the law firm</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their documents</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intake questionnaires</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feedback on the uploaded documents</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Troubleshooting </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case updates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recently used Expedia's customer support chatbot, it works great. I want something similar to be built but for immigration customer support. Expedia customer support chatbot produces instant results, for example I inquired about the refund update and I immediately received the full information. I want our users to get immediate answers to their questions as well, without waiting for the attorney to respond.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should be able to troubleshoot their issues quickly and progress on their case preparation. You as an immigrant yourself understand the stakes and know how timely-sensitive each application is. Human-to-human interaction must be minimized.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we might be able to offer DIY packages. But for the short-term, I need my work to be automated as much as possible. So a human will be involved only in conducting video calls, final review of the immigration forms and evidence that AI has prepared.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management system we develop needs to complete the following tasks: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Gather lead contact information (first name, last name, phone number, email address and immigration category they are interested in)</w:t>
      </w:r>
    </w:p>
    <w:p w:rsidR="00000000" w:rsidDel="00000000" w:rsidP="00000000" w:rsidRDefault="00000000" w:rsidRPr="00000000" w14:paraId="0000001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 lead’s information and documents for initial case evaluation</w:t>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Answer any questions the lead has (for example, O-1A cost)</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lead’s information and documents and prepare a proposal (for example, O-1A proposal that includes criteria being targeted, case strategy, new evidence that can be built from scratch, cost, processing time)</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retainer agreements for e-signing</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and send invoices for payment of legal fees</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immigration forms in pdf format (I-129, G-28, I-140, I-485, I-907, etc.)</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customer support from the time lead contacts us until lead obtains permanent residency</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 and store all case details (for example, STEM OPT expiration dates, questions the lead or client has, any corrections needed). Right now the information is fragmented and disorganized, so I have to dig for information in separate emails, or LinkedIn messages. I want ALL client information to be fed to the AI system only</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the supporting evidence (for example, letters of recommendation)</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letters of recommendation</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attorney petition cover letters</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petitioner support letters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 files (from jpg to pdf, for example)</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E-file applications for I-129, I-907, I-140 and I-485 (not sure if this can be done but this company (Docketwise) offers e-filing: </w:t>
      </w:r>
      <w:hyperlink r:id="rId6">
        <w:r w:rsidDel="00000000" w:rsidR="00000000" w:rsidRPr="00000000">
          <w:rPr>
            <w:rFonts w:ascii="Times New Roman" w:cs="Times New Roman" w:eastAsia="Times New Roman" w:hAnsi="Times New Roman"/>
            <w:color w:val="1155cc"/>
            <w:sz w:val="24"/>
            <w:szCs w:val="24"/>
            <w:u w:val="single"/>
            <w:rtl w:val="0"/>
          </w:rPr>
          <w:t xml:space="preserve">https://www.docketwise.com/</w:t>
        </w:r>
      </w:hyperlink>
      <w:r w:rsidDel="00000000" w:rsidR="00000000" w:rsidRPr="00000000">
        <w:rPr>
          <w:rtl w:val="0"/>
        </w:rPr>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USCIS non-precedent cases and answer client’s questions - this is extremely important, that’s how I research previous approvals/denials to avoid mistakes other applicants made and to find examples of documents a client can prepare based on similar cases. This part has to be ready early because very often analyzing new leads involves research of these non-precedent USCIS Administrative Appeal Office (AAO) cases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AAO cases and suggest new evidence to be collected to increase the likelihood of approval (USCIS has large collection of previous appeal decision which can be accessed here: </w:t>
      </w:r>
      <w:hyperlink r:id="rId7">
        <w:r w:rsidDel="00000000" w:rsidR="00000000" w:rsidRPr="00000000">
          <w:rPr>
            <w:rFonts w:ascii="Times New Roman" w:cs="Times New Roman" w:eastAsia="Times New Roman" w:hAnsi="Times New Roman"/>
            <w:color w:val="1155cc"/>
            <w:sz w:val="24"/>
            <w:szCs w:val="24"/>
            <w:u w:val="single"/>
            <w:rtl w:val="0"/>
          </w:rPr>
          <w:t xml:space="preserve">https://www.uscis.gov/administrative-appeals/aao-decisions/aao-non-precedent-decisions</w:t>
        </w:r>
      </w:hyperlink>
      <w:r w:rsidDel="00000000" w:rsidR="00000000" w:rsidRPr="00000000">
        <w:rPr>
          <w:rtl w:val="0"/>
        </w:rPr>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will let you know which AAO non-precedent cases are needed, some of them are quite voluminous, so we have to limit them by year (for the last 5 years only, for example)</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AAO precedents are crucial because analyzing them helps to prepare a stronger case, avoid mistakes, generate ideas on legal strategy (for example, what new evidence can be collected for O-1A, EB-1A or EB-2 NIW cases based on client’s field)</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 case updates (after an application is filed)</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generate new documents and immigration forms based on the information already stored in the account (for example, a Privacy Release Form for the congressional inquiries, or address change request)</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 reminders (for example, O-1 visa renewal reminders)</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 as customer relationship management system (for example, send email marketing campaigns with successful case studies)</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responses to RFE</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responses to NOID</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index of exhibits</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Advise on missing information </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Advise on missing documentation</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Upselling (for example, once O-1A is approved, to offer EB-1A services)</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 LinkedIn communications (respond to messages) - if that’s possible </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and send summaries of video calls</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 Zoom consultations</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customer support</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case progression (for example, “waiting for questionnaires”, “sent for review”, “waiting for USCIS to issue a decision”, etc.)</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past information, transcripts of video calls and send proposals</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completed application packets for submission </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client’s address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Collecting contact information from incoming leads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are mostly generated on Linkedin and I specialize in employment-based cases (O-1A, H-1B cap subject/cap exempt, EB-2 NIW and EB-1A).</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already set up the consultation requests and filling out the intake questionnaires, plus attaching the resume.</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improve the intake process and set up the automatic case evaluation and sending proposals. </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O-1A initial AI evaluation</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lead is interested in O-1A and has completed the questionnaire and attached their resume, AI should take the following steps:</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O-1A Critical or Essential Role Criterion</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job responsibilities listed on the resume, determine whether any current or previous position may qualify under the O-1A criterion requiring the beneficiary to have performed in a </w:t>
      </w:r>
      <w:r w:rsidDel="00000000" w:rsidR="00000000" w:rsidRPr="00000000">
        <w:rPr>
          <w:rFonts w:ascii="Times New Roman" w:cs="Times New Roman" w:eastAsia="Times New Roman" w:hAnsi="Times New Roman"/>
          <w:b w:val="1"/>
          <w:bCs w:val="1"/>
          <w:sz w:val="24"/>
          <w:szCs w:val="24"/>
          <w:rtl w:val="0"/>
        </w:rPr>
        <w:t xml:space="preserve">critical or essential capacity</w:t>
      </w:r>
      <w:r w:rsidDel="00000000" w:rsidR="00000000" w:rsidRPr="00000000">
        <w:rPr>
          <w:rFonts w:ascii="Times New Roman" w:cs="Times New Roman" w:eastAsia="Times New Roman" w:hAnsi="Times New Roman"/>
          <w:sz w:val="24"/>
          <w:szCs w:val="24"/>
          <w:rtl w:val="0"/>
        </w:rPr>
        <w:t xml:space="preserve"> for an organization with a distinguished reputation.</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Determine Whether the Organization Has a Distinguished Reputation</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to evaluate whether the organization can be considered distinguished. For example, a company included in the Fortune 500 generally meets this requirement. Other evidence of a distinguished reputation may include:</w:t>
      </w:r>
    </w:p>
    <w:p w:rsidR="00000000" w:rsidDel="00000000" w:rsidP="00000000" w:rsidRDefault="00000000" w:rsidRPr="00000000" w14:paraId="0000005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through industry awards.</w:t>
      </w:r>
    </w:p>
    <w:p w:rsidR="00000000" w:rsidDel="00000000" w:rsidP="00000000" w:rsidRDefault="00000000" w:rsidRPr="00000000" w14:paraId="0000005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in major national or international media outlets.</w:t>
      </w:r>
    </w:p>
    <w:p w:rsidR="00000000" w:rsidDel="00000000" w:rsidP="00000000" w:rsidRDefault="00000000" w:rsidRPr="00000000" w14:paraId="0000005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market share or industry leadership.</w:t>
      </w:r>
    </w:p>
    <w:p w:rsidR="00000000" w:rsidDel="00000000" w:rsidP="00000000" w:rsidRDefault="00000000" w:rsidRPr="00000000" w14:paraId="0000005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objective evidence demonstrating the organization's distinguished reputation within its field.</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Determine Whether the Beneficiary Served in a Critical or Essential Role</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analyze whether the beneficiary's position qualifies as critical or essential. A role may satisfy this requirement if, for example:</w:t>
      </w:r>
    </w:p>
    <w:p w:rsidR="00000000" w:rsidDel="00000000" w:rsidP="00000000" w:rsidRDefault="00000000" w:rsidRPr="00000000" w14:paraId="0000005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beneficiary's role was more critical than that of others holding the same title within the organization.</w:t>
      </w:r>
    </w:p>
    <w:p w:rsidR="00000000" w:rsidDel="00000000" w:rsidP="00000000" w:rsidRDefault="00000000" w:rsidRPr="00000000" w14:paraId="0000005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beneficiary made significant contributions to the success of the company, business unit, or department, such as generating substantial cost savings, securing major contracts, leading key initiatives, developing essential technology, or otherwise materially advancing the organization's objectives.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evidence demonstrates that the beneficiary's contributions were of exceptional importance to the organization's operations or achievements, the position may qualify as a </w:t>
      </w:r>
      <w:r w:rsidDel="00000000" w:rsidR="00000000" w:rsidRPr="00000000">
        <w:rPr>
          <w:rFonts w:ascii="Times New Roman" w:cs="Times New Roman" w:eastAsia="Times New Roman" w:hAnsi="Times New Roman"/>
          <w:b w:val="1"/>
          <w:bCs w:val="1"/>
          <w:sz w:val="24"/>
          <w:szCs w:val="24"/>
          <w:rtl w:val="0"/>
        </w:rPr>
        <w:t xml:space="preserve">critical or essential 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Evidence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evidence is typically required to establish this criterion:</w:t>
      </w:r>
    </w:p>
    <w:p w:rsidR="00000000" w:rsidDel="00000000" w:rsidP="00000000" w:rsidRDefault="00000000" w:rsidRPr="00000000" w14:paraId="0000005D">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Letter of Support</w:t>
      </w:r>
    </w:p>
    <w:p w:rsidR="00000000" w:rsidDel="00000000" w:rsidP="00000000" w:rsidRDefault="00000000" w:rsidRPr="00000000" w14:paraId="0000005E">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letter from a manager, supervisor, executive, or colleague with firsthand knowledge of the beneficiary's critical or essential role.</w:t>
      </w:r>
    </w:p>
    <w:p w:rsidR="00000000" w:rsidDel="00000000" w:rsidP="00000000" w:rsidRDefault="00000000" w:rsidRPr="00000000" w14:paraId="0000005F">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resume should also be provided. If a resume is unavailable, acceptable alternatives include:</w:t>
      </w:r>
    </w:p>
    <w:p w:rsidR="00000000" w:rsidDel="00000000" w:rsidP="00000000" w:rsidRDefault="00000000" w:rsidRPr="00000000" w14:paraId="00000060">
      <w:pPr>
        <w:numPr>
          <w:ilvl w:val="2"/>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printout of the author's LinkedIn profile.</w:t>
      </w:r>
    </w:p>
    <w:p w:rsidR="00000000" w:rsidDel="00000000" w:rsidP="00000000" w:rsidRDefault="00000000" w:rsidRPr="00000000" w14:paraId="00000061">
      <w:pPr>
        <w:numPr>
          <w:ilvl w:val="2"/>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profile page from the company's website (e.g., an "Our Team" page).</w:t>
      </w:r>
    </w:p>
    <w:p w:rsidR="00000000" w:rsidDel="00000000" w:rsidP="00000000" w:rsidRDefault="00000000" w:rsidRPr="00000000" w14:paraId="00000062">
      <w:pPr>
        <w:numPr>
          <w:ilvl w:val="2"/>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Publicly available media coverage or other evidence establishing the author's professional credentials.</w:t>
      </w:r>
    </w:p>
    <w:p w:rsidR="00000000" w:rsidDel="00000000" w:rsidP="00000000" w:rsidRDefault="00000000" w:rsidRPr="00000000" w14:paraId="00000063">
      <w:pPr>
        <w:numPr>
          <w:ilvl w:val="0"/>
          <w:numId w:val="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Evidence of the Organization's Distinguished Reputation</w:t>
        <w:br w:type="textWrapping"/>
      </w: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64">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in the Fortune 500 or similar recognized rankings.</w:t>
      </w:r>
    </w:p>
    <w:p w:rsidR="00000000" w:rsidDel="00000000" w:rsidP="00000000" w:rsidRDefault="00000000" w:rsidRPr="00000000" w14:paraId="00000065">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media coverage.</w:t>
      </w:r>
    </w:p>
    <w:p w:rsidR="00000000" w:rsidDel="00000000" w:rsidP="00000000" w:rsidRDefault="00000000" w:rsidRPr="00000000" w14:paraId="00000066">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awards or recognitions.</w:t>
      </w:r>
    </w:p>
    <w:p w:rsidR="00000000" w:rsidDel="00000000" w:rsidP="00000000" w:rsidRDefault="00000000" w:rsidRPr="00000000" w14:paraId="00000067">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significant market share or industry leadership.</w:t>
      </w:r>
    </w:p>
    <w:p w:rsidR="00000000" w:rsidDel="00000000" w:rsidP="00000000" w:rsidRDefault="00000000" w:rsidRPr="00000000" w14:paraId="00000068">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objective evidence demonstrating the organization's distinguished reputation in its field.</w:t>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O-1A High Salary Criterion</w:t>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this criterion, users need to demonstrate that their salary was in top 10% for the SOC code, seniority, location (city and state) and year. AI will need to check user’s current and past roles in the U.S. and compare them against the SOC codes and locations data available on the U.S. Bureau of Labor Statistics Occupational Employment and Wage Statistics (OEWS) website: </w:t>
      </w:r>
      <w:hyperlink r:id="rId8">
        <w:r w:rsidDel="00000000" w:rsidR="00000000" w:rsidRPr="00000000">
          <w:rPr>
            <w:rFonts w:ascii="Times New Roman" w:cs="Times New Roman" w:eastAsia="Times New Roman" w:hAnsi="Times New Roman"/>
            <w:color w:val="1155cc"/>
            <w:sz w:val="24"/>
            <w:szCs w:val="24"/>
            <w:u w:val="single"/>
            <w:rtl w:val="0"/>
          </w:rPr>
          <w:t xml:space="preserve">https://www.bls.gov/oes/</w:t>
        </w:r>
      </w:hyperlink>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AI should verify whether a salary meets top 10% high salary O-1A criterion using a real example below:</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Indian national is currently working in the U.S. on H-1B visa, he’s been employed at City &amp; County of San Francisco from 02/2019 to present as “Lead Servicenow Developer/Architecture/Administrator/Consultant”. What matters are the job duties, the title doesn’t matter, for example this applicant provided the following job responsibilities:</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Leading ServiceNow </w:t>
      </w:r>
      <w:r w:rsidDel="00000000" w:rsidR="00000000" w:rsidRPr="00000000">
        <w:rPr>
          <w:b w:val="1"/>
          <w:bCs w:val="1"/>
          <w:i w:val="1"/>
          <w:iCs w:val="1"/>
          <w:sz w:val="16"/>
          <w:szCs w:val="16"/>
          <w:rtl w:val="0"/>
        </w:rPr>
        <w:t xml:space="preserve">HRSD</w:t>
      </w:r>
      <w:r w:rsidDel="00000000" w:rsidR="00000000" w:rsidRPr="00000000">
        <w:rPr>
          <w:i w:val="1"/>
          <w:iCs w:val="1"/>
          <w:sz w:val="16"/>
          <w:szCs w:val="16"/>
          <w:rtl w:val="0"/>
        </w:rPr>
        <w:t xml:space="preserve"> projects and work-streams through  design, build, test, and deployment activities leveraging</w:t>
      </w:r>
    </w:p>
    <w:p w:rsidR="00000000" w:rsidDel="00000000" w:rsidP="00000000" w:rsidRDefault="00000000" w:rsidRPr="00000000" w14:paraId="00000072">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Evaluate Servicenow HR implementation on their existing process</w:t>
      </w:r>
    </w:p>
    <w:p w:rsidR="00000000" w:rsidDel="00000000" w:rsidP="00000000" w:rsidRDefault="00000000" w:rsidRPr="00000000" w14:paraId="00000073">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Worked on several </w:t>
      </w:r>
      <w:r w:rsidDel="00000000" w:rsidR="00000000" w:rsidRPr="00000000">
        <w:rPr>
          <w:b w:val="1"/>
          <w:bCs w:val="1"/>
          <w:i w:val="1"/>
          <w:iCs w:val="1"/>
          <w:sz w:val="16"/>
          <w:szCs w:val="16"/>
          <w:rtl w:val="0"/>
        </w:rPr>
        <w:t xml:space="preserve">HRSD</w:t>
      </w:r>
      <w:r w:rsidDel="00000000" w:rsidR="00000000" w:rsidRPr="00000000">
        <w:rPr>
          <w:i w:val="1"/>
          <w:iCs w:val="1"/>
          <w:sz w:val="16"/>
          <w:szCs w:val="16"/>
          <w:rtl w:val="0"/>
        </w:rPr>
        <w:t xml:space="preserve"> record producers, HR Services, HR Criteria.</w:t>
      </w:r>
    </w:p>
    <w:p w:rsidR="00000000" w:rsidDel="00000000" w:rsidP="00000000" w:rsidRDefault="00000000" w:rsidRPr="00000000" w14:paraId="00000074">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Worked on </w:t>
      </w:r>
      <w:r w:rsidDel="00000000" w:rsidR="00000000" w:rsidRPr="00000000">
        <w:rPr>
          <w:b w:val="1"/>
          <w:bCs w:val="1"/>
          <w:i w:val="1"/>
          <w:iCs w:val="1"/>
          <w:sz w:val="16"/>
          <w:szCs w:val="16"/>
          <w:rtl w:val="0"/>
        </w:rPr>
        <w:t xml:space="preserve">HRSD</w:t>
      </w:r>
      <w:r w:rsidDel="00000000" w:rsidR="00000000" w:rsidRPr="00000000">
        <w:rPr>
          <w:i w:val="1"/>
          <w:iCs w:val="1"/>
          <w:sz w:val="16"/>
          <w:szCs w:val="16"/>
          <w:rtl w:val="0"/>
        </w:rPr>
        <w:t xml:space="preserve"> Case management enhancements.</w:t>
      </w:r>
    </w:p>
    <w:p w:rsidR="00000000" w:rsidDel="00000000" w:rsidP="00000000" w:rsidRDefault="00000000" w:rsidRPr="00000000" w14:paraId="00000075">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Worked with management for </w:t>
      </w:r>
      <w:r w:rsidDel="00000000" w:rsidR="00000000" w:rsidRPr="00000000">
        <w:rPr>
          <w:b w:val="1"/>
          <w:bCs w:val="1"/>
          <w:i w:val="1"/>
          <w:iCs w:val="1"/>
          <w:sz w:val="16"/>
          <w:szCs w:val="16"/>
          <w:rtl w:val="0"/>
        </w:rPr>
        <w:t xml:space="preserve">HRSD</w:t>
      </w:r>
      <w:r w:rsidDel="00000000" w:rsidR="00000000" w:rsidRPr="00000000">
        <w:rPr>
          <w:i w:val="1"/>
          <w:iCs w:val="1"/>
          <w:sz w:val="16"/>
          <w:szCs w:val="16"/>
          <w:rtl w:val="0"/>
        </w:rPr>
        <w:t xml:space="preserve"> application, </w:t>
      </w:r>
      <w:r w:rsidDel="00000000" w:rsidR="00000000" w:rsidRPr="00000000">
        <w:rPr>
          <w:b w:val="1"/>
          <w:bCs w:val="1"/>
          <w:i w:val="1"/>
          <w:iCs w:val="1"/>
          <w:sz w:val="16"/>
          <w:szCs w:val="16"/>
          <w:rtl w:val="0"/>
        </w:rPr>
        <w:t xml:space="preserve">AQI feature</w:t>
      </w:r>
      <w:r w:rsidDel="00000000" w:rsidR="00000000" w:rsidRPr="00000000">
        <w:rPr>
          <w:i w:val="1"/>
          <w:iCs w:val="1"/>
          <w:sz w:val="16"/>
          <w:szCs w:val="16"/>
          <w:rtl w:val="0"/>
        </w:rPr>
        <w:t xml:space="preserve">.</w:t>
      </w:r>
    </w:p>
    <w:p w:rsidR="00000000" w:rsidDel="00000000" w:rsidP="00000000" w:rsidRDefault="00000000" w:rsidRPr="00000000" w14:paraId="00000076">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Responsible for maintaining deployment checklist and deploying code changes tohigher environments.</w:t>
      </w:r>
    </w:p>
    <w:p w:rsidR="00000000" w:rsidDel="00000000" w:rsidP="00000000" w:rsidRDefault="00000000" w:rsidRPr="00000000" w14:paraId="00000077">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Creation of various artefacts like technical documentation, Unit Test Document,</w:t>
      </w:r>
    </w:p>
    <w:p w:rsidR="00000000" w:rsidDel="00000000" w:rsidP="00000000" w:rsidRDefault="00000000" w:rsidRPr="00000000" w14:paraId="00000078">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Implementation of ITIL process including incident, problem, change, knowledge and </w:t>
      </w:r>
      <w:r w:rsidDel="00000000" w:rsidR="00000000" w:rsidRPr="00000000">
        <w:rPr>
          <w:b w:val="1"/>
          <w:bCs w:val="1"/>
          <w:i w:val="1"/>
          <w:iCs w:val="1"/>
          <w:sz w:val="16"/>
          <w:szCs w:val="16"/>
          <w:rtl w:val="0"/>
        </w:rPr>
        <w:t xml:space="preserve">CMDB</w:t>
      </w:r>
      <w:r w:rsidDel="00000000" w:rsidR="00000000" w:rsidRPr="00000000">
        <w:rPr>
          <w:i w:val="1"/>
          <w:iCs w:val="1"/>
          <w:sz w:val="16"/>
          <w:szCs w:val="16"/>
          <w:rtl w:val="0"/>
        </w:rPr>
        <w:t xml:space="preserve"> for better ITSM on ServiceNow.</w:t>
      </w:r>
    </w:p>
    <w:p w:rsidR="00000000" w:rsidDel="00000000" w:rsidP="00000000" w:rsidRDefault="00000000" w:rsidRPr="00000000" w14:paraId="00000079">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Created various workflows for Incident Management, Change Management, Service Requests and SLA's that are exclusive to service the organization.</w:t>
      </w:r>
    </w:p>
    <w:p w:rsidR="00000000" w:rsidDel="00000000" w:rsidP="00000000" w:rsidRDefault="00000000" w:rsidRPr="00000000" w14:paraId="0000007A">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Orchestrated incident response activities within the Security Operations Center (</w:t>
      </w:r>
      <w:r w:rsidDel="00000000" w:rsidR="00000000" w:rsidRPr="00000000">
        <w:rPr>
          <w:b w:val="1"/>
          <w:bCs w:val="1"/>
          <w:i w:val="1"/>
          <w:iCs w:val="1"/>
          <w:sz w:val="16"/>
          <w:szCs w:val="16"/>
          <w:rtl w:val="0"/>
        </w:rPr>
        <w:t xml:space="preserve">SOC</w:t>
      </w:r>
      <w:r w:rsidDel="00000000" w:rsidR="00000000" w:rsidRPr="00000000">
        <w:rPr>
          <w:i w:val="1"/>
          <w:iCs w:val="1"/>
          <w:sz w:val="16"/>
          <w:szCs w:val="16"/>
          <w:rtl w:val="0"/>
        </w:rPr>
        <w:t xml:space="preserve">) using </w:t>
      </w:r>
      <w:r w:rsidDel="00000000" w:rsidR="00000000" w:rsidRPr="00000000">
        <w:rPr>
          <w:b w:val="1"/>
          <w:bCs w:val="1"/>
          <w:i w:val="1"/>
          <w:iCs w:val="1"/>
          <w:sz w:val="16"/>
          <w:szCs w:val="16"/>
          <w:rtl w:val="0"/>
        </w:rPr>
        <w:t xml:space="preserve">ServiceNow's SecOps module</w:t>
      </w:r>
      <w:r w:rsidDel="00000000" w:rsidR="00000000" w:rsidRPr="00000000">
        <w:rPr>
          <w:i w:val="1"/>
          <w:iCs w:val="1"/>
          <w:sz w:val="16"/>
          <w:szCs w:val="16"/>
          <w:rtl w:val="0"/>
        </w:rPr>
        <w:t xml:space="preserve">.</w:t>
      </w:r>
    </w:p>
    <w:p w:rsidR="00000000" w:rsidDel="00000000" w:rsidP="00000000" w:rsidRDefault="00000000" w:rsidRPr="00000000" w14:paraId="0000007B">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Collaborated closely with the </w:t>
      </w:r>
      <w:r w:rsidDel="00000000" w:rsidR="00000000" w:rsidRPr="00000000">
        <w:rPr>
          <w:b w:val="1"/>
          <w:bCs w:val="1"/>
          <w:i w:val="1"/>
          <w:iCs w:val="1"/>
          <w:sz w:val="16"/>
          <w:szCs w:val="16"/>
          <w:rtl w:val="0"/>
        </w:rPr>
        <w:t xml:space="preserve">SOC</w:t>
      </w:r>
      <w:r w:rsidDel="00000000" w:rsidR="00000000" w:rsidRPr="00000000">
        <w:rPr>
          <w:i w:val="1"/>
          <w:iCs w:val="1"/>
          <w:sz w:val="16"/>
          <w:szCs w:val="16"/>
          <w:rtl w:val="0"/>
        </w:rPr>
        <w:t xml:space="preserve"> team to configure and fine-tune ServiceNow for threat detection and response.</w:t>
      </w:r>
    </w:p>
    <w:p w:rsidR="00000000" w:rsidDel="00000000" w:rsidP="00000000" w:rsidRDefault="00000000" w:rsidRPr="00000000" w14:paraId="0000007C">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Moved all JIRA project to PPM as part of Implementation go-live.</w:t>
      </w:r>
    </w:p>
    <w:p w:rsidR="00000000" w:rsidDel="00000000" w:rsidP="00000000" w:rsidRDefault="00000000" w:rsidRPr="00000000" w14:paraId="0000007D">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Working on </w:t>
      </w:r>
      <w:r w:rsidDel="00000000" w:rsidR="00000000" w:rsidRPr="00000000">
        <w:rPr>
          <w:b w:val="1"/>
          <w:bCs w:val="1"/>
          <w:i w:val="1"/>
          <w:iCs w:val="1"/>
          <w:sz w:val="16"/>
          <w:szCs w:val="16"/>
          <w:rtl w:val="0"/>
        </w:rPr>
        <w:t xml:space="preserve">ITBM</w:t>
      </w:r>
      <w:r w:rsidDel="00000000" w:rsidR="00000000" w:rsidRPr="00000000">
        <w:rPr>
          <w:i w:val="1"/>
          <w:iCs w:val="1"/>
          <w:sz w:val="16"/>
          <w:szCs w:val="16"/>
          <w:rtl w:val="0"/>
        </w:rPr>
        <w:t xml:space="preserve">- </w:t>
      </w:r>
      <w:r w:rsidDel="00000000" w:rsidR="00000000" w:rsidRPr="00000000">
        <w:rPr>
          <w:b w:val="1"/>
          <w:bCs w:val="1"/>
          <w:i w:val="1"/>
          <w:iCs w:val="1"/>
          <w:sz w:val="16"/>
          <w:szCs w:val="16"/>
          <w:rtl w:val="0"/>
        </w:rPr>
        <w:t xml:space="preserve">Application Portfolio Management</w:t>
      </w:r>
      <w:r w:rsidDel="00000000" w:rsidR="00000000" w:rsidRPr="00000000">
        <w:rPr>
          <w:i w:val="1"/>
          <w:iCs w:val="1"/>
          <w:sz w:val="16"/>
          <w:szCs w:val="16"/>
          <w:rtl w:val="0"/>
        </w:rPr>
        <w:t xml:space="preserve"> (APM).</w:t>
      </w:r>
    </w:p>
    <w:p w:rsidR="00000000" w:rsidDel="00000000" w:rsidP="00000000" w:rsidRDefault="00000000" w:rsidRPr="00000000" w14:paraId="0000007E">
      <w:pPr>
        <w:ind w:left="360" w:firstLine="0"/>
        <w:jc w:val="both"/>
        <w:rPr>
          <w:i w:val="1"/>
          <w:i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sz w:val="16"/>
          <w:szCs w:val="16"/>
          <w:rtl w:val="0"/>
        </w:rPr>
        <w:t xml:space="preserve">End-to-End Development and Customization Incident, Problem, Knowledge Change management, CMDB, Asset Management, Product/Software Catalog- per ITIL processes and policies.</w:t>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can find the appropriate SOC Code, the following prompt can be used “Find the appropriate SOC code for this position”. The following SOC code was found: 15-1252 – Software Developers</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has been working in this position since 02/2019, so the system has to check the top 10% salary (“Annual 90th percentile wage”) for the same SOC code, metro area and year.</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find the annual 90th percentile wage for “15-1252 – Software Developers”:</w:t>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OEWS Data</w:t>
      </w:r>
    </w:p>
    <w:p w:rsidR="00000000" w:rsidDel="00000000" w:rsidP="00000000" w:rsidRDefault="00000000" w:rsidRPr="00000000" w14:paraId="0000008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tables</w:t>
      </w:r>
    </w:p>
    <w:p w:rsidR="00000000" w:rsidDel="00000000" w:rsidP="00000000" w:rsidRDefault="00000000" w:rsidRPr="00000000" w14:paraId="0000008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the year (for example, May 2025)</w:t>
      </w:r>
    </w:p>
    <w:p w:rsidR="00000000" w:rsidDel="00000000" w:rsidP="00000000" w:rsidRDefault="00000000" w:rsidRPr="00000000" w14:paraId="0000008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Occupational profiles</w:t>
      </w:r>
    </w:p>
    <w:p w:rsidR="00000000" w:rsidDel="00000000" w:rsidP="00000000" w:rsidRDefault="00000000" w:rsidRPr="00000000" w14:paraId="0000008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appropriate SOC code (for example, “15-1252 – Software Developers”)</w:t>
      </w:r>
    </w:p>
    <w:p w:rsidR="00000000" w:rsidDel="00000000" w:rsidP="00000000" w:rsidRDefault="00000000" w:rsidRPr="00000000" w14:paraId="0000008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Computer and Mathematical Occupations</w:t>
      </w:r>
    </w:p>
    <w:p w:rsidR="00000000" w:rsidDel="00000000" w:rsidP="00000000" w:rsidRDefault="00000000" w:rsidRPr="00000000" w14:paraId="0000008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 Francisco, CA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measures - Annual 90th percentile wage - San Francisco - Oakland - Fremont, CA - $273,400</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applicant’s 2025 salary is $273,400 or more, the applicant can claim the “high salary” criterion</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applicant’s 2025 salary is below $273,400, the applicant does not qualify</w:t>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O-1A Criterion Evidence of authorship of scholarly articles in the field, published in professional journals or major media </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whether an applicant may qualify under this criterion, AI should search for the applicant's Google Scholar or Research Gate profile, as well as the applicant's name in combination with published papers. Sometimes scholarly articles can be found through a standard Google search, rather than Google Scholar. For example, an article may be published on the NIH website or another reputable research institution's website. Applicants sometimes authored research papers while in college but either forget about them or assume they do not qualify as scholarly articles for this criterion.</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 identifies a scholarly article, it must conduct the following two-step analysis.</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Determine whether the article qualifies as a </w:t>
      </w:r>
      <w:r w:rsidDel="00000000" w:rsidR="00000000" w:rsidRPr="00000000">
        <w:rPr>
          <w:rFonts w:ascii="Times New Roman" w:cs="Times New Roman" w:eastAsia="Times New Roman" w:hAnsi="Times New Roman"/>
          <w:b w:val="1"/>
          <w:bCs w:val="1"/>
          <w:sz w:val="24"/>
          <w:szCs w:val="24"/>
          <w:rtl w:val="0"/>
        </w:rPr>
        <w:t xml:space="preserve">scholarly article</w:t>
      </w:r>
      <w:r w:rsidDel="00000000" w:rsidR="00000000" w:rsidRPr="00000000">
        <w:rPr>
          <w:rFonts w:ascii="Times New Roman" w:cs="Times New Roman" w:eastAsia="Times New Roman" w:hAnsi="Times New Roman"/>
          <w:sz w:val="24"/>
          <w:szCs w:val="24"/>
          <w:rtl w:val="0"/>
        </w:rPr>
        <w:t xml:space="preserve">.  A scholarly article generally has the following characteristics:</w:t>
      </w:r>
    </w:p>
    <w:p w:rsidR="00000000" w:rsidDel="00000000" w:rsidP="00000000" w:rsidRDefault="00000000" w:rsidRPr="00000000" w14:paraId="0000009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original research, experimentation, or scholarly or philosophical analysis.</w:t>
      </w:r>
    </w:p>
    <w:p w:rsidR="00000000" w:rsidDel="00000000" w:rsidP="00000000" w:rsidRDefault="00000000" w:rsidRPr="00000000" w14:paraId="0000009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written by a researcher or recognized expert in the field, often affiliated with a college, university, research institution, or other academic organization.</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typically peer-reviewed.</w:t>
      </w:r>
    </w:p>
    <w:p w:rsidR="00000000" w:rsidDel="00000000" w:rsidP="00000000" w:rsidRDefault="00000000" w:rsidRPr="00000000" w14:paraId="0000009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scholarly references, such as footnotes, endnotes, or a bibliography, and may contain graphs, charts, images, or other illustrations supporting the concepts discussed.</w:t>
      </w:r>
    </w:p>
    <w:p w:rsidR="00000000" w:rsidDel="00000000" w:rsidP="00000000" w:rsidRDefault="00000000" w:rsidRPr="00000000" w14:paraId="0000009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published in a professionally relevant academic journal or presented at a nationally or internationally recognized conference.</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AI identifies a scholarly article authored by the applicant, it should flag the article and add this criterion to the O-1A proposal as a potential basis for qualification. Because search results may include publications by individuals with the same or similar names, the AI must verify that the article actually belongs to the applicant by comparing factors such as the author's field of expertise, institutional affiliation, publication history, co-authors, education, employment history, or other identifying information before including it in the proposal.</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O-1A Criterion Published Material about the Beneficiary and His Work in Professional Journals, Trade Publications, or Major Media</w:t>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eligibility under this criterion, AI should conduct the following two-step analysis.</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86xrudgq1v9p" w:id="0"/>
      <w:bookmarkEnd w:id="0"/>
      <w:r w:rsidDel="00000000" w:rsidR="00000000" w:rsidRPr="00000000">
        <w:rPr>
          <w:rFonts w:ascii="Times New Roman" w:cs="Times New Roman" w:eastAsia="Times New Roman" w:hAnsi="Times New Roman"/>
          <w:i w:val="1"/>
          <w:iCs w:val="1"/>
          <w:color w:val="000000"/>
          <w:sz w:val="26"/>
          <w:szCs w:val="26"/>
          <w:rtl w:val="0"/>
        </w:rPr>
        <w:t xml:space="preserve">Step 1.</w:t>
      </w:r>
      <w:r w:rsidDel="00000000" w:rsidR="00000000" w:rsidRPr="00000000">
        <w:rPr>
          <w:rFonts w:ascii="Times New Roman" w:cs="Times New Roman" w:eastAsia="Times New Roman" w:hAnsi="Times New Roman"/>
          <w:color w:val="000000"/>
          <w:sz w:val="26"/>
          <w:szCs w:val="26"/>
          <w:rtl w:val="0"/>
        </w:rPr>
        <w:t xml:space="preserve"> Determine Whether the Article Substantially Discusses the Applicant or Their Work</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must primarily focus on the applicant and/or their work. A brief mention of the applicant's name is insufficient and will not satisfy USCIS requirements.</w:t>
      </w:r>
    </w:p>
    <w:p w:rsidR="00000000" w:rsidDel="00000000" w:rsidP="00000000" w:rsidRDefault="00000000" w:rsidRPr="00000000" w14:paraId="0000009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Example of an article that meets the USCIS O-1A standard:</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https://www.band.com.br/band-vale/noticias/what-brazils-real-estate-market-can-learn-from-us-proptech-ai-startups-202606231653</w:t>
        </w:r>
      </w:hyperlink>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substantially discusses the applicant's professional experience and provides detailed coverage of his advice to Brazilian property technology startup founders.</w:t>
      </w:r>
    </w:p>
    <w:p w:rsidR="00000000" w:rsidDel="00000000" w:rsidP="00000000" w:rsidRDefault="00000000" w:rsidRPr="00000000" w14:paraId="000000A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Example of an article that does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meet the USCIS O-1A standard:</w:t>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https://bosstoday.com/the-growing-importance-of-ai-software-for-amazon-sellers/</w:t>
        </w:r>
      </w:hyperlink>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the article for the name "James Lloyd" reveals only a single reference:</w:t>
      </w:r>
    </w:p>
    <w:p w:rsidR="00000000" w:rsidDel="00000000" w:rsidP="00000000" w:rsidRDefault="00000000" w:rsidRPr="00000000" w14:paraId="000000A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James Lloyd, Digital Strategy Lead, Retail, at THE LINE, the barriers to entry remain remarkably low. 'It's almost never been easier to start an online business in any shape or form,' he said."</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applicant is mentioned only briefly and is not the subject of the article, this publication would not qualify.</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article does not substantially discuss the applicant or their work, Step 2 is unnecessary and may be skipped.</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i3b6z86idn" w:id="1"/>
      <w:bookmarkEnd w:id="1"/>
      <w:r w:rsidDel="00000000" w:rsidR="00000000" w:rsidRPr="00000000">
        <w:rPr>
          <w:rFonts w:ascii="Times New Roman" w:cs="Times New Roman" w:eastAsia="Times New Roman" w:hAnsi="Times New Roman"/>
          <w:i w:val="1"/>
          <w:iCs w:val="1"/>
          <w:color w:val="000000"/>
          <w:sz w:val="26"/>
          <w:szCs w:val="26"/>
          <w:rtl w:val="0"/>
        </w:rPr>
        <w:t xml:space="preserve">Step 2. </w:t>
      </w:r>
      <w:r w:rsidDel="00000000" w:rsidR="00000000" w:rsidRPr="00000000">
        <w:rPr>
          <w:rFonts w:ascii="Times New Roman" w:cs="Times New Roman" w:eastAsia="Times New Roman" w:hAnsi="Times New Roman"/>
          <w:color w:val="000000"/>
          <w:sz w:val="26"/>
          <w:szCs w:val="26"/>
          <w:rtl w:val="0"/>
        </w:rPr>
        <w:t xml:space="preserve">Determine Whether the Publication Qualifies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qualifying material may appear in print (e.g., newspapers, magazines, professional journals, books, or textbooks), online (e.g., websites), or in audio or video format (provided a transcript is available).</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publication should qualify under at least one of the following categories:</w:t>
      </w:r>
    </w:p>
    <w:p w:rsidR="00000000" w:rsidDel="00000000" w:rsidP="00000000" w:rsidRDefault="00000000" w:rsidRPr="00000000" w14:paraId="000000A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uge13jooicn" w:id="2"/>
      <w:bookmarkEnd w:id="2"/>
      <w:r w:rsidDel="00000000" w:rsidR="00000000" w:rsidRPr="00000000">
        <w:rPr>
          <w:rFonts w:ascii="Times New Roman" w:cs="Times New Roman" w:eastAsia="Times New Roman" w:hAnsi="Times New Roman"/>
          <w:b w:val="1"/>
          <w:bCs w:val="1"/>
          <w:color w:val="000000"/>
          <w:rtl w:val="0"/>
        </w:rPr>
        <w:t xml:space="preserve">1. Professional Journal</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journals are typically peer-reviewed publications that focus on a specific academic or professional discipline. They are written for researchers and professionals in the field rather than for the general public.</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ACM Journal of Data Science (</w:t>
      </w:r>
      <w:hyperlink r:id="rId11">
        <w:r w:rsidDel="00000000" w:rsidR="00000000" w:rsidRPr="00000000">
          <w:rPr>
            <w:rFonts w:ascii="Times New Roman" w:cs="Times New Roman" w:eastAsia="Times New Roman" w:hAnsi="Times New Roman"/>
            <w:color w:val="1155cc"/>
            <w:sz w:val="24"/>
            <w:szCs w:val="24"/>
            <w:u w:val="single"/>
            <w:rtl w:val="0"/>
          </w:rPr>
          <w:t xml:space="preserve">https://dl.acm.org/toc/jds/2025/2/2</w:t>
        </w:r>
      </w:hyperlink>
      <w:r w:rsidDel="00000000" w:rsidR="00000000" w:rsidRPr="00000000">
        <w:rPr>
          <w:rFonts w:ascii="Times New Roman" w:cs="Times New Roman" w:eastAsia="Times New Roman" w:hAnsi="Times New Roman"/>
          <w:sz w:val="24"/>
          <w:szCs w:val="24"/>
          <w:rtl w:val="0"/>
        </w:rPr>
        <w:t xml:space="preserve">) meets this definition because it:</w:t>
      </w:r>
    </w:p>
    <w:p w:rsidR="00000000" w:rsidDel="00000000" w:rsidP="00000000" w:rsidRDefault="00000000" w:rsidRPr="00000000" w14:paraId="000000AC">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publishes peer-reviewed articles;</w:t>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exclusively on data science;</w:t>
      </w:r>
    </w:p>
    <w:p w:rsidR="00000000" w:rsidDel="00000000" w:rsidP="00000000" w:rsidRDefault="00000000" w:rsidRPr="00000000" w14:paraId="000000A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organizes content into volumes and issues;</w:t>
      </w:r>
    </w:p>
    <w:p w:rsidR="00000000" w:rsidDel="00000000" w:rsidP="00000000" w:rsidRDefault="00000000" w:rsidRPr="00000000" w14:paraId="000000A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an editorial board;</w:t>
      </w:r>
    </w:p>
    <w:p w:rsidR="00000000" w:rsidDel="00000000" w:rsidP="00000000" w:rsidRDefault="00000000" w:rsidRPr="00000000" w14:paraId="000000B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publishes original research and scholarly articles; and</w:t>
      </w:r>
    </w:p>
    <w:p w:rsidR="00000000" w:rsidDel="00000000" w:rsidP="00000000" w:rsidRDefault="00000000" w:rsidRPr="00000000" w14:paraId="000000B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intended for readers with specialized knowledge rather than a general audience.</w:t>
      </w:r>
    </w:p>
    <w:p w:rsidR="00000000" w:rsidDel="00000000" w:rsidP="00000000" w:rsidRDefault="00000000" w:rsidRPr="00000000" w14:paraId="000000B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l89sscs0cmec" w:id="3"/>
      <w:bookmarkEnd w:id="3"/>
      <w:r w:rsidDel="00000000" w:rsidR="00000000" w:rsidRPr="00000000">
        <w:rPr>
          <w:rFonts w:ascii="Times New Roman" w:cs="Times New Roman" w:eastAsia="Times New Roman" w:hAnsi="Times New Roman"/>
          <w:b w:val="1"/>
          <w:bCs w:val="1"/>
          <w:color w:val="000000"/>
          <w:rtl w:val="0"/>
        </w:rPr>
        <w:t xml:space="preserve">2. Trade Publication</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publications are written for professionals working in a particular industry or occupation. AI should analyze the publication's intended audience to determine whether it targets knowledgeable professionals rather than the general public.</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Law360 (</w:t>
      </w:r>
      <w:hyperlink r:id="rId12">
        <w:r w:rsidDel="00000000" w:rsidR="00000000" w:rsidRPr="00000000">
          <w:rPr>
            <w:rFonts w:ascii="Times New Roman" w:cs="Times New Roman" w:eastAsia="Times New Roman" w:hAnsi="Times New Roman"/>
            <w:color w:val="1155cc"/>
            <w:sz w:val="24"/>
            <w:szCs w:val="24"/>
            <w:u w:val="single"/>
            <w:rtl w:val="0"/>
          </w:rPr>
          <w:t xml:space="preserve">https://www.law360.com/</w:t>
        </w:r>
      </w:hyperlink>
      <w:r w:rsidDel="00000000" w:rsidR="00000000" w:rsidRPr="00000000">
        <w:rPr>
          <w:rFonts w:ascii="Times New Roman" w:cs="Times New Roman" w:eastAsia="Times New Roman" w:hAnsi="Times New Roman"/>
          <w:sz w:val="24"/>
          <w:szCs w:val="24"/>
          <w:rtl w:val="0"/>
        </w:rPr>
        <w:t xml:space="preserve">) qualifies as a trade publication because its content is clearly intended for attorneys and other legal professionals. Indicators include:</w:t>
      </w:r>
    </w:p>
    <w:p w:rsidR="00000000" w:rsidDel="00000000" w:rsidP="00000000" w:rsidRDefault="00000000" w:rsidRPr="00000000" w14:paraId="000000B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practice-area sections such as Intellectual Property, Securities, Bankruptcy, and Competition;</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addressing specialized legal topics, such as:</w:t>
      </w:r>
    </w:p>
    <w:p w:rsidR="00000000" w:rsidDel="00000000" w:rsidP="00000000" w:rsidRDefault="00000000" w:rsidRPr="00000000" w14:paraId="000000B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9th Circ. Seeks Nev. High Court Input In Live Nation Class Suit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Mich. Justices' Ruling Will Allow Eli Lilly Price-Fixing Probe</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0B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CFTC Fines George Santos Over Prediction Market Trades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use of legal terminology that assumes professional knowledge; and</w:t>
      </w:r>
    </w:p>
    <w:p w:rsidR="00000000" w:rsidDel="00000000" w:rsidP="00000000" w:rsidRDefault="00000000" w:rsidRPr="00000000" w14:paraId="000000B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subscription-only access to most articles, reflecting its professional target audience.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publication is designed for practicing attorneys and other legal professionals, not laypersons.</w:t>
      </w:r>
    </w:p>
    <w:p w:rsidR="00000000" w:rsidDel="00000000" w:rsidP="00000000" w:rsidRDefault="00000000" w:rsidRPr="00000000" w14:paraId="000000B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8fs7dutm2kfv" w:id="4"/>
      <w:bookmarkEnd w:id="4"/>
      <w:r w:rsidDel="00000000" w:rsidR="00000000" w:rsidRPr="00000000">
        <w:rPr>
          <w:rFonts w:ascii="Times New Roman" w:cs="Times New Roman" w:eastAsia="Times New Roman" w:hAnsi="Times New Roman"/>
          <w:b w:val="1"/>
          <w:bCs w:val="1"/>
          <w:color w:val="000000"/>
          <w:rtl w:val="0"/>
        </w:rPr>
        <w:t xml:space="preserve">3. Major Media</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media includes news websites with substantial viewership. One objective way to evaluate whether a publication qualifies as major media is to analyze its website traffic. Monthly traffic statistics can be obtained through Similarweb (</w:t>
      </w:r>
      <w:hyperlink r:id="rId13">
        <w:r w:rsidDel="00000000" w:rsidR="00000000" w:rsidRPr="00000000">
          <w:rPr>
            <w:rFonts w:ascii="Times New Roman" w:cs="Times New Roman" w:eastAsia="Times New Roman" w:hAnsi="Times New Roman"/>
            <w:color w:val="1155cc"/>
            <w:sz w:val="24"/>
            <w:szCs w:val="24"/>
            <w:u w:val="single"/>
            <w:rtl w:val="0"/>
          </w:rPr>
          <w:t xml:space="preserve">https://secure.similarweb.com/account/login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websites receiving more than 1 million monthly visits typically qualify as major media for O-1A purposes. I have a paid SimilarWeb subscription that allows me to check monthly website traffic for any website. Please check if an API is available for SimilarWeb.</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AAO precedent research internal tool and case evaluation/legal strategy </w:t>
      </w:r>
    </w:p>
    <w:sectPr>
      <w:footerReference r:id="rId14"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l.acm.org/toc/jds/2025/2/2" TargetMode="External"/><Relationship Id="rId10" Type="http://schemas.openxmlformats.org/officeDocument/2006/relationships/hyperlink" Target="https://bosstoday.com/the-growing-importance-of-ai-software-for-amazon-sellers/" TargetMode="External"/><Relationship Id="rId13" Type="http://schemas.openxmlformats.org/officeDocument/2006/relationships/hyperlink" Target="https://secure.similarweb.com/account/login" TargetMode="External"/><Relationship Id="rId12" Type="http://schemas.openxmlformats.org/officeDocument/2006/relationships/hyperlink" Target="https://www.law360.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nd.com.br/band-vale/noticias/what-brazils-real-estate-market-can-learn-from-us-proptech-ai-startups-202606231653"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docketwise.com/" TargetMode="External"/><Relationship Id="rId7" Type="http://schemas.openxmlformats.org/officeDocument/2006/relationships/hyperlink" Target="https://www.uscis.gov/administrative-appeals/aao-decisions/aao-non-precedent-decisions" TargetMode="External"/><Relationship Id="rId8" Type="http://schemas.openxmlformats.org/officeDocument/2006/relationships/hyperlink" Target="https://www.bls.gov/o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