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CDD" w:rsidRPr="008A3983" w:rsidRDefault="001D56E2" w:rsidP="008A3983">
      <w:pPr>
        <w:pStyle w:val="Heading1"/>
        <w:rPr>
          <w:rFonts w:ascii="Times New Roman" w:hAnsi="Times New Roman" w:cs="Times New Roman"/>
          <w:color w:val="auto"/>
          <w:sz w:val="36"/>
          <w:szCs w:val="36"/>
          <w:lang w:eastAsia="en-US"/>
        </w:rPr>
      </w:pPr>
      <w:r w:rsidRPr="008A3983">
        <w:rPr>
          <w:rFonts w:ascii="Times New Roman" w:hAnsi="Times New Roman" w:cs="Times New Roman"/>
          <w:color w:val="auto"/>
          <w:sz w:val="36"/>
          <w:szCs w:val="36"/>
          <w:lang w:eastAsia="en-US"/>
        </w:rPr>
        <w:t>S1 Appendix</w:t>
      </w:r>
    </w:p>
    <w:p w:rsidR="008A3983" w:rsidRDefault="008A3983" w:rsidP="00A83CDD">
      <w:pPr>
        <w:spacing w:after="0" w:line="360" w:lineRule="auto"/>
        <w:jc w:val="both"/>
        <w:rPr>
          <w:rFonts w:ascii="Times New Roman" w:eastAsia="SimSun" w:hAnsi="Times New Roman" w:cs="Times New Roman"/>
          <w:spacing w:val="-1"/>
          <w:sz w:val="24"/>
          <w:szCs w:val="24"/>
          <w:lang w:eastAsia="x-none"/>
        </w:rPr>
      </w:pPr>
    </w:p>
    <w:p w:rsidR="00A83CDD" w:rsidRPr="00A83CDD" w:rsidRDefault="00A83CDD" w:rsidP="00A83CDD">
      <w:pPr>
        <w:spacing w:after="0" w:line="360" w:lineRule="auto"/>
        <w:jc w:val="both"/>
        <w:rPr>
          <w:rFonts w:ascii="Times New Roman" w:eastAsia="SimSun" w:hAnsi="Times New Roman" w:cs="Times New Roman"/>
          <w:spacing w:val="-1"/>
          <w:sz w:val="24"/>
          <w:szCs w:val="24"/>
          <w:lang w:val="x-none" w:eastAsia="x-none"/>
        </w:rPr>
      </w:pPr>
      <w:r w:rsidRPr="00A83CDD">
        <w:rPr>
          <w:rFonts w:ascii="Times New Roman" w:eastAsia="SimSun" w:hAnsi="Times New Roman" w:cs="Times New Roman"/>
          <w:spacing w:val="-1"/>
          <w:sz w:val="24"/>
          <w:szCs w:val="24"/>
          <w:lang w:eastAsia="x-none"/>
        </w:rPr>
        <w:t>To</w:t>
      </w:r>
      <w:r w:rsidRPr="00A83CDD">
        <w:rPr>
          <w:rFonts w:ascii="Times New Roman" w:eastAsia="SimSun" w:hAnsi="Times New Roman" w:cs="Times New Roman"/>
          <w:spacing w:val="-1"/>
          <w:sz w:val="24"/>
          <w:szCs w:val="24"/>
          <w:lang w:val="x-none" w:eastAsia="x-none"/>
        </w:rPr>
        <w:t xml:space="preserve"> simulate blood flow in the patient-specific coronary artery tree models</w:t>
      </w:r>
      <w:r w:rsidRPr="00A83CDD">
        <w:rPr>
          <w:rFonts w:ascii="Times New Roman" w:eastAsia="SimSun" w:hAnsi="Times New Roman" w:cs="Times New Roman"/>
          <w:spacing w:val="-1"/>
          <w:sz w:val="24"/>
          <w:szCs w:val="24"/>
          <w:lang w:eastAsia="x-none"/>
        </w:rPr>
        <w:t xml:space="preserve">, this study used </w:t>
      </w:r>
      <w:r w:rsidRPr="00A83CDD">
        <w:rPr>
          <w:rFonts w:ascii="Times New Roman" w:eastAsia="SimSun" w:hAnsi="Times New Roman" w:cs="Times New Roman"/>
          <w:spacing w:val="-1"/>
          <w:sz w:val="24"/>
          <w:szCs w:val="24"/>
          <w:lang w:val="x-none" w:eastAsia="x-none"/>
        </w:rPr>
        <w:t>FLUENT</w:t>
      </w:r>
      <w:r w:rsidRPr="00A83CDD">
        <w:rPr>
          <w:rFonts w:ascii="Times New Roman" w:eastAsia="SimSun" w:hAnsi="Times New Roman" w:cs="Times New Roman"/>
          <w:spacing w:val="-1"/>
          <w:sz w:val="24"/>
          <w:szCs w:val="24"/>
          <w:vertAlign w:val="superscript"/>
          <w:lang w:val="x-none" w:eastAsia="x-none"/>
        </w:rPr>
        <w:t>TM</w:t>
      </w:r>
      <w:r w:rsidRPr="00A83CDD">
        <w:rPr>
          <w:rFonts w:ascii="Times New Roman" w:eastAsia="SimSun" w:hAnsi="Times New Roman" w:cs="Times New Roman"/>
          <w:spacing w:val="-1"/>
          <w:sz w:val="24"/>
          <w:szCs w:val="24"/>
          <w:lang w:val="x-none" w:eastAsia="x-none"/>
        </w:rPr>
        <w:t xml:space="preserve"> </w:t>
      </w:r>
      <w:r w:rsidRPr="00A83CDD">
        <w:rPr>
          <w:rFonts w:ascii="Times New Roman" w:eastAsia="SimSun" w:hAnsi="Times New Roman" w:cs="Times New Roman"/>
          <w:spacing w:val="-1"/>
          <w:sz w:val="24"/>
          <w:szCs w:val="24"/>
          <w:lang w:eastAsia="x-none"/>
        </w:rPr>
        <w:t xml:space="preserve">to solve </w:t>
      </w:r>
      <w:r w:rsidRPr="00A83CDD">
        <w:rPr>
          <w:rFonts w:ascii="Times New Roman" w:eastAsia="SimSun" w:hAnsi="Times New Roman" w:cs="Times New Roman"/>
          <w:spacing w:val="-1"/>
          <w:sz w:val="24"/>
          <w:szCs w:val="24"/>
          <w:lang w:val="x-none" w:eastAsia="x-none"/>
        </w:rPr>
        <w:t xml:space="preserve">continuity and </w:t>
      </w:r>
      <w:proofErr w:type="spellStart"/>
      <w:r w:rsidRPr="00A83CDD">
        <w:rPr>
          <w:rFonts w:ascii="Times New Roman" w:eastAsia="SimSun" w:hAnsi="Times New Roman" w:cs="Times New Roman"/>
          <w:spacing w:val="-1"/>
          <w:sz w:val="24"/>
          <w:szCs w:val="24"/>
          <w:lang w:val="x-none" w:eastAsia="x-none"/>
        </w:rPr>
        <w:t>Navier</w:t>
      </w:r>
      <w:proofErr w:type="spellEnd"/>
      <w:r w:rsidRPr="00A83CDD">
        <w:rPr>
          <w:rFonts w:ascii="Times New Roman" w:eastAsia="SimSun" w:hAnsi="Times New Roman" w:cs="Times New Roman"/>
          <w:spacing w:val="-1"/>
          <w:sz w:val="24"/>
          <w:szCs w:val="24"/>
          <w:lang w:val="x-none" w:eastAsia="x-none"/>
        </w:rPr>
        <w:t xml:space="preserve">-Stokes equations </w:t>
      </w:r>
      <w:r w:rsidRPr="00A83CDD">
        <w:rPr>
          <w:rFonts w:ascii="Times New Roman" w:eastAsia="SimSun" w:hAnsi="Times New Roman" w:cs="Times New Roman"/>
          <w:spacing w:val="-1"/>
          <w:sz w:val="24"/>
          <w:szCs w:val="24"/>
          <w:lang w:eastAsia="x-none"/>
        </w:rPr>
        <w:t xml:space="preserve">as shown in </w:t>
      </w:r>
      <w:proofErr w:type="spellStart"/>
      <w:r w:rsidRPr="00A83CDD">
        <w:rPr>
          <w:rFonts w:ascii="Times New Roman" w:eastAsia="SimSun" w:hAnsi="Times New Roman" w:cs="Times New Roman"/>
          <w:spacing w:val="-1"/>
          <w:sz w:val="24"/>
          <w:szCs w:val="24"/>
          <w:lang w:eastAsia="x-none"/>
        </w:rPr>
        <w:t>Eqs</w:t>
      </w:r>
      <w:proofErr w:type="spellEnd"/>
      <w:r w:rsidRPr="00A83CDD">
        <w:rPr>
          <w:rFonts w:ascii="Times New Roman" w:eastAsia="SimSun" w:hAnsi="Times New Roman" w:cs="Times New Roman"/>
          <w:spacing w:val="-1"/>
          <w:sz w:val="24"/>
          <w:szCs w:val="24"/>
          <w:lang w:eastAsia="x-none"/>
        </w:rPr>
        <w:t xml:space="preserve">. A1 and A2 respectively. </w:t>
      </w:r>
      <w:r w:rsidRPr="00A83CDD">
        <w:rPr>
          <w:rFonts w:ascii="Times New Roman" w:eastAsia="SimSun" w:hAnsi="Times New Roman" w:cs="Times New Roman"/>
          <w:spacing w:val="-1"/>
          <w:sz w:val="24"/>
          <w:szCs w:val="24"/>
          <w:lang w:val="x-none" w:eastAsia="x-none"/>
        </w:rPr>
        <w:t xml:space="preserve"> </w:t>
      </w:r>
    </w:p>
    <w:p w:rsidR="00A83CDD" w:rsidRPr="00A83CDD" w:rsidRDefault="00A83CDD" w:rsidP="00A83CDD">
      <w:pPr>
        <w:spacing w:after="0" w:line="360" w:lineRule="auto"/>
        <w:ind w:firstLine="288"/>
        <w:jc w:val="right"/>
        <w:rPr>
          <w:rFonts w:ascii="Times New Roman" w:eastAsia="SimSun" w:hAnsi="Times New Roman" w:cs="Times New Roman"/>
          <w:spacing w:val="-1"/>
          <w:sz w:val="24"/>
          <w:szCs w:val="24"/>
          <w:lang w:eastAsia="x-none"/>
        </w:rPr>
      </w:pPr>
      <w:r w:rsidRPr="00A83CDD">
        <w:rPr>
          <w:rFonts w:ascii="Times New Roman" w:eastAsia="SimSun" w:hAnsi="Times New Roman" w:cs="Times New Roman"/>
          <w:spacing w:val="-1"/>
          <w:sz w:val="24"/>
          <w:szCs w:val="24"/>
          <w:lang w:val="x-none" w:eastAsia="x-none"/>
        </w:rPr>
        <w:t xml:space="preserve">                                                            </w:t>
      </w:r>
      <w:r w:rsidRPr="00A83CDD">
        <w:rPr>
          <w:rFonts w:ascii="Times New Roman" w:eastAsia="SimSun" w:hAnsi="Times New Roman" w:cs="Times New Roman"/>
          <w:spacing w:val="-1"/>
          <w:position w:val="-28"/>
          <w:sz w:val="20"/>
          <w:szCs w:val="20"/>
          <w:lang w:val="x-none" w:eastAsia="x-none"/>
        </w:rPr>
        <w:object w:dxaOrig="720"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33.75pt" o:ole="">
            <v:imagedata r:id="rId8" o:title=""/>
          </v:shape>
          <o:OLEObject Type="Embed" ProgID="Equation.3" ShapeID="_x0000_i1025" DrawAspect="Content" ObjectID="_1524376673" r:id="rId9"/>
        </w:object>
      </w:r>
      <w:r w:rsidRPr="00A83CDD">
        <w:rPr>
          <w:rFonts w:ascii="Times New Roman" w:eastAsia="SimSun" w:hAnsi="Times New Roman" w:cs="Times New Roman"/>
          <w:spacing w:val="-1"/>
          <w:sz w:val="20"/>
          <w:szCs w:val="20"/>
          <w:lang w:val="x-none" w:eastAsia="x-none"/>
        </w:rPr>
        <w:t xml:space="preserve"> </w:t>
      </w:r>
      <w:r w:rsidRPr="00A83CDD">
        <w:rPr>
          <w:rFonts w:ascii="Times New Roman" w:eastAsia="SimSun" w:hAnsi="Times New Roman" w:cs="Times New Roman"/>
          <w:spacing w:val="-1"/>
          <w:sz w:val="20"/>
          <w:szCs w:val="20"/>
          <w:lang w:eastAsia="x-none"/>
        </w:rPr>
        <w:t xml:space="preserve">                  </w:t>
      </w:r>
      <w:r w:rsidRPr="00A83CDD">
        <w:rPr>
          <w:rFonts w:ascii="Times New Roman" w:eastAsia="SimSun" w:hAnsi="Times New Roman" w:cs="Times New Roman"/>
          <w:spacing w:val="-1"/>
          <w:sz w:val="20"/>
          <w:szCs w:val="20"/>
          <w:lang w:val="x-none" w:eastAsia="x-none"/>
        </w:rPr>
        <w:t xml:space="preserve">        </w:t>
      </w:r>
      <w:r w:rsidRPr="00A83CDD">
        <w:rPr>
          <w:rFonts w:ascii="Times New Roman" w:eastAsia="SimSun" w:hAnsi="Times New Roman" w:cs="Times New Roman"/>
          <w:spacing w:val="-1"/>
          <w:sz w:val="20"/>
          <w:szCs w:val="20"/>
          <w:lang w:eastAsia="x-none"/>
        </w:rPr>
        <w:t xml:space="preserve">  </w:t>
      </w:r>
      <w:r w:rsidRPr="00A83CDD">
        <w:rPr>
          <w:rFonts w:ascii="Times New Roman" w:eastAsia="SimSun" w:hAnsi="Times New Roman" w:cs="Times New Roman"/>
          <w:spacing w:val="-1"/>
          <w:sz w:val="20"/>
          <w:szCs w:val="20"/>
          <w:lang w:val="x-none" w:eastAsia="x-none"/>
        </w:rPr>
        <w:t xml:space="preserve">                                                   </w:t>
      </w:r>
      <w:r w:rsidRPr="00A83CDD">
        <w:rPr>
          <w:rFonts w:ascii="Times New Roman" w:eastAsia="SimSun" w:hAnsi="Times New Roman" w:cs="Times New Roman"/>
          <w:spacing w:val="-1"/>
          <w:sz w:val="24"/>
          <w:szCs w:val="24"/>
          <w:lang w:val="x-none" w:eastAsia="x-none"/>
        </w:rPr>
        <w:t>(</w:t>
      </w:r>
      <w:r w:rsidRPr="00A83CDD">
        <w:rPr>
          <w:rFonts w:ascii="Times New Roman" w:eastAsia="SimSun" w:hAnsi="Times New Roman" w:cs="Times New Roman"/>
          <w:spacing w:val="-1"/>
          <w:sz w:val="24"/>
          <w:szCs w:val="24"/>
          <w:lang w:eastAsia="x-none"/>
        </w:rPr>
        <w:t>A</w:t>
      </w:r>
      <w:r w:rsidRPr="00A83CDD">
        <w:rPr>
          <w:rFonts w:ascii="Times New Roman" w:eastAsia="SimSun" w:hAnsi="Times New Roman" w:cs="Times New Roman"/>
          <w:spacing w:val="-1"/>
          <w:sz w:val="24"/>
          <w:szCs w:val="24"/>
          <w:lang w:val="x-none" w:eastAsia="x-none"/>
        </w:rPr>
        <w:t>1)</w:t>
      </w:r>
    </w:p>
    <w:p w:rsidR="00A83CDD" w:rsidRPr="00A83CDD" w:rsidRDefault="00A83CDD" w:rsidP="00A83CDD">
      <w:pPr>
        <w:spacing w:after="0" w:line="360" w:lineRule="auto"/>
        <w:ind w:firstLine="720"/>
        <w:jc w:val="right"/>
        <w:rPr>
          <w:rFonts w:ascii="Cambria" w:eastAsia="Times New Roman" w:hAnsi="Cambria" w:cs="Times New Roman"/>
          <w:sz w:val="24"/>
          <w:szCs w:val="24"/>
          <w:lang w:val="en-GB" w:eastAsia="en-GB"/>
        </w:rPr>
      </w:pPr>
      <w:r w:rsidRPr="00A83CDD">
        <w:rPr>
          <w:rFonts w:ascii="Times New Roman" w:eastAsia="Times New Roman" w:hAnsi="Times New Roman" w:cs="Times New Roman"/>
          <w:position w:val="-34"/>
          <w:sz w:val="24"/>
          <w:szCs w:val="24"/>
          <w:lang w:val="en-GB" w:eastAsia="en-GB"/>
        </w:rPr>
        <w:object w:dxaOrig="3780" w:dyaOrig="800">
          <v:shape id="_x0000_i1026" type="#_x0000_t75" style="width:160.5pt;height:34.5pt" o:ole="">
            <v:imagedata r:id="rId10" o:title=""/>
          </v:shape>
          <o:OLEObject Type="Embed" ProgID="Equation.3" ShapeID="_x0000_i1026" DrawAspect="Content" ObjectID="_1524376674" r:id="rId11"/>
        </w:object>
      </w:r>
      <w:r w:rsidRPr="00A83CDD">
        <w:rPr>
          <w:rFonts w:ascii="Times New Roman" w:eastAsia="Times New Roman" w:hAnsi="Times New Roman" w:cs="Times New Roman"/>
          <w:sz w:val="24"/>
          <w:szCs w:val="24"/>
          <w:lang w:val="en-GB" w:eastAsia="en-GB"/>
        </w:rPr>
        <w:t xml:space="preserve">                                              (A2)     </w:t>
      </w:r>
      <w:r w:rsidRPr="00A83CDD">
        <w:rPr>
          <w:rFonts w:ascii="Cambria" w:eastAsia="Times New Roman" w:hAnsi="Cambria" w:cs="Times New Roman"/>
          <w:sz w:val="24"/>
          <w:szCs w:val="24"/>
          <w:lang w:val="en-GB" w:eastAsia="en-GB"/>
        </w:rPr>
        <w:t xml:space="preserve">                                                                                       </w:t>
      </w:r>
    </w:p>
    <w:p w:rsidR="00A83CDD" w:rsidRPr="00A83CDD" w:rsidRDefault="00A83CDD" w:rsidP="00A83CDD">
      <w:pPr>
        <w:spacing w:after="0" w:line="360" w:lineRule="auto"/>
        <w:jc w:val="both"/>
        <w:rPr>
          <w:rFonts w:ascii="Times New Roman" w:eastAsia="SimSun" w:hAnsi="Times New Roman" w:cs="Times New Roman"/>
          <w:spacing w:val="-1"/>
          <w:sz w:val="24"/>
          <w:szCs w:val="24"/>
          <w:lang w:eastAsia="x-none"/>
        </w:rPr>
      </w:pPr>
      <w:r w:rsidRPr="00A83CDD">
        <w:rPr>
          <w:rFonts w:ascii="Times New Roman" w:eastAsia="SimSun" w:hAnsi="Times New Roman" w:cs="Times New Roman"/>
          <w:spacing w:val="-1"/>
          <w:sz w:val="24"/>
          <w:szCs w:val="24"/>
          <w:lang w:eastAsia="x-none"/>
        </w:rPr>
        <w:t xml:space="preserve">where </w:t>
      </w:r>
      <w:proofErr w:type="spellStart"/>
      <w:r w:rsidRPr="00A83CDD">
        <w:rPr>
          <w:rFonts w:ascii="Times New Roman" w:eastAsia="SimSun" w:hAnsi="Times New Roman" w:cs="Times New Roman"/>
          <w:i/>
          <w:spacing w:val="-1"/>
          <w:sz w:val="24"/>
          <w:szCs w:val="24"/>
          <w:lang w:eastAsia="x-none"/>
        </w:rPr>
        <w:t>x</w:t>
      </w:r>
      <w:r w:rsidRPr="00A83CDD">
        <w:rPr>
          <w:rFonts w:ascii="Times New Roman" w:eastAsia="SimSun" w:hAnsi="Times New Roman" w:cs="Times New Roman"/>
          <w:i/>
          <w:spacing w:val="-1"/>
          <w:sz w:val="24"/>
          <w:szCs w:val="24"/>
          <w:vertAlign w:val="subscript"/>
          <w:lang w:eastAsia="x-none"/>
        </w:rPr>
        <w:t>j</w:t>
      </w:r>
      <w:proofErr w:type="spellEnd"/>
      <w:r w:rsidRPr="00A83CDD">
        <w:rPr>
          <w:rFonts w:ascii="Times New Roman" w:eastAsia="SimSun" w:hAnsi="Times New Roman" w:cs="Times New Roman"/>
          <w:spacing w:val="-1"/>
          <w:sz w:val="24"/>
          <w:szCs w:val="24"/>
          <w:lang w:eastAsia="x-none"/>
        </w:rPr>
        <w:t xml:space="preserve"> is the location in Cartesian coordinates, </w:t>
      </w:r>
      <w:proofErr w:type="spellStart"/>
      <w:r w:rsidRPr="00A83CDD">
        <w:rPr>
          <w:rFonts w:ascii="Times New Roman" w:eastAsia="SimSun" w:hAnsi="Times New Roman" w:cs="Times New Roman"/>
          <w:i/>
          <w:spacing w:val="-1"/>
          <w:sz w:val="24"/>
          <w:szCs w:val="24"/>
          <w:lang w:eastAsia="x-none"/>
        </w:rPr>
        <w:t>u</w:t>
      </w:r>
      <w:r w:rsidRPr="00A83CDD">
        <w:rPr>
          <w:rFonts w:ascii="Times New Roman" w:eastAsia="SimSun" w:hAnsi="Times New Roman" w:cs="Times New Roman"/>
          <w:i/>
          <w:spacing w:val="-1"/>
          <w:sz w:val="24"/>
          <w:szCs w:val="24"/>
          <w:vertAlign w:val="subscript"/>
          <w:lang w:eastAsia="x-none"/>
        </w:rPr>
        <w:t>j</w:t>
      </w:r>
      <w:proofErr w:type="spellEnd"/>
      <w:r w:rsidRPr="00A83CDD">
        <w:rPr>
          <w:rFonts w:ascii="Times New Roman" w:eastAsia="SimSun" w:hAnsi="Times New Roman" w:cs="Times New Roman"/>
          <w:i/>
          <w:spacing w:val="-1"/>
          <w:sz w:val="24"/>
          <w:szCs w:val="24"/>
          <w:lang w:eastAsia="x-none"/>
        </w:rPr>
        <w:t xml:space="preserve"> </w:t>
      </w:r>
      <w:r w:rsidRPr="00A83CDD">
        <w:rPr>
          <w:rFonts w:ascii="Times New Roman" w:eastAsia="SimSun" w:hAnsi="Times New Roman" w:cs="Times New Roman"/>
          <w:spacing w:val="-1"/>
          <w:sz w:val="24"/>
          <w:szCs w:val="24"/>
          <w:lang w:eastAsia="x-none"/>
        </w:rPr>
        <w:t xml:space="preserve">(or </w:t>
      </w:r>
      <w:proofErr w:type="spellStart"/>
      <w:r w:rsidRPr="00A83CDD">
        <w:rPr>
          <w:rFonts w:ascii="Times New Roman" w:eastAsia="SimSun" w:hAnsi="Times New Roman" w:cs="Times New Roman"/>
          <w:i/>
          <w:spacing w:val="-1"/>
          <w:sz w:val="24"/>
          <w:szCs w:val="24"/>
          <w:lang w:eastAsia="x-none"/>
        </w:rPr>
        <w:t>u</w:t>
      </w:r>
      <w:r w:rsidRPr="00A83CDD">
        <w:rPr>
          <w:rFonts w:ascii="Times New Roman" w:eastAsia="SimSun" w:hAnsi="Times New Roman" w:cs="Times New Roman"/>
          <w:i/>
          <w:spacing w:val="-1"/>
          <w:sz w:val="24"/>
          <w:szCs w:val="24"/>
          <w:vertAlign w:val="subscript"/>
          <w:lang w:eastAsia="x-none"/>
        </w:rPr>
        <w:t>i</w:t>
      </w:r>
      <w:proofErr w:type="spellEnd"/>
      <w:r w:rsidRPr="00A83CDD">
        <w:rPr>
          <w:rFonts w:ascii="Times New Roman" w:eastAsia="SimSun" w:hAnsi="Times New Roman" w:cs="Times New Roman"/>
          <w:spacing w:val="-1"/>
          <w:sz w:val="24"/>
          <w:szCs w:val="24"/>
          <w:lang w:eastAsia="x-none"/>
        </w:rPr>
        <w:t xml:space="preserve">) is the Cartesian component of velocity, </w:t>
      </w:r>
      <w:r w:rsidRPr="00A83CDD">
        <w:rPr>
          <w:rFonts w:ascii="Times New Roman" w:eastAsia="SimSun" w:hAnsi="Times New Roman" w:cs="Times New Roman"/>
          <w:i/>
          <w:spacing w:val="-1"/>
          <w:sz w:val="24"/>
          <w:szCs w:val="24"/>
          <w:lang w:eastAsia="x-none"/>
        </w:rPr>
        <w:t>P</w:t>
      </w:r>
      <w:r w:rsidRPr="00A83CDD">
        <w:rPr>
          <w:rFonts w:ascii="Times New Roman" w:eastAsia="SimSun" w:hAnsi="Times New Roman" w:cs="Times New Roman"/>
          <w:spacing w:val="-1"/>
          <w:sz w:val="24"/>
          <w:szCs w:val="24"/>
          <w:lang w:eastAsia="x-none"/>
        </w:rPr>
        <w:t xml:space="preserve"> represents the static pressure; and </w:t>
      </w:r>
      <w:r w:rsidRPr="00A83CDD">
        <w:rPr>
          <w:rFonts w:ascii="Times New Roman" w:eastAsia="SimSun" w:hAnsi="Times New Roman" w:cs="Times New Roman"/>
          <w:i/>
          <w:spacing w:val="-1"/>
          <w:sz w:val="24"/>
          <w:szCs w:val="24"/>
          <w:lang w:eastAsia="x-none"/>
        </w:rPr>
        <w:t>ρ</w:t>
      </w:r>
      <w:r w:rsidRPr="00A83CDD">
        <w:rPr>
          <w:rFonts w:ascii="Times New Roman" w:eastAsia="SimSun" w:hAnsi="Times New Roman" w:cs="Times New Roman"/>
          <w:spacing w:val="-1"/>
          <w:sz w:val="24"/>
          <w:szCs w:val="24"/>
          <w:lang w:eastAsia="x-none"/>
        </w:rPr>
        <w:t xml:space="preserve"> and </w:t>
      </w:r>
      <w:r w:rsidRPr="00A83CDD">
        <w:rPr>
          <w:rFonts w:ascii="Times New Roman" w:eastAsia="SimSun" w:hAnsi="Times New Roman" w:cs="Times New Roman"/>
          <w:i/>
          <w:spacing w:val="-1"/>
          <w:sz w:val="24"/>
          <w:szCs w:val="24"/>
          <w:lang w:eastAsia="x-none"/>
        </w:rPr>
        <w:t>μ</w:t>
      </w:r>
      <w:r w:rsidRPr="00A83CDD">
        <w:rPr>
          <w:rFonts w:ascii="Times New Roman" w:eastAsia="SimSun" w:hAnsi="Times New Roman" w:cs="Times New Roman"/>
          <w:spacing w:val="-1"/>
          <w:sz w:val="24"/>
          <w:szCs w:val="24"/>
          <w:lang w:eastAsia="x-none"/>
        </w:rPr>
        <w:t xml:space="preserve"> were set as 1,060 kg/m</w:t>
      </w:r>
      <w:r w:rsidRPr="00A83CDD">
        <w:rPr>
          <w:rFonts w:ascii="Times New Roman" w:eastAsia="SimSun" w:hAnsi="Times New Roman" w:cs="Times New Roman"/>
          <w:spacing w:val="-1"/>
          <w:sz w:val="24"/>
          <w:szCs w:val="24"/>
          <w:vertAlign w:val="superscript"/>
          <w:lang w:eastAsia="x-none"/>
        </w:rPr>
        <w:t>3</w:t>
      </w:r>
      <w:r w:rsidRPr="00A83CDD">
        <w:rPr>
          <w:rFonts w:ascii="Times New Roman" w:eastAsia="SimSun" w:hAnsi="Times New Roman" w:cs="Times New Roman"/>
          <w:spacing w:val="-1"/>
          <w:sz w:val="24"/>
          <w:szCs w:val="24"/>
          <w:lang w:eastAsia="x-none"/>
        </w:rPr>
        <w:t xml:space="preserve"> and 4.5×10</w:t>
      </w:r>
      <w:r w:rsidRPr="00A83CDD">
        <w:rPr>
          <w:rFonts w:ascii="Times New Roman" w:eastAsia="SimSun" w:hAnsi="Times New Roman" w:cs="Times New Roman"/>
          <w:spacing w:val="-1"/>
          <w:sz w:val="24"/>
          <w:szCs w:val="24"/>
          <w:vertAlign w:val="superscript"/>
          <w:lang w:eastAsia="x-none"/>
        </w:rPr>
        <w:t>-3</w:t>
      </w:r>
      <w:r w:rsidRPr="00A83CDD">
        <w:rPr>
          <w:rFonts w:ascii="Times New Roman" w:eastAsia="SimSun" w:hAnsi="Times New Roman" w:cs="Times New Roman"/>
          <w:spacing w:val="-1"/>
          <w:sz w:val="24"/>
          <w:szCs w:val="24"/>
          <w:lang w:eastAsia="x-none"/>
        </w:rPr>
        <w:t xml:space="preserve"> </w:t>
      </w:r>
      <w:proofErr w:type="spellStart"/>
      <w:r w:rsidRPr="00A83CDD">
        <w:rPr>
          <w:rFonts w:ascii="Times New Roman" w:eastAsia="SimSun" w:hAnsi="Times New Roman" w:cs="Times New Roman"/>
          <w:spacing w:val="-1"/>
          <w:sz w:val="24"/>
          <w:szCs w:val="24"/>
          <w:lang w:eastAsia="x-none"/>
        </w:rPr>
        <w:t>Pa·s</w:t>
      </w:r>
      <w:proofErr w:type="spellEnd"/>
      <w:r w:rsidRPr="00A83CDD">
        <w:rPr>
          <w:rFonts w:ascii="Times New Roman" w:eastAsia="SimSun" w:hAnsi="Times New Roman" w:cs="Times New Roman"/>
          <w:spacing w:val="-1"/>
          <w:sz w:val="24"/>
          <w:szCs w:val="24"/>
          <w:lang w:eastAsia="x-none"/>
        </w:rPr>
        <w:t xml:space="preserve"> respectively to represent the density and dynamic viscosity of blood in large epicardial arteries </w:t>
      </w:r>
      <w:r w:rsidRPr="00A83CDD">
        <w:rPr>
          <w:rFonts w:ascii="Times New Roman" w:eastAsia="SimSun" w:hAnsi="Times New Roman" w:cs="Times New Roman"/>
          <w:spacing w:val="-1"/>
          <w:sz w:val="24"/>
          <w:szCs w:val="24"/>
          <w:lang w:eastAsia="x-none"/>
        </w:rPr>
        <w:fldChar w:fldCharType="begin" w:fldLock="1"/>
      </w:r>
      <w:r w:rsidR="005C7DCF">
        <w:rPr>
          <w:rFonts w:ascii="Times New Roman" w:eastAsia="SimSun" w:hAnsi="Times New Roman" w:cs="Times New Roman"/>
          <w:spacing w:val="-1"/>
          <w:sz w:val="24"/>
          <w:szCs w:val="24"/>
          <w:lang w:eastAsia="x-none"/>
        </w:rPr>
        <w:instrText>ADDIN CSL_CITATION { "citationItems" : [ { "id" : "ITEM-1", "itemData" : { "DOI" : "10.1152/ajpheart.00586.2007", "ISSN" : "0363-6135", "PMID" : "17827262", "abstract" : "The branching pattern of epicardial coronary arteries is clearly three-dimensional, with correspondingly complex flow patterns. The objective of the present study was to perform a detailed hemodynamic analysis using a three-dimensional finite element method in a left anterior descending (LAD) epicardial arterial tree, including main trunk and primary branches, based on computed tomography scans. The inlet LAD flow velocity was measured in an anesthetized pig, and the outlet pressure boundary condition was estimated based on scaling laws. The spatial and temporal wall shear stress (WSS), gradient of WSS (WSSG), and oscillatory shear index (OSI) were calculated and used to identify regions of flow disturbances in the vicinity of primary bifurcations. We found that low WSS and high OSI coincide with disturbed flows (stagnated, secondary, and reversed flows) opposite to the flow divider and lateral to the junction orifice of the main trunk and primary branches. High time-averaged WSSG occurs in regions of bifurcations, with the flow divider having maximum values. Low WSS and high OSI were found to be related through a power law relationship. Furthermore, zones of low time-averaged WSS and high OSI amplified for larger diameter ratio and high inlet flow rate. Hence, different focal atherosclerotic-prone regions may be explained by different physical mechanism associated with certain critical levels of low WSS, high OSI, and high WSSG, which are strongly affected by the diameter ratio. The implications of the flow patterns for atherogenesis are enumerated.", "author" : [ { "dropping-particle" : "", "family" : "Huo", "given" : "Yunlong", "non-dropping-particle" : "", "parse-names" : false, "suffix" : "" }, { "dropping-particle" : "", "family" : "Wischgoll", "given" : "Thomas", "non-dropping-particle" : "", "parse-names" : false, "suffix" : "" }, { "dropping-particle" : "", "family" : "Kassab", "given" : "Ghassan S", "non-dropping-particle" : "", "parse-names" : false, "suffix" : "" } ], "container-title" : "American journal of physiology. Heart and circulatory physiology", "id" : "ITEM-1", "issue" : "5", "issued" : { "date-parts" : [ [ "2007" ] ] }, "page" : "H2959-H2970", "title" : "Flow patterns in three-dimensional porcine epicardial coronary arterial tree.", "type" : "article-journal", "volume" : "293" }, "uris" : [ "http://www.mendeley.com/documents/?uuid=74c6fa72-a32e-4b7c-8fc7-e7f528717a8a", "http://www.mendeley.com/documents/?uuid=764f0ce2-7a95-41eb-be52-23256522a26c" ] }, { "id" : "ITEM-2", "itemData" : { "DOI" : "10.1007/s11517-008-0320-4", "ISBN" : "1741-0444 (Electronic) 0140-0118 (Linking)", "ISSN" : "01400118", "PMID" : "18301936", "abstract" : "As hemodynamics is widely believed to correlate with anastomotic stenosis in coronary bypass surgery, this paper investigates the flow characteristics and distributions of the hemodynamic parameters (HPs) in a coronary bypass model (which includes both proximal and distal anastomoses), under physiological flow conditions. Disturbed flows (flow separation/reattachment, vertical and secondary flows) as well as regions of high oscillatory shear index (OSI) with low wall shear stress (WSS), i.e., high-OSI-and-low-WSS and low-OSI-and-high-WSS were found in the proximal and distal anastomoses, especially at the toe and heel regions of distal anastomosis, which indicate highly suspected sites for the onset of the atherosclerotic lesions. The flow patterns found in the graft and distal anastomoses of our model at deceleration phases are different from those of the isolated distal anastomosis model. In addition, a huge significant difference in segmental averages of HPs was found between the distal and proximal anastomoses. These findings further suggest that intimal hyperplasia would be more prone to form in the distal anastomosis than in the proximal anastomosis, particularly along the suture line at the toe and heel of distal anastomosis.", "author" : [ { "dropping-particle" : "", "family" : "Zhang", "given" : "Jun Mei", "non-dropping-particle" : "", "parse-names" : false, "suffix" : "" }, { "dropping-particle" : "", "family" : "Chua", "given" : "Leok Poh", "non-dropping-particle" : "", "parse-names" : false, "suffix" : "" }, { "dropping-particle" : "", "family" : "Ghista", "given" : "Dhanjoo N.", "non-dropping-particle" : "", "parse-names" : false, "suffix" : "" }, { "dropping-particle" : "", "family" : "Yu", "given" : "Simon Ching Man", "non-dropping-particle" : "", "parse-names" : false, "suffix" : "" }, { "dropping-particle" : "", "family" : "Tan", "given" : "Yong Seng", "non-dropping-particle" : "", "parse-names" : false, "suffix" : "" } ], "container-title" : "Medical and Biological Engineering and Computing", "id" : "ITEM-2", "issue" : "7", "issued" : { "date-parts" : [ [ "2008" ] ] }, "page" : "689-699", "title" : "Numerical investigation and identification of susceptible sites of atherosclerotic lesion formation in a complete coronary artery bypass model", "type" : "article-journal", "volume" : "46" }, "uris" : [ "http://www.mendeley.com/documents/?uuid=f0cea999-449c-4215-a19a-c585ea2ad258", "http://www.mendeley.com/documents/?uuid=6e5f2309-2db2-413d-8058-93daa59149e0" ] } ], "mendeley" : { "formattedCitation" : "[1,2]", "plainTextFormattedCitation" : "[1,2]", "previouslyFormattedCitation" : "[1,2]" }, "properties" : { "noteIndex" : 0 }, "schema" : "https://github.com/citation-style-language/schema/raw/master/csl-citation.json" }</w:instrText>
      </w:r>
      <w:r w:rsidRPr="00A83CDD">
        <w:rPr>
          <w:rFonts w:ascii="Times New Roman" w:eastAsia="SimSun" w:hAnsi="Times New Roman" w:cs="Times New Roman"/>
          <w:spacing w:val="-1"/>
          <w:sz w:val="24"/>
          <w:szCs w:val="24"/>
          <w:lang w:eastAsia="x-none"/>
        </w:rPr>
        <w:fldChar w:fldCharType="separate"/>
      </w:r>
      <w:r w:rsidR="005C7DCF" w:rsidRPr="005C7DCF">
        <w:rPr>
          <w:rFonts w:ascii="Times New Roman" w:eastAsia="SimSun" w:hAnsi="Times New Roman" w:cs="Times New Roman"/>
          <w:noProof/>
          <w:spacing w:val="-1"/>
          <w:sz w:val="24"/>
          <w:szCs w:val="24"/>
          <w:lang w:eastAsia="x-none"/>
        </w:rPr>
        <w:t>[1,2]</w:t>
      </w:r>
      <w:r w:rsidRPr="00A83CDD">
        <w:rPr>
          <w:rFonts w:ascii="Times New Roman" w:eastAsia="SimSun" w:hAnsi="Times New Roman" w:cs="Times New Roman"/>
          <w:spacing w:val="-1"/>
          <w:sz w:val="24"/>
          <w:szCs w:val="24"/>
          <w:lang w:eastAsia="x-none"/>
        </w:rPr>
        <w:fldChar w:fldCharType="end"/>
      </w:r>
      <w:r w:rsidRPr="00A83CDD">
        <w:rPr>
          <w:rFonts w:ascii="Times New Roman" w:eastAsia="SimSun" w:hAnsi="Times New Roman" w:cs="Times New Roman"/>
          <w:spacing w:val="-1"/>
          <w:sz w:val="24"/>
          <w:szCs w:val="24"/>
          <w:lang w:eastAsia="x-none"/>
        </w:rPr>
        <w:t xml:space="preserve">. </w:t>
      </w:r>
    </w:p>
    <w:p w:rsidR="00A83CDD" w:rsidRPr="00A83CDD" w:rsidRDefault="00A83CDD" w:rsidP="00A83CDD">
      <w:pPr>
        <w:spacing w:after="0" w:line="360" w:lineRule="auto"/>
        <w:ind w:firstLine="720"/>
        <w:jc w:val="both"/>
        <w:rPr>
          <w:rFonts w:ascii="Times New Roman" w:eastAsia="SimSun" w:hAnsi="Times New Roman" w:cs="Times New Roman"/>
          <w:color w:val="C00000"/>
          <w:sz w:val="24"/>
          <w:szCs w:val="24"/>
        </w:rPr>
      </w:pPr>
      <w:r w:rsidRPr="00A83CDD">
        <w:rPr>
          <w:rFonts w:ascii="Times New Roman" w:eastAsia="SimSun" w:hAnsi="Times New Roman" w:cs="Times New Roman"/>
          <w:sz w:val="24"/>
          <w:szCs w:val="24"/>
        </w:rPr>
        <w:t xml:space="preserve">Pressure and resistance boundary conditions were specified at the inlet and outlets of each model respectively to mimic physiological conditions. To assign the inlet total pressure, patient-specific systolic and diastolic brachial pressure was used to calculate the mean brachial pressure and match the mean aortic pressure. </w:t>
      </w:r>
    </w:p>
    <w:p w:rsidR="00A83CDD" w:rsidRPr="00A83CDD" w:rsidRDefault="00A83CDD" w:rsidP="00A83CDD">
      <w:pPr>
        <w:spacing w:after="0" w:line="360" w:lineRule="auto"/>
        <w:ind w:firstLine="288"/>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sz w:val="24"/>
          <w:szCs w:val="24"/>
        </w:rPr>
        <w:tab/>
        <w:t>A key element in assigning coronary resistance values of the outlets is to prescribe reference pressure (P</w:t>
      </w:r>
      <w:r w:rsidRPr="00A83CDD">
        <w:rPr>
          <w:rFonts w:ascii="Times New Roman" w:eastAsia="SimSun" w:hAnsi="Times New Roman" w:cs="Times New Roman"/>
          <w:sz w:val="24"/>
          <w:szCs w:val="24"/>
          <w:vertAlign w:val="subscript"/>
        </w:rPr>
        <w:t>0</w:t>
      </w:r>
      <w:r w:rsidRPr="00A83CDD">
        <w:rPr>
          <w:rFonts w:ascii="Times New Roman" w:eastAsia="SimSun" w:hAnsi="Times New Roman" w:cs="Times New Roman"/>
          <w:sz w:val="24"/>
          <w:szCs w:val="24"/>
        </w:rPr>
        <w:t xml:space="preserve">). Physiologic studies report that coronary pressure flow lines are concave to the axis of flow at lower pressures but straight at physiological pressures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"10.1172/JCI110351", "ISSN" : "00219738", "PMID" : "7287909", "abstract" : "The proposal that diastolic coronary flow is regulated by an intramyocardial \"back-pressure\" that substantially exceeds coronary venous and ventricular diastolic pressures has been examined in an open-chest canine preparation in which instantaneous left circumflex pressure and flow could be followed to cessation of inflow during prolonged diastoles. Despite correlation coefficients consistently &gt;0.90, pressure-flow data during individual diastoles were concave to the flow axis before and during pharmacologically induced maximum coronary vasodilation. Data were better fitted (P &lt; 0.01) by second-order equations than by linear equations in &gt;90% of cases. Second-order pressure-axis intercepts (P(f=0))(1) averaged 29+/-7 (SD) mm Hg before vasodilation and 15+/-2 mm Hg during vasodilation; left and right atrial pressures were always substantially lower (8+/-3 and 5+/-2 mm Hg before vasodilation and 8+/-2 and 4+/-1 mm Hg during dilation). Values of P(f=0) before vasodilation varied directly with levels of coronary inflow pressure. A modification of the experimental preparation in which diastolic circumflex pressure could be kept constant was used to evaluate the suggestion that P(f=0) measured during long diastoles are misleadingly high because of capacitive effects within the coronary circulation as inflow pressure decreases. Decreases in P(f=0) attributable to capacitive effects averaged only 5.9+/-3.0 mm Hg before vasodilation and were smaller during dilation. We conclude that P(f=0) is a quantitatively important determinant of coronary driving pressure and flow, resulting from both factors related to, and independent of, vasomotor tone. Adjustments of flow during changing physiological situations may involve significant changes in P(f=0) as well as in coronary resistance.", "author" : [ { "dropping-particle" : "", "family" : "Klocke", "given" : "F. J.", "non-dropping-particle" : "", "parse-names" : false, "suffix" : "" }, { "dropping-particle" : "", "family" : "Weinstein", "given" : "I. R.", "non-dropping-particle" : "", "parse-names" : false, "suffix" : "" }, { "dropping-particle" : "", "family" : "Klocke", "given" : "J. F.", "non-dropping-particle" : "", "parse-names" : false, "suffix" : "" }, { "dropping-particle" : "", "family" : "Ellis", "given" : "A. K.", "non-dropping-particle" : "", "parse-names" : false, "suffix" : "" }, { "dropping-particle" : "", "family" : "Kraus", "given" : "D. R.", "non-dropping-particle" : "", "parse-names" : false, "suffix" : "" }, { "dropping-particle" : "", "family" : "Mates", "given" : "R. E.", "non-dropping-particle" : "", "parse-names" : false, "suffix" : "" }, { "dropping-particle" : "", "family" : "Canty", "given" : "J. M.", "non-dropping-particle" : "", "parse-names" : false, "suffix" : "" }, { "dropping-particle" : "", "family" : "Anbar", "given" : "R. D.", "non-dropping-particle" : "", "parse-names" : false, "suffix" : "" }, { "dropping-particle" : "", "family" : "Romanowski", "given" : "R. R.", "non-dropping-particle" : "", "parse-names" : false, "suffix" : "" }, { "dropping-particle" : "", "family" : "Wallmeyer", "given" : "K. W.", "non-dropping-particle" : "", "parse-names" : false, "suffix" : "" }, { "dropping-particle" : "", "family" : "Echt", "given" : "M. P.", "non-dropping-particle" : "", "parse-names" : false, "suffix" : "" } ], "container-title" : "Journal of Clinical Investigation", "id" : "ITEM-1", "issue" : "4", "issued" : { "date-parts" : [ [ "1981" ] ] }, "page" : "970-980", "title" : "Zero-flow pressures and pressure-flow relationships during single long diastoles in the canine coronary bed before and during maximum vasodilation. Limited influence of capacitive effects", "type" : "article-journal", "volume" : "68" }, "uris" : [ "http://www.mendeley.com/documents/?uuid=d52c1a6a-06ef-47f5-a0e4-ecf87f488773" ] }, { "id" : "ITEM-2", "itemData" : { "DOI" : "10.1161/CIRCULATIONAHA.105.587196", "ISSN" : "00097322", "PMID" : "16432075", "abstract" : "In deriving clinically used hemodynamic indices such as fractional flow reserve and coronary flow velocity reserve, simplified models of the coronary circulation are used. In particular, myocardial resistance is assumed to be independent of factors such as heart contraction and driving pressure. These simplifying assumptions are not always justified. In this review we focus on distensibility of resistance vessels, the shape of coronary pressure-flow lines, and the influence of collateral flow on these lines. We show that (1) the coronary system is intrinsically nonlinear because resistance vessels at maximal vasodilation change diameter with pressure and cardiac function; (2) the assumption of collateral flow is not needed to explain the difference between pressure-derived and flow-derived fractional flow reserve; and (3) collateral flow plays a role only at low distal pressures. We conclude that traditional hemodynamic indices are valuable for clinical decision making but that clinical studies of coronary physiology will benefit greatly from combined measurements of coronary flow or velocity and pressure.", "author" : [ { "dropping-particle" : "", "family" : "Spaan", "given" : "J. A E", "non-dropping-particle" : "", "parse-names" : false, "suffix" : "" }, { "dropping-particle" : "", "family" : "Piek", "given" : "Jan J.", "non-dropping-particle" : "", "parse-names" : false, "suffix" : "" }, { "dropping-particle" : "", "family" : "Hoffman", "given" : "J. I E", "non-dropping-particle" : "", "parse-names" : false, "suffix" : "" }, { "dropping-particle" : "", "family" : "Siebes", "given" : "Maria", "non-dropping-particle" : "", "parse-names" : false, "suffix" : "" } ], "container-title" : "Circulation", "id" : "ITEM-2", "issue" : "3", "issued" : { "date-parts" : [ [ "2006" ] ] }, "page" : "446-455", "title" : "Physiological basis of clinically used coronary hemodynamic indices", "type" : "article", "volume" : "113" }, "uris" : [ "http://www.mendeley.com/documents/?uuid=0259ac60-ec5a-4fb1-ad4b-f672dddd39a1", "http://www.mendeley.com/documents/?uuid=26e11ef0-596d-4d27-9f29-6bf016671eca" ] } ], "mendeley" : { "formattedCitation" : "[3,4]", "plainTextFormattedCitation" : "[3,4]", "previouslyFormattedCitation" : "[3,4]"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[3,4]</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The zero flow pressure intercept at the physiologic pressure range (i.e., P</w:t>
      </w:r>
      <w:r w:rsidRPr="00A83CDD">
        <w:rPr>
          <w:rFonts w:ascii="Times New Roman" w:eastAsia="SimSun" w:hAnsi="Times New Roman" w:cs="Times New Roman"/>
          <w:sz w:val="24"/>
          <w:szCs w:val="24"/>
          <w:vertAlign w:val="subscript"/>
        </w:rPr>
        <w:t>0</w:t>
      </w:r>
      <w:r w:rsidRPr="00A83CDD">
        <w:rPr>
          <w:rFonts w:ascii="Times New Roman" w:eastAsia="SimSun" w:hAnsi="Times New Roman" w:cs="Times New Roman"/>
          <w:sz w:val="24"/>
          <w:szCs w:val="24"/>
        </w:rPr>
        <w:t xml:space="preserve"> in this study) exceeds coronary venous or left ventricular diastolic pressure by five to ten-fold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"author" : [ { "dropping-particle" : "", "family" : "Dole", "given" : "William P", "non-dropping-particle" : "", "parse-names" : false, "suffix" : "" }, { "dropping-particle" : "", "family" : "Richards", "given" : "Kent L", "non-dropping-particle" : "", "parse-names" : false, "suffix" : "" }, { "dropping-particle" : "", "family" : "Hartley", "given" : "Craig J", "non-dropping-particle" : "", "parse-names" : false, "suffix" : "" }, { "dropping-particle" : "", "family" : "Alexander", "given" : "Gulllermo M", "non-dropping-particle" : "", "parse-names" : false, "suffix" : "" }, { "dropping-particle" : "", "family" : "Campbell", "given" : "Alan B", "non-dropping-particle" : "", "parse-names" : false, "suffix" : "" }, { "dropping-particle" : "", "family" : "Bishop", "given" : "Vernon S", "non-dropping-particle" : "", "parse-names" : false, "suffix" : "" } ], "container-title" : "Cardiovasc Res.", "id" : "ITEM-1", "issued" : { "date-parts" : [ [ "1984" ] ] }, "page" : "548-554", "title" : "Diastolic coronary artery pressure-flow velocity relationships in conscious man", "type" : "article-journal", "volume" : "18(9)" }, "uris" : [ "http://www.mendeley.com/documents/?uuid=01257c7b-7b35-4f1f-9d2a-cb8422fd7fcf" ] } ], "mendeley" : { "formattedCitation" : "[5]", "plainTextFormattedCitation" : "[5]", "previouslyFormattedCitation" : "[5]"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[5]</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Therefore, we propose a novel method in this study to determine the reference pressure P</w:t>
      </w:r>
      <w:r w:rsidRPr="00A83CDD">
        <w:rPr>
          <w:rFonts w:ascii="Times New Roman" w:eastAsia="SimSun" w:hAnsi="Times New Roman" w:cs="Times New Roman"/>
          <w:sz w:val="24"/>
          <w:szCs w:val="24"/>
          <w:vertAlign w:val="subscript"/>
        </w:rPr>
        <w:t>0</w:t>
      </w:r>
      <w:r w:rsidRPr="00A83CDD">
        <w:rPr>
          <w:rFonts w:ascii="Times New Roman" w:eastAsia="SimSun" w:hAnsi="Times New Roman" w:cs="Times New Roman"/>
          <w:sz w:val="24"/>
          <w:szCs w:val="24"/>
        </w:rPr>
        <w:t xml:space="preserve">, and therefore </w:t>
      </w:r>
      <w:proofErr w:type="spellStart"/>
      <w:proofErr w:type="gram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w:t>
      </w:r>
      <w:proofErr w:type="spellEnd"/>
      <w:proofErr w:type="gramEnd"/>
      <w:r w:rsidRPr="00A83CDD">
        <w:rPr>
          <w:rFonts w:ascii="Times New Roman" w:eastAsia="SimSun" w:hAnsi="Times New Roman" w:cs="Times New Roman"/>
          <w:sz w:val="24"/>
          <w:szCs w:val="24"/>
        </w:rPr>
        <w:t xml:space="preserve"> through an iterative procedure. The details are provided as following.</w:t>
      </w:r>
    </w:p>
    <w:p w:rsidR="00A83CDD" w:rsidRPr="00A83CDD" w:rsidRDefault="00A83CDD" w:rsidP="00A83CDD">
      <w:pPr>
        <w:spacing w:after="0" w:line="360" w:lineRule="auto"/>
        <w:ind w:firstLine="720"/>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Briefly, the total resistance </w:t>
      </w:r>
      <w:r w:rsidRPr="00A83CDD">
        <w:rPr>
          <w:rFonts w:ascii="Times New Roman" w:eastAsia="SimSun" w:hAnsi="Times New Roman" w:cs="Times New Roman"/>
          <w:i/>
          <w:sz w:val="24"/>
          <w:szCs w:val="24"/>
        </w:rPr>
        <w:fldChar w:fldCharType="begin"/>
      </w:r>
      <w:r w:rsidRPr="00A83CDD">
        <w:rPr>
          <w:rFonts w:ascii="Times New Roman" w:eastAsia="SimSun" w:hAnsi="Times New Roman" w:cs="Times New Roman"/>
          <w:i/>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total</m:t>
            </m:r>
          </m:sub>
        </m:sSub>
      </m:oMath>
      <w:r w:rsidRPr="00A83CDD">
        <w:rPr>
          <w:rFonts w:ascii="Times New Roman" w:eastAsia="SimSun" w:hAnsi="Times New Roman" w:cs="Times New Roman"/>
          <w:i/>
          <w:sz w:val="24"/>
          <w:szCs w:val="24"/>
        </w:rPr>
        <w:instrText xml:space="preserve"> </w:instrText>
      </w:r>
      <w:r w:rsidRPr="00A83CDD">
        <w:rPr>
          <w:rFonts w:ascii="Times New Roman" w:eastAsia="SimSun" w:hAnsi="Times New Roman" w:cs="Times New Roman"/>
          <w:i/>
          <w:sz w:val="24"/>
          <w:szCs w:val="24"/>
        </w:rPr>
        <w:fldChar w:fldCharType="end"/>
      </w:r>
      <w:proofErr w:type="spell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inlet</w:t>
      </w:r>
      <w:proofErr w:type="spellEnd"/>
      <w:r w:rsidRPr="00A83CDD">
        <w:rPr>
          <w:rFonts w:ascii="Times New Roman" w:eastAsia="SimSun" w:hAnsi="Times New Roman" w:cs="Times New Roman"/>
          <w:sz w:val="24"/>
          <w:szCs w:val="24"/>
        </w:rPr>
        <w:t xml:space="preserve"> at resting condition is defined by Eq. A3</w:t>
      </w:r>
    </w:p>
    <w:p w:rsidR="00A83CDD" w:rsidRPr="00A83CDD" w:rsidRDefault="00A83CDD" w:rsidP="00A83CDD">
      <w:pPr>
        <w:spacing w:after="0" w:line="360" w:lineRule="auto"/>
        <w:ind w:firstLine="288"/>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total</m:t>
            </m:r>
          </m:sub>
        </m:sSub>
        <m:r>
          <m:rPr>
            <m:sty m:val="p"/>
          </m:rPr>
          <w:rPr>
            <w:rFonts w:ascii="Cambria Math" w:eastAsia="SimSun" w:hAnsi="Cambria Math" w:cs="Times New Roman"/>
            <w:sz w:val="24"/>
            <w:szCs w:val="24"/>
          </w:rPr>
          <m:t>=(P-</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0</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total</m:t>
            </m:r>
          </m:sub>
        </m:sSub>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12"/>
          <w:sz w:val="24"/>
          <w:szCs w:val="24"/>
        </w:rPr>
        <w:object w:dxaOrig="2400" w:dyaOrig="360">
          <v:shape id="_x0000_i1027" type="#_x0000_t75" style="width:102.75pt;height:17.25pt" o:ole="">
            <v:imagedata r:id="rId12" o:title=""/>
          </v:shape>
          <o:OLEObject Type="Embed" ProgID="Equation.3" ShapeID="_x0000_i1027" DrawAspect="Content" ObjectID="_1524376675" r:id="rId13"/>
        </w:object>
      </w:r>
      <w:r w:rsidRPr="00A83CDD">
        <w:rPr>
          <w:rFonts w:ascii="Times New Roman" w:eastAsia="SimSun" w:hAnsi="Times New Roman" w:cs="Times New Roman"/>
          <w:sz w:val="24"/>
          <w:szCs w:val="24"/>
        </w:rPr>
        <w:t xml:space="preserve">                                               (A3)</w:t>
      </w:r>
    </w:p>
    <w:p w:rsidR="00A83CDD" w:rsidRPr="00A83CDD" w:rsidRDefault="00A83CDD" w:rsidP="00A83CDD">
      <w:pPr>
        <w:spacing w:after="0" w:line="360" w:lineRule="auto"/>
        <w:jc w:val="both"/>
        <w:rPr>
          <w:rFonts w:ascii="Times New Roman" w:eastAsia="SimSun" w:hAnsi="Times New Roman" w:cs="Times New Roman"/>
          <w:sz w:val="24"/>
          <w:szCs w:val="24"/>
        </w:rPr>
      </w:pPr>
      <w:proofErr w:type="gramStart"/>
      <w:r w:rsidRPr="00A83CDD">
        <w:rPr>
          <w:rFonts w:ascii="Times New Roman" w:eastAsia="SimSun" w:hAnsi="Times New Roman" w:cs="Times New Roman"/>
          <w:sz w:val="24"/>
          <w:szCs w:val="24"/>
        </w:rPr>
        <w:t>where</w:t>
      </w:r>
      <w:proofErr w:type="gramEnd"/>
      <w:r w:rsidRPr="00A83CDD">
        <w:rPr>
          <w:rFonts w:ascii="Times New Roman" w:eastAsia="SimSun" w:hAnsi="Times New Roman" w:cs="Times New Roman"/>
          <w:sz w:val="24"/>
          <w:szCs w:val="24"/>
        </w:rPr>
        <w:t xml:space="preserve"> </w:t>
      </w:r>
      <w:proofErr w:type="spellStart"/>
      <w:r w:rsidRPr="00A83CDD">
        <w:rPr>
          <w:rFonts w:ascii="Times New Roman" w:eastAsia="SimSun" w:hAnsi="Times New Roman" w:cs="Times New Roman"/>
          <w:i/>
          <w:sz w:val="24"/>
          <w:szCs w:val="24"/>
        </w:rPr>
        <w:t>P</w:t>
      </w:r>
      <w:r w:rsidRPr="00A83CDD">
        <w:rPr>
          <w:rFonts w:ascii="Times New Roman" w:eastAsia="SimSun" w:hAnsi="Times New Roman" w:cs="Times New Roman"/>
          <w:i/>
          <w:sz w:val="24"/>
          <w:szCs w:val="24"/>
          <w:vertAlign w:val="subscript"/>
        </w:rPr>
        <w:t>inlet</w:t>
      </w:r>
      <w:proofErr w:type="spellEnd"/>
      <w:r w:rsidRPr="00A83CDD">
        <w:rPr>
          <w:rFonts w:ascii="Times New Roman" w:eastAsia="SimSun" w:hAnsi="Times New Roman" w:cs="Times New Roman"/>
          <w:i/>
          <w:sz w:val="24"/>
          <w:szCs w:val="24"/>
        </w:rPr>
        <w:t xml:space="preserve"> </w:t>
      </w:r>
      <w:r w:rsidRPr="00A83CDD">
        <w:rPr>
          <w:rFonts w:ascii="Times New Roman" w:eastAsia="SimSun" w:hAnsi="Times New Roman" w:cs="Times New Roman"/>
          <w:sz w:val="24"/>
          <w:szCs w:val="24"/>
        </w:rPr>
        <w:t xml:space="preserve">represents the mean aortic pressure, estimated from the mean branchial artery pressure. The total coronary flow at resting can be estimated from the myocardial mass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"PMID" : "9877515", "abstract" : "This study was conducted to quantify coronary blood flow (CBF) noninvasively according to the fractionation principle and to elucidate the relation between CBF and left ventricular hypertrophy. CBF/cardiac output (CO), estimated on the basis of the ratio of myocardial uptake/total injected dose of thallium-201 (% cardiac uptake), was determined in 14 control subjects and 40 patients with essential hypertension. CBF and CBF per 100 g of myocardium (unit CBF) were calculated according to the following formulas: CBF= % cardiac uptake x CO, and unit CBF = (CBF/LVM) X 100, where CO and left ventricular mass (LVM) are echocardiographically determined. There was good reproducibility of % cardiac uptake (r = 0.983, p &lt; 0.0001). Percent cardiac uptake was greater in hypertensive patients (4.65+/-1.44%) than in control subjects (3.64+/-0.64%), and there was a positive correlation between % cardiac uptake and LVM. CBF (ml/min) was greater in hypertensive patients (240.7+/-80.5) than in control subjects (194.9+/-36.9), but unit CBF (ml/min/100 g) was less in hypertensive patients (102.2+/-26.7) than in control subjects (150.3+/-30.5). Multiple regression analyses showed that LVM was the most potent independent predictor of resting CBF in hypertension. Our results indicate that CBF, determined by thallium-201 myocardial scintigraphy, increases parallel to the increase in LVM, but unit CBF decreases even in the resting condition in patients with essential hypertension.", "author" : [ { "dropping-particle" : "", "family" : "Hamada", "given" : "M", "non-dropping-particle" : "", "parse-names" : false, "suffix" : "" }, { "dropping-particle" : "", "family" : "Kuwahara", "given" : "T", "non-dropping-particle" : "", "parse-names" : false, "suffix" : "" }, { "dropping-particle" : "", "family" : "Shigematsu", "given" : "Y", "non-dropping-particle" : "", "parse-names" : false, "suffix" : "" }, { "dropping-particle" : "", "family" : "Kodama", "given" : "K", "non-dropping-particle" : "", "parse-names" : false, "suffix" : "" }, { "dropping-particle" : "", "family" : "Hara", "given" : "Y", "non-dropping-particle" : "", "parse-names" : false, "suffix" : "" }, { "dropping-particle" : "", "family" : "Hashida", "given" : "H", "non-dropping-particle" : "", "parse-names" : false, "suffix" : "" }, { "dropping-particle" : "", "family" : "Ikeda", "given" : "S", "non-dropping-particle" : "", "parse-names" : false, "suffix" : "" }, { "dropping-particle" : "", "family" : "Ohtsuka", "given" : "T", "non-dropping-particle" : "", "parse-names" : false, "suffix" : "" }, { "dropping-particle" : "", "family" : "Nakata", "given" : "S", "non-dropping-particle" : "", "parse-names" : false, "suffix" : "" }, { "dropping-particle" : "", "family" : "Hiwada", "given" : "K", "non-dropping-particle" : "", "parse-names" : false, "suffix" : "" } ], "container-title" : "Hypertens Res", "id" : "ITEM-1", "issue" : "4", "issued" : { "date-parts" : [ [ "1998" ] ] }, "page" : "227-234", "title" : "Relation between coronary blood flow and left ventricular mass in hypertension: noninvasive quantification of coronary blood flow by thallium-201 myocardial scintigraphy", "type" : "article-journal", "volume" : "21" }, "uris" : [ "http://www.mendeley.com/documents/?uuid=0e5852e7-032f-439c-9e99-e7a960cc5cb7" ] }, { "id" : "ITEM-2", "itemData" : { "DOI" : "10.1152/japplphysiol.00724.2004", "ISBN" : "8750-7587 (Print) 0161-7567 (Linking)", "ISSN" : "8750-7587", "PMID" : "15516363", "abstract" : "The direct determinants of coronary flow are lumen area and blood flow velocity; however, the precise mechanisms that control these factors are not fully understood. The aim of the present study was to assess by which mechanisms lumen area and coronary flow velocity interact with hemodynamic and morphometric factors, thereby influencing coronary flow. Intracoronary Doppler and ultrasound measurements were performed in 28 patients without coronary lumen irregularities. Flow velocity and lumen cross-sectional area were measured in the proximal segments of all three coronary arteries. Global lumen cross-sectional area and global flow were obtained by adding up the values of all three coronary arteries. Left ventricular mass was assessed by echocardiography. Stress-mass-heart rate and pressure-rate products reflecting myocardial oxygen demand were calculated. Global coronary flow increased during adenosine-induced hyperemia from 197 +/- 72 to 637 +/- 204 ml/min (P &lt; 0.001). Global coronary flow closely correlated with the stress-mass-heart rate product (r = 0.62; P &lt; 0.001). Looking at the two constituents of flow separately, global coronary cross-sectional area was closely related to left ventricular muscle mass (r = 0.61; P &lt; 0.001), whereas mean coronary flow velocity at rest showed a strong linear relation with the pressure-rate product (r = 0.64; P &lt; 0.001). There was no interaction between cross-sectional area and blood flow velocity in any of the coronary vessels. Coronary lumen size and flow velocity, the two determinants of coronary flow, are principally determined by different physiological factors. Long-term flow adaptation is achieved by an increase in coronary lumen size, whereas short-term myocardial oxygen requirements are met by changes in resting flow velocity.", "author" : [ { "dropping-particle" : "", "family" : "Wieneke", "given" : "Heinrich", "non-dropping-particle" : "", "parse-names" : false, "suffix" : "" }, { "dropping-particle" : "", "family" : "Birgelen", "given" : "Clemens", "non-dropping-particle" : "von", "parse-names" : false, "suffix" : "" }, { "dropping-particle" : "", "family" : "Haude", "given" : "Michael", "non-dropping-particle" : "", "parse-names" : false, "suffix" : "" }, { "dropping-particle" : "", "family" : "Eggebrecht", "given" : "Holger", "non-dropping-particle" : "", "parse-names" : false, "suffix" : "" }, { "dropping-particle" : "", "family" : "M\u00f6hlenkamp", "given" : "Stefan", "non-dropping-particle" : "", "parse-names" : false, "suffix" : "" }, { "dropping-particle" : "", "family" : "Schmermund", "given" : "Axel", "non-dropping-particle" : "", "parse-names" : false, "suffix" : "" }, { "dropping-particle" : "", "family" : "B\u00f6se", "given" : "Dirk", "non-dropping-particle" : "", "parse-names" : false, "suffix" : "" }, { "dropping-particle" : "", "family" : "Altmann", "given" : "Christoph", "non-dropping-particle" : "", "parse-names" : false, "suffix" : "" }, { "dropping-particle" : "", "family" : "Bartel", "given" : "Thomas", "non-dropping-particle" : "", "parse-names" : false, "suffix" : "" }, { "dropping-particle" : "", "family" : "Erbel", "given" : "Raimund", "non-dropping-particle" : "", "parse-names" : false, "suffix" : "" } ], "container-title" : "Journal of Applied Physiology", "id" : "ITEM-2", "issue" : "3", "issued" : { "date-parts" : [ [ "2005" ] ] }, "number-of-pages" : "1076-1082", "title" : "Determinants of coronary blood flow in humans: quantification by intracoronary Doppler and ultrasound.", "type" : "report", "volume" : "98" }, "uris" : [ "http://www.mendeley.com/documents/?uuid=985ffaa1-5c49-498b-8842-e8bbcbdaed2c" ] } ], "mendeley" : { "formattedCitation" : "[6,7]", "plainTextFormattedCitation" : "[6,7]", "previouslyFormattedCitation" : "[6,7]"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[6,7]</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Accordingly </w:t>
      </w:r>
      <w:proofErr w:type="spellStart"/>
      <w:r w:rsidRPr="00A83CDD">
        <w:rPr>
          <w:rFonts w:ascii="Times New Roman" w:eastAsia="SimSun" w:hAnsi="Times New Roman" w:cs="Times New Roman"/>
          <w:i/>
          <w:sz w:val="24"/>
          <w:szCs w:val="24"/>
        </w:rPr>
        <w:t>Q</w:t>
      </w:r>
      <w:r w:rsidRPr="00A83CDD">
        <w:rPr>
          <w:rFonts w:ascii="Times New Roman" w:eastAsia="SimSun" w:hAnsi="Times New Roman" w:cs="Times New Roman"/>
          <w:i/>
          <w:sz w:val="24"/>
          <w:szCs w:val="24"/>
          <w:vertAlign w:val="subscript"/>
        </w:rPr>
        <w:t>inlet</w:t>
      </w:r>
      <w:proofErr w:type="spellEnd"/>
      <w:r w:rsidRPr="00A83CDD">
        <w:rPr>
          <w:rFonts w:ascii="Times New Roman" w:eastAsia="SimSun" w:hAnsi="Times New Roman" w:cs="Times New Roman"/>
          <w:sz w:val="24"/>
          <w:szCs w:val="24"/>
        </w:rPr>
        <w:t xml:space="preserve"> can be determined from CT images. </w:t>
      </w:r>
    </w:p>
    <w:p w:rsidR="00A83CDD" w:rsidRPr="00A83CDD" w:rsidRDefault="00A83CDD" w:rsidP="00A83CDD">
      <w:pPr>
        <w:spacing w:after="0" w:line="360" w:lineRule="auto"/>
        <w:ind w:firstLine="720"/>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At each coronary outlet</w:t>
      </w:r>
      <m:oMath>
        <m:r>
          <w:rPr>
            <w:rFonts w:ascii="Cambria Math" w:eastAsia="SimSun" w:hAnsi="Cambria Math" w:cs="Times New Roman"/>
            <w:sz w:val="24"/>
            <w:szCs w:val="24"/>
          </w:rPr>
          <m:t>,</m:t>
        </m:r>
      </m:oMath>
    </w:p>
    <w:p w:rsidR="00A83CDD" w:rsidRPr="00A83CDD" w:rsidRDefault="00A83CDD" w:rsidP="00A83CDD">
      <w:pPr>
        <w:spacing w:after="0" w:line="360" w:lineRule="auto"/>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lastRenderedPageBreak/>
        <w:fldChar w:fldCharType="begin"/>
      </w:r>
      <w:r w:rsidRPr="00A83CDD">
        <w:rPr>
          <w:rFonts w:ascii="Times New Roman" w:eastAsia="SimSun" w:hAnsi="Times New Roman" w:cs="Times New Roman"/>
          <w:sz w:val="24"/>
          <w:szCs w:val="24"/>
        </w:rPr>
        <w:instrText xml:space="preserve"> QUOTE </w:instrText>
      </w:r>
      <m:oMath>
        <m:r>
          <m:rPr>
            <m:sty m:val="p"/>
          </m:rPr>
          <w:rPr>
            <w:rFonts w:ascii="Cambria Math" w:eastAsia="SimSun" w:hAnsi="Cambria Math" w:cs="Times New Roman"/>
            <w:sz w:val="24"/>
            <w:szCs w:val="24"/>
          </w:rPr>
          <m:t xml:space="preserve"> </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m:t>
            </m:r>
          </m:sub>
        </m:sSub>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m:t>
            </m:r>
          </m:sub>
        </m:sSub>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12"/>
          <w:sz w:val="24"/>
          <w:szCs w:val="24"/>
        </w:rPr>
        <w:object w:dxaOrig="1359" w:dyaOrig="360">
          <v:shape id="_x0000_i1028" type="#_x0000_t75" style="width:51.75pt;height:17.25pt" o:ole="">
            <v:imagedata r:id="rId14" o:title=""/>
          </v:shape>
          <o:OLEObject Type="Embed" ProgID="Equation.3" ShapeID="_x0000_i1028" DrawAspect="Content" ObjectID="_1524376676" r:id="rId15"/>
        </w:object>
      </w:r>
      <w:r w:rsidRPr="00A83CDD">
        <w:rPr>
          <w:rFonts w:ascii="Times New Roman" w:eastAsia="SimSun" w:hAnsi="Times New Roman" w:cs="Times New Roman"/>
          <w:sz w:val="24"/>
          <w:szCs w:val="24"/>
        </w:rPr>
        <w:t xml:space="preserve">                                                (A4)</w:t>
      </w:r>
    </w:p>
    <w:p w:rsidR="00A83CDD" w:rsidRPr="00A83CDD" w:rsidRDefault="00A83CDD" w:rsidP="00A83CDD">
      <w:pPr>
        <w:spacing w:after="0" w:line="360" w:lineRule="auto"/>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The correlation between the resistance of downstream vasculature of each coronary branch (</w:t>
      </w:r>
      <w:proofErr w:type="spell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w:t>
      </w:r>
      <w:proofErr w:type="spellEnd"/>
      <w:r w:rsidRPr="00A83CDD">
        <w:rPr>
          <w:rFonts w:ascii="Times New Roman" w:eastAsia="SimSun" w:hAnsi="Times New Roman" w:cs="Times New Roman"/>
          <w:sz w:val="24"/>
          <w:szCs w:val="24"/>
        </w:rPr>
        <w:t>) and that of the coronary tree (</w:t>
      </w:r>
      <w:proofErr w:type="spell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inlet</w:t>
      </w:r>
      <w:proofErr w:type="spellEnd"/>
      <w:r w:rsidRPr="00A83CDD">
        <w:rPr>
          <w:rFonts w:ascii="Times New Roman" w:eastAsia="SimSun" w:hAnsi="Times New Roman" w:cs="Times New Roman"/>
          <w:sz w:val="24"/>
          <w:szCs w:val="24"/>
        </w:rPr>
        <w:t xml:space="preserve">) can be estimated from the scaling law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"10.1088/0031-9155/44/12/306", "ISBN" : "0031-9155", "ISSN" : "0031-9155", "PMID" : "10616146", "abstract" : "Murray's law has been generalized to provide morphometric relationships among various subtrees as well as between a feeding segment and the subtree it perfuses. The equivalent resistance of each subtree is empirically determined to be proportional to the cube of a subtree's cumulative arterial length (L) and inversely proportional to a subtree's arterial volume (V) raised to a power of approximately 2.6. This relationship, along with a minimization of a cost function, and a linearity assumption between flow and cumulative arterial length, provides a power law relationship between V and L. These results, in conjunction with conservation of energy, yield relationships between the diameter of a segment and the length of its distal subtree. The relationships were tested based on a complete set of anatomical data of the coronary arterial trees using two models. The first model, called the truncated tree model, is an actual reconstruction of the coronary arterial tree down to 500 microm in diameter. The second model, called the symmetric tree model, satisfies all mean anatomical data down to the capillary vessels. Our results show very good agreement between the theoretical formulation and the measured anatomical data, which may provide insight into the design of the coronary arterial tree. Furthermore, the established relationships between the various morphometric parameters of the truncated tree model may provide a basis for assessing the extent of diffuse coronary artery disease.", "author" : [ { "dropping-particle" : "", "family" : "Zhou", "given" : "Y", "non-dropping-particle" : "", "parse-names" : false, "suffix" : "" }, { "dropping-particle" : "", "family" : "Kassab", "given" : "G S", "non-dropping-particle" : "", "parse-names" : false, "suffix" : "" }, { "dropping-particle" : "", "family" : "Molloi", "given" : "S", "non-dropping-particle" : "", "parse-names" : false, "suffix" : "" } ], "container-title" : "Physics in medicine and biology", "id" : "ITEM-1", "issue" : "12", "issued" : { "date-parts" : [ [ "1999" ] ] }, "page" : "2929-2945", "title" : "On the design of the coronary arterial tree: a generalization of Murray's law.", "type" : "article-journal", "volume" : "44" }, "uris" : [ "http://www.mendeley.com/documents/?uuid=07d905ce-a7f9-4023-aa5c-eaab19beaf49", "http://www.mendeley.com/documents/?uuid=ffc51684-6e33-4534-8290-ef2b31ea7f00" ] } ], "mendeley" : { "formattedCitation" : "[8]", "plainTextFormattedCitation" : "[8]", "previouslyFormattedCitation" : "[8]"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[8]</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p>
    <w:p w:rsidR="00A83CDD" w:rsidRPr="00A83CDD" w:rsidRDefault="00A83CDD" w:rsidP="00A83CDD">
      <w:pPr>
        <w:spacing w:after="0" w:line="360" w:lineRule="auto"/>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inlet</m:t>
            </m:r>
          </m:sub>
        </m:sSub>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12"/>
          <w:sz w:val="24"/>
          <w:szCs w:val="24"/>
        </w:rPr>
        <w:object w:dxaOrig="1240" w:dyaOrig="360">
          <v:shape id="_x0000_i1029" type="#_x0000_t75" style="width:67.5pt;height:20.25pt" o:ole="">
            <v:imagedata r:id="rId16" o:title=""/>
          </v:shape>
          <o:OLEObject Type="Embed" ProgID="Equation.3" ShapeID="_x0000_i1029" DrawAspect="Content" ObjectID="_1524376677" r:id="rId17"/>
        </w:object>
      </w:r>
      <w:r w:rsidRPr="00A83CDD">
        <w:rPr>
          <w:rFonts w:ascii="Times New Roman" w:eastAsia="SimSun" w:hAnsi="Times New Roman" w:cs="Times New Roman"/>
          <w:sz w:val="24"/>
          <w:szCs w:val="24"/>
        </w:rPr>
        <w:t xml:space="preserve">                                                       (A5)</w:t>
      </w:r>
    </w:p>
    <w:p w:rsidR="00A83CDD" w:rsidRPr="00A83CDD" w:rsidRDefault="00A83CDD" w:rsidP="00A83CDD">
      <w:pPr>
        <w:spacing w:after="0" w:line="360" w:lineRule="auto"/>
        <w:jc w:val="both"/>
        <w:rPr>
          <w:rFonts w:ascii="Times New Roman" w:eastAsia="SimSun" w:hAnsi="Times New Roman" w:cs="Times New Roman"/>
          <w:sz w:val="24"/>
          <w:szCs w:val="24"/>
        </w:rPr>
      </w:pPr>
      <w:proofErr w:type="gramStart"/>
      <w:r w:rsidRPr="00A83CDD">
        <w:rPr>
          <w:rFonts w:ascii="Times New Roman" w:eastAsia="SimSun" w:hAnsi="Times New Roman" w:cs="Times New Roman"/>
          <w:sz w:val="24"/>
          <w:szCs w:val="24"/>
        </w:rPr>
        <w:t>for</w:t>
      </w:r>
      <w:proofErr w:type="gramEnd"/>
      <w:r w:rsidRPr="00A83CDD">
        <w:rPr>
          <w:rFonts w:ascii="Times New Roman" w:eastAsia="SimSun" w:hAnsi="Times New Roman" w:cs="Times New Roman"/>
          <w:sz w:val="24"/>
          <w:szCs w:val="24"/>
        </w:rPr>
        <w:t xml:space="preserve"> non-stenotic vessels. Because the resistance of downstream vasculature was determined by the inherent anatomy rather than by upstream structures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"10.1007/s10439-010-0083-6", "ISBN" : "1043901000", "ISSN" : "1573-9686", "PMID" : "20559732", "abstract" : "Coronary flow is different from the flow in other parts of the arterial\\nsystem because it is influenced by the contraction and relaxation\\nof the heart. To model coronary flow realistically, the compressive\\nforce of the heart acting on the coronary vessels needs to be included.\\nIn this study, we developed a method that predicts coronary flow\\nand pressure of three-dimensional epicardial coronary arteries by\\nconsidering models of the heart and arterial system and the interactions\\nbetween the two models. For each coronary outlet, a lumped parameter\\ncoronary vascular bed model was assigned to represent the impedance\\nof the downstream coronary vascular networks absent in the computational\\ndomain. The intramyocardial pressure was represented with either\\nthe left or right ventricular pressure depending on the location\\nof the coronary arteries. The left and right ventricular pressure\\nwere solved from the lumped parameter heart models coupled to a closed\\nloop system comprising a three-dimensional model of the aorta, three-element\\nWindkessel models of the rest of the systemic circulation and the\\npulmonary circulation, and lumped parameter models for the left and\\nright sides of the heart. The computed coronary flow and pressure\\nand the aortic flow and pressure waveforms were realistic as compared\\nto literature data.", "author" : [ { "dropping-particle" : "", "family" : "Kim", "given" : "H", "non-dropping-particle" : "", "parse-names" : false, "suffix" : "" }, { "dropping-particle" : "", "family" : "Vignon-Clementel", "given" : "I", "non-dropping-particle" : "", "parse-names" : false, "suffix" : "" }, { "dropping-particle" : "", "family" : "Coogan", "given" : "J", "non-dropping-particle" : "", "parse-names" : false, "suffix" : "" }, { "dropping-particle" : "", "family" : "Figueroa", "given" : "C", "non-dropping-particle" : "", "parse-names" : false, "suffix" : "" }, { "dropping-particle" : "", "family" : "Jansen", "given" : "K", "non-dropping-particle" : "", "parse-names" : false, "suffix" : "" }, { "dropping-particle" : "", "family" : "Taylor", "given" : "C", "non-dropping-particle" : "", "parse-names" : false, "suffix" : "" } ], "container-title" : "Annals of Biomedical Engineering", "id" : "ITEM-1", "issue" : "10", "issued" : { "date-parts" : [ [ "2010", "10" ] ] }, "page" : "3195-3209", "publisher" : "Springer Netherlands", "title" : "Patient-specific modeling of blood flow and pressure in human coronary arteries", "type" : "article-journal", "volume" : "38" }, "uris" : [ "http://www.mendeley.com/documents/?uuid=04fb9f40-6250-43be-8368-bbac8b0396e9" ] } ], "mendeley" : { "formattedCitation" : "[9]", "plainTextFormattedCitation" : "[9]", "previouslyFormattedCitation" : "[9]"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[9]</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the resistance of vessels with stenosis satisfied the same relationship as Eq. A5.</w:t>
      </w:r>
    </w:p>
    <w:p w:rsidR="00A83CDD" w:rsidRPr="00A83CDD" w:rsidRDefault="00A83CDD" w:rsidP="00A83CDD">
      <w:pPr>
        <w:spacing w:after="0" w:line="360" w:lineRule="auto"/>
        <w:ind w:firstLine="720"/>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From A3 and A5, </w:t>
      </w:r>
      <w:proofErr w:type="spellStart"/>
      <w:proofErr w:type="gram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w:t>
      </w:r>
      <w:proofErr w:type="spellEnd"/>
      <w:proofErr w:type="gramEnd"/>
      <w:r w:rsidRPr="00A83CDD">
        <w:rPr>
          <w:rFonts w:ascii="Times New Roman" w:eastAsia="SimSun" w:hAnsi="Times New Roman" w:cs="Times New Roman"/>
          <w:sz w:val="24"/>
          <w:szCs w:val="24"/>
        </w:rPr>
        <w:t xml:space="preserve"> can have the following form: </w:t>
      </w:r>
    </w:p>
    <w:p w:rsidR="00A83CDD" w:rsidRPr="00A83CDD" w:rsidRDefault="00A83CDD" w:rsidP="00A83CDD">
      <w:pPr>
        <w:spacing w:after="0" w:line="360" w:lineRule="auto"/>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inlet</m:t>
                </m:r>
              </m:sub>
            </m:sSub>
          </m:den>
        </m:f>
        <m:r>
          <m:rPr>
            <m:sty m:val="p"/>
          </m:rPr>
          <w:rPr>
            <w:rFonts w:ascii="Cambria Math" w:eastAsia="SimSun" w:hAnsi="Cambria Math" w:cs="Times New Roman"/>
            <w:sz w:val="24"/>
            <w:szCs w:val="24"/>
          </w:rPr>
          <m:t>=</m:t>
        </m:r>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m:t>
                </m:r>
              </m:sub>
            </m:sSub>
          </m:den>
        </m:f>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30"/>
          <w:sz w:val="24"/>
          <w:szCs w:val="24"/>
        </w:rPr>
        <w:object w:dxaOrig="1760" w:dyaOrig="700">
          <v:shape id="_x0000_i1030" type="#_x0000_t75" style="width:87.75pt;height:30pt" o:ole="">
            <v:imagedata r:id="rId18" o:title=""/>
          </v:shape>
          <o:OLEObject Type="Embed" ProgID="Equation.3" ShapeID="_x0000_i1030" DrawAspect="Content" ObjectID="_1524376678" r:id="rId19"/>
        </w:object>
      </w:r>
      <w:r w:rsidRPr="00A83CDD">
        <w:rPr>
          <w:rFonts w:ascii="Times New Roman" w:eastAsia="SimSun" w:hAnsi="Times New Roman" w:cs="Times New Roman"/>
          <w:sz w:val="24"/>
          <w:szCs w:val="24"/>
        </w:rPr>
        <w:t xml:space="preserve">                                                 (A6)</w:t>
      </w:r>
    </w:p>
    <w:p w:rsidR="00A83CDD" w:rsidRPr="00A83CDD" w:rsidRDefault="00A83CDD" w:rsidP="00A83CDD">
      <w:pPr>
        <w:spacing w:after="0" w:line="360" w:lineRule="auto"/>
        <w:rPr>
          <w:rFonts w:ascii="Times New Roman" w:eastAsia="SimSun" w:hAnsi="Times New Roman" w:cs="Times New Roman"/>
          <w:sz w:val="24"/>
          <w:szCs w:val="24"/>
        </w:rPr>
      </w:pPr>
      <w:r w:rsidRPr="00A83CDD">
        <w:rPr>
          <w:rFonts w:ascii="Times New Roman" w:eastAsia="SimSun" w:hAnsi="Times New Roman" w:cs="Times New Roman"/>
          <w:sz w:val="24"/>
          <w:szCs w:val="24"/>
        </w:rPr>
        <w:t>By the mass conservation law, total outflow was equal to inflow (Eq. A7),</w:t>
      </w:r>
    </w:p>
    <w:p w:rsidR="00A83CDD" w:rsidRPr="00A83CDD" w:rsidRDefault="00A83CDD" w:rsidP="00A83CDD">
      <w:pPr>
        <w:spacing w:after="0" w:line="360" w:lineRule="auto"/>
        <w:ind w:left="720"/>
        <w:contextualSpacing/>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nary>
          <m:naryPr>
            <m:chr m:val="∑"/>
            <m:limLoc m:val="undOvr"/>
            <m:ctrlPr>
              <w:rPr>
                <w:rFonts w:ascii="Cambria Math" w:eastAsia="SimSun" w:hAnsi="Cambria Math" w:cs="Times New Roman"/>
                <w:i/>
                <w:sz w:val="24"/>
                <w:szCs w:val="24"/>
              </w:rPr>
            </m:ctrlPr>
          </m:naryPr>
          <m:sub>
            <m:r>
              <m:rPr>
                <m:sty m:val="p"/>
              </m:rPr>
              <w:rPr>
                <w:rFonts w:ascii="Cambria Math" w:eastAsia="SimSun" w:hAnsi="Cambria Math" w:cs="Times New Roman"/>
                <w:sz w:val="24"/>
                <w:szCs w:val="24"/>
              </w:rPr>
              <m:t>i</m:t>
            </m:r>
            <m:r>
              <m:rPr>
                <m:sty m:val="p"/>
              </m:rPr>
              <w:rPr>
                <w:rFonts w:ascii="Cambria Math" w:eastAsia="SimSun" w:hAnsi="Cambria" w:cs="Times New Roman"/>
                <w:sz w:val="24"/>
                <w:szCs w:val="24"/>
              </w:rPr>
              <m:t>=1</m:t>
            </m:r>
          </m:sub>
          <m:sup>
            <m:r>
              <m:rPr>
                <m:sty m:val="p"/>
              </m:rPr>
              <w:rPr>
                <w:rFonts w:ascii="Cambria Math" w:eastAsia="SimSun" w:hAnsi="Cambria Math" w:cs="Times New Roman"/>
                <w:sz w:val="24"/>
                <w:szCs w:val="24"/>
              </w:rPr>
              <m:t>N</m:t>
            </m:r>
          </m:sup>
          <m:e>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inlet</m:t>
                </m:r>
                <m:r>
                  <m:rPr>
                    <m:sty m:val="p"/>
                  </m:rPr>
                  <w:rPr>
                    <w:rFonts w:ascii="Cambria Math" w:eastAsia="SimSun" w:hAnsi="Cambria" w:cs="Times New Roman"/>
                    <w:sz w:val="24"/>
                    <w:szCs w:val="24"/>
                  </w:rPr>
                  <m:t xml:space="preserve"> </m:t>
                </m:r>
              </m:sub>
            </m:sSub>
          </m:e>
        </m:nary>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position w:val="-28"/>
          <w:sz w:val="24"/>
          <w:szCs w:val="24"/>
        </w:rPr>
        <w:object w:dxaOrig="1280" w:dyaOrig="680">
          <v:shape id="_x0000_i1031" type="#_x0000_t75" style="width:60.75pt;height:30pt" o:ole="">
            <v:imagedata r:id="rId20" o:title=""/>
          </v:shape>
          <o:OLEObject Type="Embed" ProgID="Equation.3" ShapeID="_x0000_i1031" DrawAspect="Content" ObjectID="_1524376679" r:id="rId21"/>
        </w:object>
      </w:r>
      <w:r w:rsidRPr="00A83CDD">
        <w:rPr>
          <w:rFonts w:ascii="Times New Roman" w:eastAsia="SimSun" w:hAnsi="Times New Roman" w:cs="Times New Roman"/>
          <w:sz w:val="24"/>
          <w:szCs w:val="24"/>
        </w:rPr>
        <w:t xml:space="preserve">                                                        (A7)</w:t>
      </w:r>
    </w:p>
    <w:p w:rsidR="00A83CDD" w:rsidRPr="00A83CDD" w:rsidRDefault="00A83CDD" w:rsidP="00A83CDD">
      <w:pPr>
        <w:spacing w:after="0" w:line="360" w:lineRule="auto"/>
        <w:contextualSpacing/>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From </w:t>
      </w:r>
      <w:proofErr w:type="spellStart"/>
      <w:r w:rsidRPr="00A83CDD">
        <w:rPr>
          <w:rFonts w:ascii="Times New Roman" w:eastAsia="SimSun" w:hAnsi="Times New Roman" w:cs="Times New Roman"/>
          <w:sz w:val="24"/>
          <w:szCs w:val="24"/>
        </w:rPr>
        <w:t>Eqs</w:t>
      </w:r>
      <w:proofErr w:type="spellEnd"/>
      <w:r w:rsidRPr="00A83CDD">
        <w:rPr>
          <w:rFonts w:ascii="Times New Roman" w:eastAsia="SimSun" w:hAnsi="Times New Roman" w:cs="Times New Roman"/>
          <w:sz w:val="24"/>
          <w:szCs w:val="24"/>
        </w:rPr>
        <w:t xml:space="preserve">. A4, A5 and A7, it can be shown that </w:t>
      </w:r>
      <w:r w:rsidRPr="00A83CDD">
        <w:rPr>
          <w:rFonts w:ascii="Times New Roman" w:eastAsia="SimSun" w:hAnsi="Times New Roman" w:cs="Times New Roman"/>
          <w:i/>
          <w:sz w:val="24"/>
          <w:szCs w:val="24"/>
        </w:rPr>
        <w:t>P</w:t>
      </w:r>
      <w:r w:rsidRPr="00A83CDD">
        <w:rPr>
          <w:rFonts w:ascii="Times New Roman" w:eastAsia="SimSun" w:hAnsi="Times New Roman" w:cs="Times New Roman"/>
          <w:i/>
          <w:sz w:val="24"/>
          <w:szCs w:val="24"/>
          <w:vertAlign w:val="subscript"/>
        </w:rPr>
        <w:t>0</w:t>
      </w:r>
      <w:r w:rsidRPr="00A83CDD">
        <w:rPr>
          <w:rFonts w:ascii="Times New Roman" w:eastAsia="SimSun" w:hAnsi="Times New Roman" w:cs="Times New Roman"/>
          <w:sz w:val="24"/>
          <w:szCs w:val="24"/>
        </w:rPr>
        <w:t xml:space="preserve"> is given by:</w:t>
      </w:r>
    </w:p>
    <w:p w:rsidR="00A83CDD" w:rsidRPr="00A83CDD" w:rsidRDefault="00A83CDD" w:rsidP="00A83CDD">
      <w:pPr>
        <w:spacing w:after="0" w:line="360" w:lineRule="auto"/>
        <w:contextualSpacing/>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nary>
          <m:naryPr>
            <m:chr m:val="∑"/>
            <m:limLoc m:val="subSup"/>
            <m:ctrlPr>
              <w:rPr>
                <w:rFonts w:ascii="Cambria Math" w:eastAsia="SimSun" w:hAnsi="Cambria Math" w:cs="Times New Roman"/>
                <w:i/>
                <w:sz w:val="24"/>
                <w:szCs w:val="24"/>
              </w:rPr>
            </m:ctrlPr>
          </m:naryPr>
          <m:sub>
            <m:r>
              <m:rPr>
                <m:sty m:val="p"/>
              </m:rPr>
              <w:rPr>
                <w:rFonts w:ascii="Cambria Math" w:eastAsia="SimSun" w:hAnsi="Cambria Math" w:cs="Times New Roman"/>
                <w:sz w:val="24"/>
                <w:szCs w:val="24"/>
              </w:rPr>
              <m:t>i</m:t>
            </m:r>
            <m:r>
              <m:rPr>
                <m:sty m:val="p"/>
              </m:rPr>
              <w:rPr>
                <w:rFonts w:ascii="Cambria Math" w:eastAsia="SimSun" w:hAnsi="Cambria" w:cs="Times New Roman"/>
                <w:sz w:val="24"/>
                <w:szCs w:val="24"/>
              </w:rPr>
              <m:t>=1</m:t>
            </m:r>
          </m:sub>
          <m:sup>
            <m:r>
              <m:rPr>
                <m:sty m:val="p"/>
              </m:rPr>
              <w:rPr>
                <w:rFonts w:ascii="Cambria Math" w:eastAsia="SimSun" w:hAnsi="Cambria Math" w:cs="Times New Roman"/>
                <w:sz w:val="24"/>
                <w:szCs w:val="24"/>
              </w:rPr>
              <m:t>N</m:t>
            </m:r>
          </m:sup>
          <m:e>
            <m:d>
              <m:dPr>
                <m:ctrlPr>
                  <w:rPr>
                    <w:rFonts w:ascii="Cambria Math" w:eastAsia="SimSun" w:hAnsi="Cambria Math" w:cs="Times New Roman"/>
                    <w:i/>
                    <w:sz w:val="24"/>
                    <w:szCs w:val="24"/>
                  </w:rPr>
                </m:ctrlPr>
              </m:dPr>
              <m:e>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den>
                </m:f>
              </m:e>
            </m:d>
          </m:e>
        </m:nary>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32"/>
          <w:sz w:val="24"/>
          <w:szCs w:val="24"/>
        </w:rPr>
        <w:object w:dxaOrig="2320" w:dyaOrig="760">
          <v:shape id="_x0000_i1032" type="#_x0000_t75" style="width:105pt;height:33pt" o:ole="">
            <v:imagedata r:id="rId22" o:title=""/>
          </v:shape>
          <o:OLEObject Type="Embed" ProgID="Equation.3" ShapeID="_x0000_i1032" DrawAspect="Content" ObjectID="_1524376680" r:id="rId23"/>
        </w:object>
      </w:r>
      <w:r w:rsidRPr="00A83CDD">
        <w:rPr>
          <w:rFonts w:ascii="Times New Roman" w:eastAsia="SimSun" w:hAnsi="Times New Roman" w:cs="Times New Roman"/>
          <w:sz w:val="24"/>
          <w:szCs w:val="24"/>
        </w:rPr>
        <w:t xml:space="preserve">                                                 (A8)</w:t>
      </w:r>
    </w:p>
    <w:p w:rsidR="00A83CDD" w:rsidRPr="00A83CDD" w:rsidRDefault="00A83CDD" w:rsidP="00A83CDD">
      <w:pPr>
        <w:spacing w:after="0" w:line="360" w:lineRule="auto"/>
        <w:contextualSpacing/>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r>
          <m:rPr>
            <m:sty m:val="p"/>
          </m:rPr>
          <w:rPr>
            <w:rFonts w:ascii="Cambria Math" w:eastAsia="SimSun" w:hAnsi="Cambria" w:cs="Times New Roman"/>
            <w:sz w:val="24"/>
            <w:szCs w:val="24"/>
          </w:rPr>
          <m:t xml:space="preserve">              </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inlet</m:t>
                </m:r>
              </m:sub>
            </m:sSub>
          </m:den>
        </m:f>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At hyperemia, coronary microcirculation was assumed to have predictable response to adenosine and the resistance was assumed to be reduced to </w:t>
      </w:r>
      <w:r w:rsidRPr="00A83CDD">
        <w:rPr>
          <w:rFonts w:ascii="Times New Roman" w:eastAsia="SimSun" w:hAnsi="Times New Roman" w:cs="Times New Roman"/>
          <w:i/>
          <w:sz w:val="24"/>
          <w:szCs w:val="24"/>
        </w:rPr>
        <w:t>K</w:t>
      </w:r>
      <w:r w:rsidRPr="00A83CDD">
        <w:rPr>
          <w:rFonts w:ascii="Times New Roman" w:eastAsia="SimSun" w:hAnsi="Times New Roman" w:cs="Times New Roman"/>
          <w:sz w:val="24"/>
          <w:szCs w:val="24"/>
        </w:rPr>
        <w:t xml:space="preserve"> times the resting values (where </w:t>
      </w:r>
      <w:r w:rsidRPr="00A83CDD">
        <w:rPr>
          <w:rFonts w:ascii="Times New Roman" w:eastAsia="SimSun" w:hAnsi="Times New Roman" w:cs="Times New Roman"/>
          <w:i/>
          <w:sz w:val="24"/>
          <w:szCs w:val="24"/>
        </w:rPr>
        <w:t>K</w:t>
      </w:r>
      <w:r w:rsidRPr="00A83CDD">
        <w:rPr>
          <w:rFonts w:ascii="Times New Roman" w:eastAsia="SimSun" w:hAnsi="Times New Roman" w:cs="Times New Roman"/>
          <w:sz w:val="24"/>
          <w:szCs w:val="24"/>
        </w:rPr>
        <w:t xml:space="preserve">=0.21), a value within the physiological range measured by Wilson et al.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"10.1161/01.CIR.82.5.1595", "ISBN" : "0009-7322 (Print)\\r0009-7322 (Linking)", "ISSN" : "0009-7322", "PMID" : "2225364", "abstract" : "Adenosine is a potent vasodilator used extensively to study the coronary circulation of animals. Its use in humans, however, has been hampered by lack of knowledge about its effects on the human coronary circulation and by concern about its safety. We investigated in humans the effects of adenosine, administered by intracoronary bolus (2-16 micrograms), intracoronary infusion (10-240 micrograms/min), or intravenous infusion (35-140 micrograms/kg/min) on coronary and systemic hemodynamics and the electrocardiogram. Coronary blood flow velocity (CBFV) was measured with a 3F coronary Doppler catheter. The maximal CBFV was determined with intracoronary papaverine (4.5 +/- 0.2.resting CBFV). In normal left coronary arteries (n = 20), 16-micrograms boluses of adenosine caused coronary hyperemia similar to that caused by papaverine (4.6 +/- 0.7.resting CBFV). In the right coronary artery (n = 5), 12-micrograms boluses caused maximal hyperemia (4.4 +/- 1.0.resting CBFV). Intracoronary boluses caused a small, brief decrease in arterial pressure (similar to that caused by papaverine) and no changes in heart rate or in the electrocardiogram. The duration of hyperemia was much shorter after adenosine than after papaverine administration. Intracoronary infusions of 80 micrograms/min or more into the left coronary artery (n = 6) also caused maximal hyperemia (4.4 +/- 0.1.resting CBFV), and doses up to 240 micrograms/min caused a minimal decrease in arterial pressure (-6 +/- 2 mm Hg) and no significant change in heart rate or in electrocardiographic variables. Intravenous infusions in normal patients (n = 25) at 140 micrograms/kg/min caused coronary vasodilation similar to that caused by papaverine in 84% of patients (4.4 +/- 0.9.resting CBFV). At submaximal infusion rates, however, CBFV often fluctuated widely. During the 140-micrograms/kg/min infusion, arterial pressure decreased 6 +/- 7 mm Hg, and heart rate increased 24 +/- 14 beats/min. One patient developed 1 cycle of 2:1 atrioventricular block, but otherwise, the electrocardiogram did not change. In eight patients with microvascular vasodilator dysfunction (delta CBFV, less than 3.5 peak/resting velocity after a maximally vasodilating dose of intracoronary papaverine), the dose-response characteristics to intracoronary boluses and intravenous infusions of adenosine were similar to those found in normal patients.", "author" : [ { "dropping-particle" : "", "family" : "Wilson RF, Wyche K, Christensen BV, Zimmer S", "given" : "Laxson DD", "non-dropping-particle" : "", "parse-names" : false, "suffix" : "" } ], "container-title" : "Circulation", "id" : "ITEM-1", "issue" : "5", "issued" : { "date-parts" : [ [ "1990" ] ] }, "page" : "1595-1606", "title" : "Effects of adenosine on human coronary arterial circulation", "type" : "article-journal", "volume" : "82" }, "uris" : [ "http://www.mendeley.com/documents/?uuid=604f107c-07ce-4ac9-9b3b-fbea68a41837" ] } ], "mendeley" : { "formattedCitation" : "[10]", "plainTextFormattedCitation" : "[10]", "previouslyFormattedCitation" : "[10]"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[10]</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From Eq. (A6), the hyperemic resistance is given by:</w:t>
      </w:r>
    </w:p>
    <w:p w:rsidR="00A83CDD" w:rsidRPr="00A83CDD" w:rsidRDefault="00A83CDD" w:rsidP="00A83CDD">
      <w:pPr>
        <w:spacing w:after="0" w:line="360" w:lineRule="auto"/>
        <w:contextualSpacing/>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i,hypermia</m:t>
            </m:r>
          </m:sub>
        </m:sSub>
        <m:r>
          <m:rPr>
            <m:sty m:val="p"/>
          </m:rPr>
          <w:rPr>
            <w:rFonts w:ascii="Cambria Math" w:eastAsia="SimSun" w:hAnsi="Cambria" w:cs="Times New Roman"/>
            <w:sz w:val="24"/>
            <w:szCs w:val="24"/>
          </w:rPr>
          <m:t>=K</m:t>
        </m:r>
        <m:sSub>
          <m:sSubPr>
            <m:ctrlPr>
              <w:rPr>
                <w:rFonts w:ascii="Cambria Math" w:eastAsia="SimSun" w:hAnsi="Cambria Math" w:cs="Times New Roman"/>
                <w:i/>
                <w:sz w:val="24"/>
                <w:szCs w:val="24"/>
              </w:rPr>
            </m:ctrlPr>
          </m:sSubPr>
          <m:e>
            <m:r>
              <m:rPr>
                <m:sty m:val="p"/>
              </m:rPr>
              <w:rPr>
                <w:rFonts w:ascii="Cambria Math" w:eastAsia="SimSun" w:hAnsi="Cambria" w:cs="Times New Roman"/>
                <w:sz w:val="24"/>
                <w:szCs w:val="24"/>
              </w:rPr>
              <m:t>R</m:t>
            </m:r>
          </m:e>
          <m:sub>
            <m:r>
              <m:rPr>
                <m:sty m:val="p"/>
              </m:rPr>
              <w:rPr>
                <w:rFonts w:ascii="Cambria Math" w:eastAsia="SimSun" w:hAnsi="Cambria" w:cs="Times New Roman"/>
                <w:sz w:val="24"/>
                <w:szCs w:val="24"/>
              </w:rPr>
              <m:t>i</m:t>
            </m:r>
          </m:sub>
        </m:sSub>
        <m:r>
          <m:rPr>
            <m:sty m:val="p"/>
          </m:rPr>
          <w:rPr>
            <w:rFonts w:ascii="Cambria Math" w:eastAsia="SimSun" w:hAnsi="Cambria" w:cs="Times New Roman"/>
            <w:sz w:val="24"/>
            <w:szCs w:val="24"/>
          </w:rPr>
          <m:t>=K</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inlet</m:t>
                </m:r>
              </m:sub>
            </m:sSub>
          </m:den>
        </m:f>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position w:val="-30"/>
          <w:sz w:val="24"/>
          <w:szCs w:val="24"/>
        </w:rPr>
        <w:object w:dxaOrig="3100" w:dyaOrig="680">
          <v:shape id="_x0000_i1033" type="#_x0000_t75" style="width:150.75pt;height:34.5pt" o:ole="">
            <v:imagedata r:id="rId24" o:title=""/>
          </v:shape>
          <o:OLEObject Type="Embed" ProgID="Equation.3" ShapeID="_x0000_i1033" DrawAspect="Content" ObjectID="_1524376681" r:id="rId25"/>
        </w:object>
      </w:r>
      <w:r w:rsidRPr="00A83CDD">
        <w:rPr>
          <w:rFonts w:ascii="Times New Roman" w:eastAsia="SimSun" w:hAnsi="Times New Roman" w:cs="Times New Roman"/>
          <w:sz w:val="24"/>
          <w:szCs w:val="24"/>
        </w:rPr>
        <w:t xml:space="preserve">                                   (A9)</w:t>
      </w:r>
    </w:p>
    <w:p w:rsidR="00A83CDD" w:rsidRPr="00A83CDD" w:rsidRDefault="00A83CDD" w:rsidP="00A83CDD">
      <w:pPr>
        <w:spacing w:after="0" w:line="360" w:lineRule="auto"/>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 xml:space="preserve">In order to ensure smooth convergence during the numerical iterations of CFD, </w:t>
      </w:r>
      <w:r w:rsidRPr="00A83CDD">
        <w:rPr>
          <w:rFonts w:ascii="Times New Roman" w:eastAsia="SimSun" w:hAnsi="Times New Roman" w:cs="Times New Roman"/>
          <w:i/>
          <w:sz w:val="24"/>
          <w:szCs w:val="24"/>
        </w:rPr>
        <w:t>P</w:t>
      </w:r>
      <w:r w:rsidRPr="00A83CDD">
        <w:rPr>
          <w:rFonts w:ascii="Times New Roman" w:eastAsia="SimSun" w:hAnsi="Times New Roman" w:cs="Times New Roman"/>
          <w:i/>
          <w:sz w:val="24"/>
          <w:szCs w:val="24"/>
          <w:vertAlign w:val="subscript"/>
        </w:rPr>
        <w:t>0</w:t>
      </w:r>
      <w:r w:rsidRPr="00A83CDD">
        <w:rPr>
          <w:rFonts w:ascii="Times New Roman" w:eastAsia="SimSun" w:hAnsi="Times New Roman" w:cs="Times New Roman"/>
          <w:sz w:val="24"/>
          <w:szCs w:val="24"/>
        </w:rPr>
        <w:t xml:space="preserve"> and </w:t>
      </w:r>
      <w:proofErr w:type="spellStart"/>
      <w:proofErr w:type="gram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w:t>
      </w:r>
      <w:proofErr w:type="spellEnd"/>
      <w:proofErr w:type="gramEnd"/>
      <w:r w:rsidRPr="00A83CDD">
        <w:rPr>
          <w:rFonts w:ascii="Times New Roman" w:eastAsia="SimSun" w:hAnsi="Times New Roman" w:cs="Times New Roman"/>
          <w:sz w:val="24"/>
          <w:szCs w:val="24"/>
        </w:rPr>
        <w:t xml:space="preserve"> were initialized as 20 mmHg and 1.0e+8 </w:t>
      </w:r>
      <w:proofErr w:type="spellStart"/>
      <w:r w:rsidRPr="00A83CDD">
        <w:rPr>
          <w:rFonts w:ascii="Times New Roman" w:eastAsia="SimSun" w:hAnsi="Times New Roman" w:cs="Times New Roman"/>
          <w:sz w:val="24"/>
          <w:szCs w:val="24"/>
        </w:rPr>
        <w:t>Pa·s</w:t>
      </w:r>
      <w:proofErr w:type="spellEnd"/>
      <w:r w:rsidRPr="00A83CDD">
        <w:rPr>
          <w:rFonts w:ascii="Times New Roman" w:eastAsia="SimSun" w:hAnsi="Times New Roman" w:cs="Times New Roman"/>
          <w:sz w:val="24"/>
          <w:szCs w:val="24"/>
        </w:rPr>
        <w:t>/m</w:t>
      </w:r>
      <w:r w:rsidRPr="00A83CDD">
        <w:rPr>
          <w:rFonts w:ascii="Times New Roman" w:eastAsia="SimSun" w:hAnsi="Times New Roman" w:cs="Times New Roman"/>
          <w:sz w:val="24"/>
          <w:szCs w:val="24"/>
          <w:vertAlign w:val="superscript"/>
        </w:rPr>
        <w:t>3</w:t>
      </w:r>
      <w:r w:rsidRPr="00A83CDD">
        <w:rPr>
          <w:rFonts w:ascii="Times New Roman" w:eastAsia="SimSun" w:hAnsi="Times New Roman" w:cs="Times New Roman"/>
          <w:sz w:val="24"/>
          <w:szCs w:val="24"/>
        </w:rPr>
        <w:t xml:space="preserve">, respectively; and then updated with a under-relaxation scheme as formulated in </w:t>
      </w:r>
      <w:proofErr w:type="spellStart"/>
      <w:r w:rsidRPr="00A83CDD">
        <w:rPr>
          <w:rFonts w:ascii="Times New Roman" w:eastAsia="SimSun" w:hAnsi="Times New Roman" w:cs="Times New Roman"/>
          <w:sz w:val="24"/>
          <w:szCs w:val="24"/>
        </w:rPr>
        <w:t>Eqs</w:t>
      </w:r>
      <w:proofErr w:type="spellEnd"/>
      <w:r w:rsidRPr="00A83CDD">
        <w:rPr>
          <w:rFonts w:ascii="Times New Roman" w:eastAsia="SimSun" w:hAnsi="Times New Roman" w:cs="Times New Roman"/>
          <w:sz w:val="24"/>
          <w:szCs w:val="24"/>
        </w:rPr>
        <w:t xml:space="preserve">. A10 and A11 until the total outflow from all the outlets matched the inflow rate at hyperemia. </w:t>
      </w:r>
    </w:p>
    <w:p w:rsidR="00A83CDD" w:rsidRPr="00A83CDD" w:rsidRDefault="00A83CDD" w:rsidP="00A83CDD">
      <w:pPr>
        <w:spacing w:after="0" w:line="360" w:lineRule="auto"/>
        <w:contextualSpacing/>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 new</m:t>
            </m:r>
          </m:sub>
        </m:sSub>
        <m:r>
          <m:rPr>
            <m:sty m:val="p"/>
          </m:rPr>
          <w:rPr>
            <w:rFonts w:ascii="Cambria Math" w:eastAsia="SimSun" w:hAnsi="Cambria" w:cs="Times New Roman"/>
            <w:sz w:val="24"/>
            <w:szCs w:val="24"/>
          </w:rPr>
          <m:t>=</m:t>
        </m:r>
        <m:sSub>
          <m:sSubPr>
            <m:ctrlPr>
              <w:rPr>
                <w:rFonts w:ascii="Cambria Math" w:eastAsia="SimSun" w:hAnsi="Cambria Math" w:cs="Times New Roman"/>
                <w:i/>
                <w:sz w:val="24"/>
                <w:szCs w:val="24"/>
              </w:rPr>
            </m:ctrlPr>
          </m:sSubPr>
          <m:e>
            <m:d>
              <m:dPr>
                <m:ctrlPr>
                  <w:rPr>
                    <w:rFonts w:ascii="Cambria Math" w:eastAsia="SimSun" w:hAnsi="Cambria Math" w:cs="Times New Roman"/>
                    <w:i/>
                    <w:sz w:val="24"/>
                    <w:szCs w:val="24"/>
                  </w:rPr>
                </m:ctrlPr>
              </m:dPr>
              <m:e>
                <m:r>
                  <m:rPr>
                    <m:sty m:val="p"/>
                  </m:rPr>
                  <w:rPr>
                    <w:rFonts w:ascii="Cambria Math" w:eastAsia="SimSun" w:hAnsi="Cambria Math" w:cs="Times New Roman"/>
                    <w:sz w:val="24"/>
                    <w:szCs w:val="24"/>
                  </w:rPr>
                  <m:t>1-α</m:t>
                </m:r>
              </m:e>
            </m:d>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0,old</m:t>
                </m:r>
              </m:sub>
            </m:sSub>
            <m:r>
              <m:rPr>
                <m:sty m:val="p"/>
              </m:rPr>
              <w:rPr>
                <w:rFonts w:ascii="Cambria Math" w:eastAsia="SimSun" w:hAnsi="Cambria Math" w:cs="Times New Roman"/>
                <w:sz w:val="24"/>
                <w:szCs w:val="24"/>
              </w:rPr>
              <m:t>+α (P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nary>
          <m:naryPr>
            <m:chr m:val="∑"/>
            <m:limLoc m:val="subSup"/>
            <m:ctrlPr>
              <w:rPr>
                <w:rFonts w:ascii="Cambria Math" w:eastAsia="SimSun" w:hAnsi="Cambria Math" w:cs="Times New Roman"/>
                <w:i/>
                <w:sz w:val="24"/>
                <w:szCs w:val="24"/>
              </w:rPr>
            </m:ctrlPr>
          </m:naryPr>
          <m:sub>
            <m:r>
              <m:rPr>
                <m:sty m:val="p"/>
              </m:rPr>
              <w:rPr>
                <w:rFonts w:ascii="Cambria Math" w:eastAsia="SimSun" w:hAnsi="Cambria Math" w:cs="Times New Roman"/>
                <w:sz w:val="24"/>
                <w:szCs w:val="24"/>
              </w:rPr>
              <m:t>i</m:t>
            </m:r>
            <m:r>
              <m:rPr>
                <m:sty m:val="p"/>
              </m:rPr>
              <w:rPr>
                <w:rFonts w:ascii="Cambria Math" w:eastAsia="SimSun" w:hAnsi="Cambria" w:cs="Times New Roman"/>
                <w:sz w:val="24"/>
                <w:szCs w:val="24"/>
              </w:rPr>
              <m:t>=1</m:t>
            </m:r>
          </m:sub>
          <m:sup>
            <m:r>
              <m:rPr>
                <m:sty m:val="p"/>
              </m:rPr>
              <w:rPr>
                <w:rFonts w:ascii="Cambria Math" w:eastAsia="SimSun" w:hAnsi="Cambria Math" w:cs="Times New Roman"/>
                <w:sz w:val="24"/>
                <w:szCs w:val="24"/>
              </w:rPr>
              <m:t>N</m:t>
            </m:r>
          </m:sup>
          <m:e>
            <m:d>
              <m:dPr>
                <m:ctrlPr>
                  <w:rPr>
                    <w:rFonts w:ascii="Cambria Math" w:eastAsia="SimSun" w:hAnsi="Cambria Math" w:cs="Times New Roman"/>
                    <w:i/>
                    <w:sz w:val="24"/>
                    <w:szCs w:val="24"/>
                  </w:rPr>
                </m:ctrlPr>
              </m:dPr>
              <m:e>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den>
                </m:f>
              </m:e>
            </m:d>
          </m:e>
        </m:nary>
        <m:r>
          <m:rPr>
            <m:sty m:val="p"/>
          </m:rPr>
          <w:rPr>
            <w:rFonts w:ascii="Cambria Math" w:eastAsia="SimSun" w:hAnsi="Cambria" w:cs="Times New Roman"/>
            <w:sz w:val="24"/>
            <w:szCs w:val="24"/>
          </w:rPr>
          <m:t>)</m:t>
        </m:r>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34"/>
          <w:sz w:val="24"/>
          <w:szCs w:val="24"/>
        </w:rPr>
        <w:object w:dxaOrig="4420" w:dyaOrig="800">
          <v:shape id="_x0000_i1034" type="#_x0000_t75" style="width:199.5pt;height:40.5pt" o:ole="">
            <v:imagedata r:id="rId26" o:title=""/>
          </v:shape>
          <o:OLEObject Type="Embed" ProgID="Equation.3" ShapeID="_x0000_i1034" DrawAspect="Content" ObjectID="_1524376682" r:id="rId27"/>
        </w:object>
      </w:r>
      <w:r w:rsidRPr="00A83CDD">
        <w:rPr>
          <w:rFonts w:ascii="Times New Roman" w:eastAsia="SimSun" w:hAnsi="Times New Roman" w:cs="Times New Roman"/>
          <w:sz w:val="24"/>
          <w:szCs w:val="24"/>
        </w:rPr>
        <w:t xml:space="preserve">                          (A10)</w:t>
      </w:r>
    </w:p>
    <w:p w:rsidR="00A83CDD" w:rsidRPr="00A83CDD" w:rsidRDefault="00A83CDD" w:rsidP="00A83CDD">
      <w:pPr>
        <w:spacing w:after="0" w:line="360" w:lineRule="auto"/>
        <w:contextualSpacing/>
        <w:jc w:val="right"/>
        <w:rPr>
          <w:rFonts w:ascii="Times New Roman" w:eastAsia="SimSun" w:hAnsi="Times New Roman" w:cs="Times New Roman"/>
          <w:sz w:val="24"/>
          <w:szCs w:val="24"/>
        </w:rPr>
      </w:pPr>
      <w:r w:rsidRPr="00A83CDD">
        <w:rPr>
          <w:rFonts w:ascii="Times New Roman" w:eastAsia="SimSun" w:hAnsi="Times New Roman" w:cs="Times New Roman"/>
          <w:sz w:val="24"/>
          <w:szCs w:val="24"/>
        </w:rPr>
        <w:fldChar w:fldCharType="begin"/>
      </w:r>
      <w:r w:rsidRPr="00A83CDD">
        <w:rPr>
          <w:rFonts w:ascii="Times New Roman" w:eastAsia="SimSun" w:hAnsi="Times New Roman" w:cs="Times New Roman"/>
          <w:sz w:val="24"/>
          <w:szCs w:val="24"/>
        </w:rPr>
        <w:instrText xml:space="preserve"> QUOTE </w:instrText>
      </w:r>
      <m:oMath>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R</m:t>
            </m:r>
          </m:e>
          <m:sub>
            <m:r>
              <m:rPr>
                <m:sty m:val="p"/>
              </m:rPr>
              <w:rPr>
                <w:rFonts w:ascii="Cambria Math" w:eastAsia="SimSun" w:hAnsi="Cambria Math" w:cs="Times New Roman"/>
                <w:sz w:val="24"/>
                <w:szCs w:val="24"/>
              </w:rPr>
              <m:t>i,hypermia,new</m:t>
            </m:r>
          </m:sub>
        </m:sSub>
        <m:r>
          <m:rPr>
            <m:sty m:val="p"/>
          </m:rPr>
          <w:rPr>
            <w:rFonts w:ascii="Cambria Math" w:eastAsia="SimSun" w:hAnsi="Cambria" w:cs="Times New Roman"/>
            <w:sz w:val="24"/>
            <w:szCs w:val="24"/>
          </w:rPr>
          <m:t>=</m:t>
        </m:r>
        <m:d>
          <m:dPr>
            <m:ctrlPr>
              <w:rPr>
                <w:rFonts w:ascii="Cambria Math" w:eastAsia="SimSun" w:hAnsi="Cambria Math" w:cs="Times New Roman"/>
                <w:i/>
                <w:sz w:val="24"/>
                <w:szCs w:val="24"/>
              </w:rPr>
            </m:ctrlPr>
          </m:dPr>
          <m:e>
            <m:r>
              <m:rPr>
                <m:sty m:val="p"/>
              </m:rPr>
              <w:rPr>
                <w:rFonts w:ascii="Cambria Math" w:eastAsia="SimSun" w:hAnsi="Cambria" w:cs="Times New Roman"/>
                <w:sz w:val="24"/>
                <w:szCs w:val="24"/>
              </w:rPr>
              <m:t>1-</m:t>
            </m:r>
            <m:r>
              <m:rPr>
                <m:sty m:val="p"/>
              </m:rPr>
              <w:rPr>
                <w:rFonts w:ascii="Cambria Math" w:eastAsia="SimSun" w:hAnsi="Cambria Math" w:cs="Times New Roman"/>
                <w:sz w:val="24"/>
                <w:szCs w:val="24"/>
              </w:rPr>
              <m:t>α</m:t>
            </m:r>
          </m:e>
        </m:d>
        <m:sSub>
          <m:sSubPr>
            <m:ctrlPr>
              <w:rPr>
                <w:rFonts w:ascii="Cambria Math" w:eastAsia="SimSun" w:hAnsi="Cambria Math" w:cs="Times New Roman"/>
                <w:i/>
                <w:sz w:val="24"/>
                <w:szCs w:val="24"/>
              </w:rPr>
            </m:ctrlPr>
          </m:sSubPr>
          <m:e>
            <m:r>
              <m:rPr>
                <m:sty m:val="p"/>
              </m:rPr>
              <w:rPr>
                <w:rFonts w:ascii="Cambria Math" w:eastAsia="SimSun" w:hAnsi="Cambria" w:cs="Times New Roman"/>
                <w:sz w:val="24"/>
                <w:szCs w:val="24"/>
              </w:rPr>
              <m:t>R</m:t>
            </m:r>
          </m:e>
          <m:sub>
            <m:r>
              <m:rPr>
                <m:sty m:val="p"/>
              </m:rPr>
              <w:rPr>
                <w:rFonts w:ascii="Cambria Math" w:eastAsia="SimSun" w:hAnsi="Cambria" w:cs="Times New Roman"/>
                <w:sz w:val="24"/>
                <w:szCs w:val="24"/>
              </w:rPr>
              <m:t>i,</m:t>
            </m:r>
            <m:r>
              <m:rPr>
                <m:sty m:val="p"/>
              </m:rPr>
              <w:rPr>
                <w:rFonts w:ascii="Cambria Math" w:eastAsia="SimSun" w:hAnsi="Cambria Math" w:cs="Times New Roman"/>
                <w:sz w:val="24"/>
                <w:szCs w:val="24"/>
              </w:rPr>
              <m:t>hypermia,old</m:t>
            </m:r>
          </m:sub>
        </m:sSub>
        <m:r>
          <m:rPr>
            <m:sty m:val="p"/>
          </m:rPr>
          <w:rPr>
            <w:rFonts w:ascii="Cambria Math" w:eastAsia="SimSun" w:hAnsi="Cambria" w:cs="Times New Roman"/>
            <w:sz w:val="24"/>
            <w:szCs w:val="24"/>
          </w:rPr>
          <m:t>+</m:t>
        </m:r>
        <m:r>
          <m:rPr>
            <m:sty m:val="p"/>
          </m:rPr>
          <w:rPr>
            <w:rFonts w:ascii="Cambria Math" w:eastAsia="SimSun" w:hAnsi="Cambria Math" w:cs="Times New Roman"/>
            <w:sz w:val="24"/>
            <w:szCs w:val="24"/>
          </w:rPr>
          <m:t>α(</m:t>
        </m:r>
        <m:r>
          <m:rPr>
            <m:sty m:val="p"/>
          </m:rPr>
          <w:rPr>
            <w:rFonts w:ascii="Cambria Math" w:eastAsia="SimSun" w:hAnsi="Cambria" w:cs="Times New Roman"/>
            <w:sz w:val="24"/>
            <w:szCs w:val="24"/>
          </w:rPr>
          <m:t>K</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N</m:t>
            </m:r>
          </m:e>
          <m:sub>
            <m:r>
              <m:rPr>
                <m:sty m:val="p"/>
              </m:rPr>
              <w:rPr>
                <w:rFonts w:ascii="Cambria Math" w:eastAsia="SimSun" w:hAnsi="Cambria Math" w:cs="Times New Roman"/>
                <w:sz w:val="24"/>
                <w:szCs w:val="24"/>
              </w:rPr>
              <m:t>i</m:t>
            </m:r>
          </m:sub>
        </m:sSub>
        <m:f>
          <m:fPr>
            <m:ctrlPr>
              <w:rPr>
                <w:rFonts w:ascii="Cambria Math" w:eastAsia="SimSun" w:hAnsi="Cambria Math" w:cs="Times New Roman"/>
                <w:i/>
                <w:sz w:val="24"/>
                <w:szCs w:val="24"/>
              </w:rPr>
            </m:ctrlPr>
          </m:fPr>
          <m:num>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Math" w:cs="Times New Roman"/>
                    <w:sz w:val="24"/>
                    <w:szCs w:val="24"/>
                  </w:rPr>
                  <m:t>inlet</m:t>
                </m:r>
              </m:sub>
            </m:sSub>
            <m:r>
              <m:rPr>
                <m:sty m:val="p"/>
              </m:rPr>
              <w:rPr>
                <w:rFonts w:ascii="Cambria Math" w:eastAsia="SimSun" w:hAnsi="Cambria Math" w:cs="Times New Roman"/>
                <w:sz w:val="24"/>
                <w:szCs w:val="24"/>
              </w:rPr>
              <m:t>-</m:t>
            </m:r>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P</m:t>
                </m:r>
              </m:e>
              <m:sub>
                <m:r>
                  <m:rPr>
                    <m:sty m:val="p"/>
                  </m:rPr>
                  <w:rPr>
                    <w:rFonts w:ascii="Cambria Math" w:eastAsia="SimSun" w:hAnsi="Cambria" w:cs="Times New Roman"/>
                    <w:sz w:val="24"/>
                    <w:szCs w:val="24"/>
                  </w:rPr>
                  <m:t>0</m:t>
                </m:r>
              </m:sub>
            </m:sSub>
          </m:num>
          <m:den>
            <m:sSub>
              <m:sSubPr>
                <m:ctrlPr>
                  <w:rPr>
                    <w:rFonts w:ascii="Cambria Math" w:eastAsia="SimSun" w:hAnsi="Cambria Math" w:cs="Times New Roman"/>
                    <w:i/>
                    <w:sz w:val="24"/>
                    <w:szCs w:val="24"/>
                  </w:rPr>
                </m:ctrlPr>
              </m:sSubPr>
              <m:e>
                <m:r>
                  <m:rPr>
                    <m:sty m:val="p"/>
                  </m:rPr>
                  <w:rPr>
                    <w:rFonts w:ascii="Cambria Math" w:eastAsia="SimSun" w:hAnsi="Cambria Math" w:cs="Times New Roman"/>
                    <w:sz w:val="24"/>
                    <w:szCs w:val="24"/>
                  </w:rPr>
                  <m:t>Q</m:t>
                </m:r>
              </m:e>
              <m:sub>
                <m:r>
                  <m:rPr>
                    <m:sty m:val="p"/>
                  </m:rPr>
                  <w:rPr>
                    <w:rFonts w:ascii="Cambria Math" w:eastAsia="SimSun" w:hAnsi="Cambria Math" w:cs="Times New Roman"/>
                    <w:sz w:val="24"/>
                    <w:szCs w:val="24"/>
                  </w:rPr>
                  <m:t>inlet</m:t>
                </m:r>
              </m:sub>
            </m:sSub>
          </m:den>
        </m:f>
        <m:r>
          <m:rPr>
            <m:sty m:val="p"/>
          </m:rPr>
          <w:rPr>
            <w:rFonts w:ascii="Cambria Math" w:eastAsia="SimSun" w:hAnsi="Cambria" w:cs="Times New Roman"/>
            <w:sz w:val="24"/>
            <w:szCs w:val="24"/>
          </w:rPr>
          <m:t>)</m:t>
        </m:r>
      </m:oMath>
      <w:r w:rsidRPr="00A83CDD">
        <w:rPr>
          <w:rFonts w:ascii="Times New Roman" w:eastAsia="SimSun" w:hAnsi="Times New Roman" w:cs="Times New Roman"/>
          <w:sz w:val="24"/>
          <w:szCs w:val="24"/>
        </w:rPr>
        <w:instrText xml:space="preserve"> </w:instrTex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w:t>
      </w:r>
      <w:r w:rsidRPr="00A83CDD">
        <w:rPr>
          <w:rFonts w:ascii="Times New Roman" w:eastAsia="SimSun" w:hAnsi="Times New Roman" w:cs="Times New Roman"/>
          <w:position w:val="-32"/>
          <w:sz w:val="24"/>
          <w:szCs w:val="24"/>
        </w:rPr>
        <w:object w:dxaOrig="4940" w:dyaOrig="760">
          <v:shape id="_x0000_i1035" type="#_x0000_t75" style="width:225pt;height:33pt" o:ole="">
            <v:imagedata r:id="rId28" o:title=""/>
          </v:shape>
          <o:OLEObject Type="Embed" ProgID="Equation.3" ShapeID="_x0000_i1035" DrawAspect="Content" ObjectID="_1524376683" r:id="rId29"/>
        </w:object>
      </w:r>
      <w:r w:rsidRPr="00A83CDD">
        <w:rPr>
          <w:rFonts w:ascii="Times New Roman" w:eastAsia="SimSun" w:hAnsi="Times New Roman" w:cs="Times New Roman"/>
          <w:sz w:val="24"/>
          <w:szCs w:val="24"/>
        </w:rPr>
        <w:t xml:space="preserve">                 (A11)</w:t>
      </w:r>
    </w:p>
    <w:p w:rsidR="00A83CDD" w:rsidRPr="00A83CDD" w:rsidRDefault="00A83CDD" w:rsidP="00A83CDD">
      <w:pPr>
        <w:spacing w:after="0" w:line="360" w:lineRule="auto"/>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lastRenderedPageBreak/>
        <w:t xml:space="preserve">Here, </w:t>
      </w:r>
      <w:r w:rsidRPr="00A83CDD">
        <w:rPr>
          <w:rFonts w:ascii="Times New Roman" w:eastAsia="SimSun" w:hAnsi="Times New Roman" w:cs="Times New Roman"/>
          <w:i/>
          <w:sz w:val="24"/>
          <w:szCs w:val="24"/>
        </w:rPr>
        <w:t>α</w:t>
      </w:r>
      <w:r w:rsidRPr="00A83CDD">
        <w:rPr>
          <w:rFonts w:ascii="Times New Roman" w:eastAsia="SimSun" w:hAnsi="Times New Roman" w:cs="Times New Roman"/>
          <w:sz w:val="24"/>
          <w:szCs w:val="24"/>
        </w:rPr>
        <w:t xml:space="preserve"> was under-relaxation factor. P</w:t>
      </w:r>
      <w:r w:rsidRPr="00A83CDD">
        <w:rPr>
          <w:rFonts w:ascii="Times New Roman" w:eastAsia="SimSun" w:hAnsi="Times New Roman" w:cs="Times New Roman"/>
          <w:sz w:val="24"/>
          <w:szCs w:val="24"/>
          <w:vertAlign w:val="subscript"/>
        </w:rPr>
        <w:t>0</w:t>
      </w:r>
      <w:proofErr w:type="gramStart"/>
      <w:r w:rsidRPr="00A83CDD">
        <w:rPr>
          <w:rFonts w:ascii="Times New Roman" w:eastAsia="SimSun" w:hAnsi="Times New Roman" w:cs="Times New Roman"/>
          <w:i/>
          <w:sz w:val="24"/>
          <w:szCs w:val="24"/>
          <w:vertAlign w:val="subscript"/>
        </w:rPr>
        <w:t>,old</w:t>
      </w:r>
      <w:proofErr w:type="gramEnd"/>
      <w:r w:rsidRPr="00A83CDD">
        <w:rPr>
          <w:rFonts w:ascii="Times New Roman" w:eastAsia="SimSun" w:hAnsi="Times New Roman" w:cs="Times New Roman"/>
          <w:sz w:val="24"/>
          <w:szCs w:val="24"/>
        </w:rPr>
        <w:t xml:space="preserve"> and </w:t>
      </w:r>
      <w:proofErr w:type="spell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i,hyperemia</w:t>
      </w:r>
      <w:proofErr w:type="spellEnd"/>
      <w:r w:rsidRPr="00A83CDD">
        <w:rPr>
          <w:rFonts w:ascii="Times New Roman" w:eastAsia="SimSun" w:hAnsi="Times New Roman" w:cs="Times New Roman"/>
          <w:i/>
          <w:sz w:val="24"/>
          <w:szCs w:val="24"/>
          <w:vertAlign w:val="subscript"/>
        </w:rPr>
        <w:t>, old</w:t>
      </w:r>
      <w:r w:rsidRPr="00A83CDD">
        <w:rPr>
          <w:rFonts w:ascii="Times New Roman" w:eastAsia="SimSun" w:hAnsi="Times New Roman" w:cs="Times New Roman"/>
          <w:sz w:val="24"/>
          <w:szCs w:val="24"/>
        </w:rPr>
        <w:t xml:space="preserve"> represented the reference pressure and resistance in the last iteration, while </w:t>
      </w:r>
      <w:r w:rsidRPr="00A83CDD">
        <w:rPr>
          <w:rFonts w:ascii="Times New Roman" w:eastAsia="SimSun" w:hAnsi="Times New Roman" w:cs="Times New Roman"/>
          <w:i/>
          <w:sz w:val="24"/>
          <w:szCs w:val="24"/>
        </w:rPr>
        <w:t>P</w:t>
      </w:r>
      <w:r w:rsidRPr="00A83CDD">
        <w:rPr>
          <w:rFonts w:ascii="Times New Roman" w:eastAsia="SimSun" w:hAnsi="Times New Roman" w:cs="Times New Roman"/>
          <w:i/>
          <w:sz w:val="24"/>
          <w:szCs w:val="24"/>
          <w:vertAlign w:val="subscript"/>
        </w:rPr>
        <w:t>0,new</w:t>
      </w:r>
      <w:r w:rsidRPr="00A83CDD">
        <w:rPr>
          <w:rFonts w:ascii="Times New Roman" w:eastAsia="SimSun" w:hAnsi="Times New Roman" w:cs="Times New Roman"/>
          <w:sz w:val="24"/>
          <w:szCs w:val="24"/>
        </w:rPr>
        <w:t xml:space="preserve"> and </w:t>
      </w:r>
      <w:proofErr w:type="spellStart"/>
      <w:r w:rsidRPr="00A83CDD">
        <w:rPr>
          <w:rFonts w:ascii="Times New Roman" w:eastAsia="SimSun" w:hAnsi="Times New Roman" w:cs="Times New Roman"/>
          <w:i/>
          <w:sz w:val="24"/>
          <w:szCs w:val="24"/>
        </w:rPr>
        <w:t>R</w:t>
      </w:r>
      <w:r w:rsidRPr="00A83CDD">
        <w:rPr>
          <w:rFonts w:ascii="Times New Roman" w:eastAsia="SimSun" w:hAnsi="Times New Roman" w:cs="Times New Roman"/>
          <w:i/>
          <w:sz w:val="24"/>
          <w:szCs w:val="24"/>
          <w:vertAlign w:val="subscript"/>
        </w:rPr>
        <w:t>i,hyperemia,new</w:t>
      </w:r>
      <w:proofErr w:type="spellEnd"/>
      <w:r w:rsidRPr="00A83CDD">
        <w:rPr>
          <w:rFonts w:ascii="Times New Roman" w:eastAsia="SimSun" w:hAnsi="Times New Roman" w:cs="Times New Roman"/>
          <w:sz w:val="24"/>
          <w:szCs w:val="24"/>
        </w:rPr>
        <w:t xml:space="preserve"> represented their values in the next iteration. As minimal microvascular resistance was found to be independent of epicardial stenosis severity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"10.1161/01.CIR.0000143893.18451.0E", "ISBN" : "1524-4539 (Electronic)\\n0009-7322 (Linking)", "ISSN" : "00097322", "PMID" : "15466646", "abstract" : "BACKGROUND: Whether minimal microvascular resistance of the myocardium is affected by the presence of an epicardial stenosis is controversial. Recently, an index of microcirculatory resistance (IMR) was developed that is based on combined measurements of distal coronary pressure and thermodilution-derived mean transit time. In normal coronary arteries, IMR correlates well with true microvascular resistance. However, to be applicable in the case of an epicardial stenosis, IMR should account for collateral flow. We investigated the feasibility of determining IMR in humans and tested the hypothesis that microvascular resistance is independent of epicardial stenosis. METHODS AND RESULTS: Thirty patients scheduled for percutaneous coronary intervention were studied. The stenosis was stented with a pressure guidewire, and coronary wedge pressure (P(w)) was measured during balloon occlusion. After successful stenting, a short compliant balloon with a diameter 1.0 mm smaller than the stent was placed in the stented segment and inflated with increasing pressures, creating a 10%, 50%, and 75% area stenosis. At each of the 3 degrees of stenosis, fractional flow reserve (FFR) and IMR were measured at steady-state maximum hyperemia induced by intravenous adenosine. A total of 90 measurements were performed in 30 patients. When uncorrected for P(w), an apparent increase in microvascular resistance was observed with increasing stenosis severity (IMR=24, 27, and 37 U for the 3 different degrees of stenosis; P&lt;0.001). In contrast, when P(w) is appropriately accounted for, microvascular resistance did not change with stenosis severity (IMR=22, 23, and 23 U, respectively; P=0.28). CONCLUSIONS: Minimal microvascular resistance does not change with epicardial stenosis severity, and IMR is a specific index of microvascular resistance when collateral flow is properly taken into account.", "author" : [ { "dropping-particle" : "", "family" : "Aarnoudse", "given" : "Wilbert", "non-dropping-particle" : "", "parse-names" : false, "suffix" : "" }, { "dropping-particle" : "", "family" : "Fearon", "given" : "William F.", "non-dropping-particle" : "", "parse-names" : false, "suffix" : "" }, { "dropping-particle" : "", "family" : "Manoharan", "given" : "Ganesh", "non-dropping-particle" : "", "parse-names" : false, "suffix" : "" }, { "dropping-particle" : "", "family" : "Geven", "given" : "Maartje", "non-dropping-particle" : "", "parse-names" : false, "suffix" : "" }, { "dropping-particle" : "", "family" : "Vosse", "given" : "Frans", "non-dropping-particle" : "Van De", "parse-names" : false, "suffix" : "" }, { "dropping-particle" : "", "family" : "Rutten", "given" : "Marcel", "non-dropping-particle" : "", "parse-names" : false, "suffix" : "" }, { "dropping-particle" : "", "family" : "Bruyne", "given" : "Bernard", "non-dropping-particle" : "De", "parse-names" : false, "suffix" : "" }, { "dropping-particle" : "", "family" : "Pijls", "given" : "N. H J", "non-dropping-particle" : "", "parse-names" : false, "suffix" : "" } ], "container-title" : "Circulation", "id" : "ITEM-1", "issue" : "15", "issued" : { "date-parts" : [ [ "2004" ] ] }, "page" : "2137-2142", "title" : "Epicardial stenosis severity does not affect minimal microcirculatory resistance", "type" : "article-journal", "volume" : "110" }, "uris" : [ "http://www.mendeley.com/documents/?uuid=ce9636f9-9a5a-480d-9cbe-f3007751a155", "http://www.mendeley.com/documents/?uuid=9e932601-f292-4fae-ab44-91d17a748f84" ] } ], "mendeley" : { "formattedCitation" : "[11]", "plainTextFormattedCitation" : "[11]", "previouslyFormattedCitation" : "[11]"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[11]</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hyperemic microcirculatory resistance distal to a stenosis was assumed to be the same as that for coronary arteries free of stenosis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"DOI" : "10.1016/j.jacc.2012.11.083", "ISBN" : "1558-3597 (Electronic)\\n0735-1097 (Linking)", "ISSN" : "07351097", "PMID" : "23562923", "abstract" : "Coronary computed tomography angiography (CTA) has emerged as a noninvasive method for direct visualization of coronary artery disease, with previous studies demonstrating high diagnostic performance of CTA compared with invasive coronary angiography. However, CTA assessment of coronary stenoses tends toward overestimation, and even among CTA-identified severe stenosis confirmed at the time of invasive coronary angiography, only a minority are found to be ischemia causing. Recent advances in computational fluid dynamics and image-based modeling now permit determination of rest and hyperemic coronary flow and pressure from CTA scans, without the need for additional imaging, modification of acquisition protocols, or administration of medications. These techniques have been used to noninvasively compute fractional flow reserve (FFR), which is the ratio of maximal coronary blood flow through a stenotic artery to the blood flow in the hypothetical case that the artery was normal, using CTA images. In the recently reported prospective multicenter DISCOVER-FLOW (Diagnosis of Ischemia-Causing Stenoses Obtained Via Noninvasive Fractional Flow Reserve) study and the DeFACTO (Determination of Fractional Flow Reserve by Anatomic Computed Tomographic Angiography) trial, FFR derived from CTA was demonstrated as superior to measures of CTA stenosis severity for determination of lesion-specific ischemia. Given the significant interest in this novel method for determining the physiological significance of coronary artery disease, we herein present a review on the scientific principles that underlie this technology. \u00a9 2013 by the American College of Cardiology Foundation.", "author" : [ { "dropping-particle" : "", "family" : "Taylor", "given" : "Charles A", "non-dropping-particle" : "", "parse-names" : false, "suffix" : "" }, { "dropping-particle" : "", "family" : "Fonte", "given" : "Timothy A", "non-dropping-particle" : "", "parse-names" : false, "suffix" : "" }, { "dropping-particle" : "", "family" : "Min", "given" : "James K", "non-dropping-particle" : "", "parse-names" : false, "suffix" : "" }, { "dropping-particle" : "", "family" : "City", "given" : "Redwood", "non-dropping-particle" : "", "parse-names" : false, "suffix" : "" }, { "dropping-particle" : "", "family" : "Angeles", "given" : "Los", "non-dropping-particle" : "", "parse-names" : false, "suffix" : "" } ], "container-title" : "Journal of the American College of Cardiology", "id" : "ITEM-1", "issue" : "22", "issued" : { "date-parts" : [ [ "2013" ] ] }, "page" : "2233-2241", "title" : "Computational fluid dynamics applied to cardiac computed tomography for noninvasive quantification of fractional flow reserve: scientific basis", "type" : "article-journal", "volume" : "61" }, "uris" : [ "http://www.mendeley.com/documents/?uuid=755d25b1-4995-42f3-8ba8-f02d2c933e7d" ] } ], "mendeley" : { "formattedCitation" : "[12]", "plainTextFormattedCitation" : "[12]", "previouslyFormattedCitation" : "[12]"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[12]</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as specified in Eq. A11.</w:t>
      </w:r>
    </w:p>
    <w:p w:rsidR="00A83CDD" w:rsidRPr="00A83CDD" w:rsidRDefault="00A83CDD" w:rsidP="00A83CDD">
      <w:pPr>
        <w:spacing w:after="0" w:line="360" w:lineRule="auto"/>
        <w:ind w:firstLine="720"/>
        <w:jc w:val="both"/>
        <w:rPr>
          <w:rFonts w:ascii="Times New Roman" w:eastAsia="SimSun" w:hAnsi="Times New Roman" w:cs="Times New Roman"/>
          <w:sz w:val="24"/>
          <w:szCs w:val="24"/>
        </w:rPr>
      </w:pPr>
      <w:r w:rsidRPr="00A83CDD">
        <w:rPr>
          <w:rFonts w:ascii="Times New Roman" w:eastAsia="SimSun" w:hAnsi="Times New Roman" w:cs="Times New Roman"/>
          <w:sz w:val="24"/>
          <w:szCs w:val="24"/>
        </w:rPr>
        <w:t>With these novel iterative boundary conditions, the computational burden can be reduced in contrast to solving the complex lumped-parameter heart and coronary models described in Ref. 16. The calculated value of P</w:t>
      </w:r>
      <w:r w:rsidRPr="00A83CDD">
        <w:rPr>
          <w:rFonts w:ascii="Times New Roman" w:eastAsia="SimSun" w:hAnsi="Times New Roman" w:cs="Times New Roman"/>
          <w:sz w:val="24"/>
          <w:szCs w:val="24"/>
          <w:vertAlign w:val="subscript"/>
        </w:rPr>
        <w:t xml:space="preserve">0 </w:t>
      </w:r>
      <w:r w:rsidRPr="00A83CDD">
        <w:rPr>
          <w:rFonts w:ascii="Times New Roman" w:eastAsia="SimSun" w:hAnsi="Times New Roman" w:cs="Times New Roman"/>
          <w:sz w:val="24"/>
          <w:szCs w:val="24"/>
        </w:rPr>
        <w:t>was 38.6 ± 9.5</w:t>
      </w:r>
      <w:r w:rsidRPr="00A83CDD">
        <w:rPr>
          <w:rFonts w:ascii="Times New Roman" w:eastAsia="SimSun" w:hAnsi="Times New Roman" w:cs="Times New Roman"/>
          <w:b/>
          <w:color w:val="FF0000"/>
          <w:sz w:val="24"/>
          <w:szCs w:val="24"/>
        </w:rPr>
        <w:t xml:space="preserve"> </w:t>
      </w:r>
      <w:r w:rsidRPr="00A83CDD">
        <w:rPr>
          <w:rFonts w:ascii="Times New Roman" w:eastAsia="SimSun" w:hAnsi="Times New Roman" w:cs="Times New Roman"/>
          <w:sz w:val="24"/>
          <w:szCs w:val="24"/>
        </w:rPr>
        <w:t xml:space="preserve">mmHg for the 21 patients investigated in this study, which was close to 37.9 ± 9.8 mmHg measured by Dole et al.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"author" : [ { "dropping-particle" : "", "family" : "Dole", "given" : "William P", "non-dropping-particle" : "", "parse-names" : false, "suffix" : "" }, { "dropping-particle" : "", "family" : "Richards", "given" : "Kent L", "non-dropping-particle" : "", "parse-names" : false, "suffix" : "" }, { "dropping-particle" : "", "family" : "Hartley", "given" : "Craig J", "non-dropping-particle" : "", "parse-names" : false, "suffix" : "" }, { "dropping-particle" : "", "family" : "Alexander", "given" : "Gulllermo M", "non-dropping-particle" : "", "parse-names" : false, "suffix" : "" }, { "dropping-particle" : "", "family" : "Campbell", "given" : "Alan B", "non-dropping-particle" : "", "parse-names" : false, "suffix" : "" }, { "dropping-particle" : "", "family" : "Bishop", "given" : "Vernon S", "non-dropping-particle" : "", "parse-names" : false, "suffix" : "" } ], "container-title" : "Cardiovasc Res.", "id" : "ITEM-1", "issued" : { "date-parts" : [ [ "1984" ] ] }, "page" : "548-554", "title" : "Diastolic coronary artery pressure-flow velocity relationships in conscious man", "type" : "article-journal", "volume" : "18(9)" }, "uris" : [ "http://www.mendeley.com/documents/?uuid=01257c7b-7b35-4f1f-9d2a-cb8422fd7fcf" ] } ], "mendeley" : { "formattedCitation" : "[5]", "plainTextFormattedCitation" : "[5]", "previouslyFormattedCitation" : "[5]"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[5]</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for 10 patients and 36±9 mmHg measured by Nanto et al. </w:t>
      </w:r>
      <w:r w:rsidRPr="00A83CDD">
        <w:rPr>
          <w:rFonts w:ascii="Times New Roman" w:eastAsia="SimSun" w:hAnsi="Times New Roman" w:cs="Times New Roman"/>
          <w:sz w:val="24"/>
          <w:szCs w:val="24"/>
        </w:rPr>
        <w:fldChar w:fldCharType="begin" w:fldLock="1"/>
      </w:r>
      <w:r w:rsidR="005C7DCF">
        <w:rPr>
          <w:rFonts w:ascii="Times New Roman" w:eastAsia="SimSun" w:hAnsi="Times New Roman" w:cs="Times New Roman"/>
          <w:sz w:val="24"/>
          <w:szCs w:val="24"/>
        </w:rPr>
        <w:instrText>ADDIN CSL_CITATION { "citationItems" : [ { "id" : "ITEM-1", "itemData" : { "author" : [ { "dropping-particle" : "", "family" : "Nanto", "given" : "Shinsuke", "non-dropping-particle" : "", "parse-names" : false, "suffix" : "" }, { "dropping-particle" : "", "family" : "Masuyama", "given" : "Tohru", "non-dropping-particle" : "", "parse-names" : false, "suffix" : "" }, { "dropping-particle" : "", "family" : "Takano", "given" : "Yuzuru", "non-dropping-particle" : "", "parse-names" : false, "suffix" : "" } ], "container-title" : "Jpn Circ J.", "id" : "ITEM-1", "issue" : "September", "issued" : { "date-parts" : [ [ "2001" ] ] }, "page" : "793-796", "title" : "Determination of coronary zero flow pressure by analysis of the baseline pressure \u2013 flow relationship in humans", "type" : "article-journal", "volume" : "65 (9)" }, "uris" : [ "http://www.mendeley.com/documents/?uuid=a75b7097-bd1c-4cdb-9ccb-7b11f9639d36" ] } ], "mendeley" : { "formattedCitation" : "[13]", "plainTextFormattedCitation" : "[13]", "previouslyFormattedCitation" : "[13]" }, "properties" : { "noteIndex" : 0 }, "schema" : "https://github.com/citation-style-language/schema/raw/master/csl-citation.json" }</w:instrText>
      </w:r>
      <w:r w:rsidRPr="00A83CDD">
        <w:rPr>
          <w:rFonts w:ascii="Times New Roman" w:eastAsia="SimSun" w:hAnsi="Times New Roman" w:cs="Times New Roman"/>
          <w:sz w:val="24"/>
          <w:szCs w:val="24"/>
        </w:rPr>
        <w:fldChar w:fldCharType="separate"/>
      </w:r>
      <w:r w:rsidR="005C7DCF" w:rsidRPr="005C7DCF">
        <w:rPr>
          <w:rFonts w:ascii="Times New Roman" w:eastAsia="SimSun" w:hAnsi="Times New Roman" w:cs="Times New Roman"/>
          <w:noProof/>
          <w:sz w:val="24"/>
          <w:szCs w:val="24"/>
        </w:rPr>
        <w:t>[13]</w:t>
      </w:r>
      <w:r w:rsidRPr="00A83CDD">
        <w:rPr>
          <w:rFonts w:ascii="Times New Roman" w:eastAsia="SimSun" w:hAnsi="Times New Roman" w:cs="Times New Roman"/>
          <w:sz w:val="24"/>
          <w:szCs w:val="24"/>
        </w:rPr>
        <w:fldChar w:fldCharType="end"/>
      </w:r>
      <w:r w:rsidRPr="00A83CDD">
        <w:rPr>
          <w:rFonts w:ascii="Times New Roman" w:eastAsia="SimSun" w:hAnsi="Times New Roman" w:cs="Times New Roman"/>
          <w:sz w:val="24"/>
          <w:szCs w:val="24"/>
        </w:rPr>
        <w:t xml:space="preserve"> for 15 subjects respectively at </w:t>
      </w:r>
      <w:proofErr w:type="spellStart"/>
      <w:r w:rsidRPr="00A83CDD">
        <w:rPr>
          <w:rFonts w:ascii="Times New Roman" w:eastAsia="SimSun" w:hAnsi="Times New Roman" w:cs="Times New Roman"/>
          <w:sz w:val="24"/>
          <w:szCs w:val="24"/>
        </w:rPr>
        <w:t>vasodilated</w:t>
      </w:r>
      <w:proofErr w:type="spellEnd"/>
      <w:r w:rsidRPr="00A83CDD">
        <w:rPr>
          <w:rFonts w:ascii="Times New Roman" w:eastAsia="SimSun" w:hAnsi="Times New Roman" w:cs="Times New Roman"/>
          <w:sz w:val="24"/>
          <w:szCs w:val="24"/>
        </w:rPr>
        <w:t xml:space="preserve"> state. A no-slip boundary condition was imposed on the vessel wall.</w:t>
      </w:r>
    </w:p>
    <w:p w:rsidR="00364C00" w:rsidRDefault="00364C00" w:rsidP="00A83CDD">
      <w:pPr>
        <w:rPr>
          <w:rFonts w:ascii="Times New Roman" w:eastAsia="SimSun" w:hAnsi="Times New Roman" w:cs="Times New Roman"/>
          <w:b/>
          <w:kern w:val="32"/>
          <w:sz w:val="28"/>
          <w:szCs w:val="28"/>
          <w:lang w:eastAsia="en-US"/>
        </w:rPr>
      </w:pPr>
    </w:p>
    <w:p w:rsidR="00A83CDD" w:rsidRDefault="00364C00" w:rsidP="00A83CDD">
      <w:pPr>
        <w:rPr>
          <w:rFonts w:ascii="Times New Roman" w:eastAsia="SimSun" w:hAnsi="Times New Roman" w:cs="Times New Roman"/>
          <w:b/>
          <w:kern w:val="32"/>
          <w:sz w:val="28"/>
          <w:szCs w:val="28"/>
          <w:lang w:eastAsia="en-US"/>
        </w:rPr>
      </w:pPr>
      <w:r>
        <w:rPr>
          <w:rFonts w:ascii="Times New Roman" w:eastAsia="SimSun" w:hAnsi="Times New Roman" w:cs="Times New Roman"/>
          <w:b/>
          <w:kern w:val="32"/>
          <w:sz w:val="28"/>
          <w:szCs w:val="28"/>
          <w:lang w:eastAsia="en-US"/>
        </w:rPr>
        <w:t>References</w:t>
      </w:r>
    </w:p>
    <w:p w:rsidR="005C7DCF" w:rsidRPr="005C7DCF" w:rsidRDefault="005C7DCF">
      <w:pPr>
        <w:pStyle w:val="NormalWeb"/>
        <w:ind w:left="640" w:hanging="640"/>
        <w:divId w:val="1828008680"/>
        <w:rPr>
          <w:noProof/>
        </w:rPr>
      </w:pPr>
      <w:r>
        <w:rPr>
          <w:rFonts w:eastAsia="SimSun"/>
          <w:b/>
          <w:kern w:val="32"/>
          <w:sz w:val="28"/>
          <w:szCs w:val="28"/>
          <w:lang w:eastAsia="en-US"/>
        </w:rPr>
        <w:fldChar w:fldCharType="begin" w:fldLock="1"/>
      </w:r>
      <w:r>
        <w:rPr>
          <w:rFonts w:eastAsia="SimSun"/>
          <w:b/>
          <w:kern w:val="32"/>
          <w:sz w:val="28"/>
          <w:szCs w:val="28"/>
          <w:lang w:eastAsia="en-US"/>
        </w:rPr>
        <w:instrText xml:space="preserve">ADDIN Mendeley Bibliography CSL_BIBLIOGRAPHY </w:instrText>
      </w:r>
      <w:r>
        <w:rPr>
          <w:rFonts w:eastAsia="SimSun"/>
          <w:b/>
          <w:kern w:val="32"/>
          <w:sz w:val="28"/>
          <w:szCs w:val="28"/>
          <w:lang w:eastAsia="en-US"/>
        </w:rPr>
        <w:fldChar w:fldCharType="separate"/>
      </w:r>
      <w:r w:rsidRPr="005C7DCF">
        <w:rPr>
          <w:noProof/>
          <w:sz w:val="28"/>
        </w:rPr>
        <w:t xml:space="preserve">1. </w:t>
      </w:r>
      <w:r w:rsidRPr="005C7DCF">
        <w:rPr>
          <w:noProof/>
          <w:sz w:val="28"/>
        </w:rPr>
        <w:tab/>
      </w:r>
      <w:r w:rsidRPr="005C7DCF">
        <w:rPr>
          <w:noProof/>
        </w:rPr>
        <w:t>Huo Y, Wischgoll T, Kassab GS. Flow patterns in three-dimensional porcine epicardial coronary arterial tree. Am J Physiol Heart Circ Physiol. 2007;293: H2959–H2970. doi:10.1152/ajpheart.00586.2007</w:t>
      </w:r>
      <w:bookmarkStart w:id="0" w:name="_GoBack"/>
      <w:bookmarkEnd w:id="0"/>
    </w:p>
    <w:p w:rsidR="005C7DCF" w:rsidRPr="005C7DCF" w:rsidRDefault="005C7DCF">
      <w:pPr>
        <w:pStyle w:val="NormalWeb"/>
        <w:ind w:left="640" w:hanging="640"/>
        <w:divId w:val="1828008680"/>
        <w:rPr>
          <w:noProof/>
        </w:rPr>
      </w:pPr>
      <w:r w:rsidRPr="005C7DCF">
        <w:rPr>
          <w:noProof/>
        </w:rPr>
        <w:t xml:space="preserve">2. </w:t>
      </w:r>
      <w:r w:rsidRPr="005C7DCF">
        <w:rPr>
          <w:noProof/>
        </w:rPr>
        <w:tab/>
        <w:t>Zhang JM, Chua LP, Ghista DN, Yu SCM, Tan YS. Numerical investigation and identification of susceptible sites of atherosclerotic lesion formation in a complete coronary artery bypass model. Med Biol Eng Comput. 2008;46: 689–699. doi:10.1007/s11517-008-0320-4</w:t>
      </w:r>
    </w:p>
    <w:p w:rsidR="005C7DCF" w:rsidRPr="005C7DCF" w:rsidRDefault="005C7DCF">
      <w:pPr>
        <w:pStyle w:val="NormalWeb"/>
        <w:ind w:left="640" w:hanging="640"/>
        <w:divId w:val="1828008680"/>
        <w:rPr>
          <w:noProof/>
        </w:rPr>
      </w:pPr>
      <w:r w:rsidRPr="005C7DCF">
        <w:rPr>
          <w:noProof/>
        </w:rPr>
        <w:t xml:space="preserve">3. </w:t>
      </w:r>
      <w:r w:rsidRPr="005C7DCF">
        <w:rPr>
          <w:noProof/>
        </w:rPr>
        <w:tab/>
        <w:t>Klocke FJ, Weinstein IR, Klocke JF, Ellis AK, Kraus DR, Mates RE, et al. Zero-flow pressures and pressure-flow relationships during single long diastoles in the canine coronary bed before and during maximum vasodilation. Limited influence of capacitive effects. J Clin Invest. 1981;68: 970–980. doi:10.1172/JCI110351</w:t>
      </w:r>
    </w:p>
    <w:p w:rsidR="005C7DCF" w:rsidRPr="005C7DCF" w:rsidRDefault="005C7DCF">
      <w:pPr>
        <w:pStyle w:val="NormalWeb"/>
        <w:ind w:left="640" w:hanging="640"/>
        <w:divId w:val="1828008680"/>
        <w:rPr>
          <w:noProof/>
        </w:rPr>
      </w:pPr>
      <w:r w:rsidRPr="005C7DCF">
        <w:rPr>
          <w:noProof/>
        </w:rPr>
        <w:t xml:space="preserve">4. </w:t>
      </w:r>
      <w:r w:rsidRPr="005C7DCF">
        <w:rPr>
          <w:noProof/>
        </w:rPr>
        <w:tab/>
        <w:t>Spaan JAE, Piek JJ, Hoffman JIE, Siebes M. Physiological basis of clinically used coronary hemodynamic indices. Circulation. 2006. pp. 446–455. doi:10.1161/CIRCULATIONAHA.105.587196</w:t>
      </w:r>
    </w:p>
    <w:p w:rsidR="005C7DCF" w:rsidRPr="005C7DCF" w:rsidRDefault="005C7DCF">
      <w:pPr>
        <w:pStyle w:val="NormalWeb"/>
        <w:ind w:left="640" w:hanging="640"/>
        <w:divId w:val="1828008680"/>
        <w:rPr>
          <w:noProof/>
        </w:rPr>
      </w:pPr>
      <w:r w:rsidRPr="005C7DCF">
        <w:rPr>
          <w:noProof/>
        </w:rPr>
        <w:t xml:space="preserve">5. </w:t>
      </w:r>
      <w:r w:rsidRPr="005C7DCF">
        <w:rPr>
          <w:noProof/>
        </w:rPr>
        <w:tab/>
        <w:t xml:space="preserve">Dole WP, Richards KL, Hartley CJ, Alexander GM, Campbell AB, Bishop VS. Diastolic coronary artery pressure-flow velocity relationships in conscious man. Cardiovasc Res. 1984;18(9): 548–554. </w:t>
      </w:r>
    </w:p>
    <w:p w:rsidR="005C7DCF" w:rsidRPr="005C7DCF" w:rsidRDefault="005C7DCF">
      <w:pPr>
        <w:pStyle w:val="NormalWeb"/>
        <w:ind w:left="640" w:hanging="640"/>
        <w:divId w:val="1828008680"/>
        <w:rPr>
          <w:noProof/>
        </w:rPr>
      </w:pPr>
      <w:r w:rsidRPr="005C7DCF">
        <w:rPr>
          <w:noProof/>
        </w:rPr>
        <w:t xml:space="preserve">6. </w:t>
      </w:r>
      <w:r w:rsidRPr="005C7DCF">
        <w:rPr>
          <w:noProof/>
        </w:rPr>
        <w:tab/>
        <w:t xml:space="preserve">Hamada M, Kuwahara T, Shigematsu Y, Kodama K, Hara Y, Hashida H, et al. Relation between coronary blood flow and left ventricular mass in hypertension: noninvasive quantification of coronary blood flow by thallium-201 myocardial scintigraphy. Hypertens Res. 1998;21: 227–234. </w:t>
      </w:r>
    </w:p>
    <w:p w:rsidR="005C7DCF" w:rsidRPr="005C7DCF" w:rsidRDefault="005C7DCF">
      <w:pPr>
        <w:pStyle w:val="NormalWeb"/>
        <w:ind w:left="640" w:hanging="640"/>
        <w:divId w:val="1828008680"/>
        <w:rPr>
          <w:noProof/>
        </w:rPr>
      </w:pPr>
      <w:r w:rsidRPr="005C7DCF">
        <w:rPr>
          <w:noProof/>
        </w:rPr>
        <w:lastRenderedPageBreak/>
        <w:t xml:space="preserve">7. </w:t>
      </w:r>
      <w:r w:rsidRPr="005C7DCF">
        <w:rPr>
          <w:noProof/>
        </w:rPr>
        <w:tab/>
        <w:t>Wieneke H, von Birgelen C, Haude M, Eggebrecht H, Möhlenkamp S, Schmermund A, et al. Determinants of coronary blood flow in humans: quantification by intracoronary Doppler and ultrasound. Journal of Applied Physiology. 2005. doi:10.1152/japplphysiol.00724.2004</w:t>
      </w:r>
    </w:p>
    <w:p w:rsidR="005C7DCF" w:rsidRPr="005C7DCF" w:rsidRDefault="005C7DCF">
      <w:pPr>
        <w:pStyle w:val="NormalWeb"/>
        <w:ind w:left="640" w:hanging="640"/>
        <w:divId w:val="1828008680"/>
        <w:rPr>
          <w:noProof/>
        </w:rPr>
      </w:pPr>
      <w:r w:rsidRPr="005C7DCF">
        <w:rPr>
          <w:noProof/>
        </w:rPr>
        <w:t xml:space="preserve">8. </w:t>
      </w:r>
      <w:r w:rsidRPr="005C7DCF">
        <w:rPr>
          <w:noProof/>
        </w:rPr>
        <w:tab/>
        <w:t>Zhou Y, Kassab GS, Molloi S. On the design of the coronary arterial tree: a generalization of Murray’s law. Phys Med Biol. 1999;44: 2929–2945. doi:10.1088/0031-9155/44/12/306</w:t>
      </w:r>
    </w:p>
    <w:p w:rsidR="005C7DCF" w:rsidRPr="005C7DCF" w:rsidRDefault="005C7DCF">
      <w:pPr>
        <w:pStyle w:val="NormalWeb"/>
        <w:ind w:left="640" w:hanging="640"/>
        <w:divId w:val="1828008680"/>
        <w:rPr>
          <w:noProof/>
        </w:rPr>
      </w:pPr>
      <w:r w:rsidRPr="005C7DCF">
        <w:rPr>
          <w:noProof/>
        </w:rPr>
        <w:t xml:space="preserve">9. </w:t>
      </w:r>
      <w:r w:rsidRPr="005C7DCF">
        <w:rPr>
          <w:noProof/>
        </w:rPr>
        <w:tab/>
        <w:t>Kim H, Vignon-Clementel I, Coogan J, Figueroa C, Jansen K, Taylor C. Patient-specific modeling of blood flow and pressure in human coronary arteries. Ann Biomed Eng. Springer Netherlands; 2010;38: 3195–3209. doi:10.1007/s10439-010-0083-6</w:t>
      </w:r>
    </w:p>
    <w:p w:rsidR="005C7DCF" w:rsidRPr="005C7DCF" w:rsidRDefault="005C7DCF">
      <w:pPr>
        <w:pStyle w:val="NormalWeb"/>
        <w:ind w:left="640" w:hanging="640"/>
        <w:divId w:val="1828008680"/>
        <w:rPr>
          <w:noProof/>
        </w:rPr>
      </w:pPr>
      <w:r w:rsidRPr="005C7DCF">
        <w:rPr>
          <w:noProof/>
        </w:rPr>
        <w:t xml:space="preserve">10. </w:t>
      </w:r>
      <w:r w:rsidRPr="005C7DCF">
        <w:rPr>
          <w:noProof/>
        </w:rPr>
        <w:tab/>
        <w:t>Wilson RF, Wyche K, Christensen BV, Zimmer S LD. Effects of adenosine on human coronary arterial circulation. Circulation. 1990;82: 1595–1606. doi:10.1161/01.CIR.82.5.1595</w:t>
      </w:r>
    </w:p>
    <w:p w:rsidR="005C7DCF" w:rsidRPr="005C7DCF" w:rsidRDefault="005C7DCF">
      <w:pPr>
        <w:pStyle w:val="NormalWeb"/>
        <w:ind w:left="640" w:hanging="640"/>
        <w:divId w:val="1828008680"/>
        <w:rPr>
          <w:noProof/>
        </w:rPr>
      </w:pPr>
      <w:r w:rsidRPr="005C7DCF">
        <w:rPr>
          <w:noProof/>
        </w:rPr>
        <w:t xml:space="preserve">11. </w:t>
      </w:r>
      <w:r w:rsidRPr="005C7DCF">
        <w:rPr>
          <w:noProof/>
        </w:rPr>
        <w:tab/>
        <w:t>Aarnoudse W, Fearon WF, Manoharan G, Geven M, Van De Vosse F, Rutten M, et al. Epicardial stenosis severity does not affect minimal microcirculatory resistance. Circulation. 2004;110: 2137–2142. doi:10.1161/01.CIR.0000143893.18451.0E</w:t>
      </w:r>
    </w:p>
    <w:p w:rsidR="005C7DCF" w:rsidRPr="005C7DCF" w:rsidRDefault="005C7DCF">
      <w:pPr>
        <w:pStyle w:val="NormalWeb"/>
        <w:ind w:left="640" w:hanging="640"/>
        <w:divId w:val="1828008680"/>
        <w:rPr>
          <w:noProof/>
        </w:rPr>
      </w:pPr>
      <w:r w:rsidRPr="005C7DCF">
        <w:rPr>
          <w:noProof/>
        </w:rPr>
        <w:t xml:space="preserve">12. </w:t>
      </w:r>
      <w:r w:rsidRPr="005C7DCF">
        <w:rPr>
          <w:noProof/>
        </w:rPr>
        <w:tab/>
        <w:t>Taylor CA, Fonte TA, Min JK, City R, Angeles L. Computational fluid dynamics applied to cardiac computed tomography for noninvasive quantification of fractional flow reserve: scientific basis. J Am Coll Cardiol. 2013;61: 2233–2241. doi:10.1016/j.jacc.2012.11.083</w:t>
      </w:r>
    </w:p>
    <w:p w:rsidR="005C7DCF" w:rsidRPr="005C7DCF" w:rsidRDefault="005C7DCF">
      <w:pPr>
        <w:pStyle w:val="NormalWeb"/>
        <w:ind w:left="640" w:hanging="640"/>
        <w:divId w:val="1828008680"/>
        <w:rPr>
          <w:noProof/>
        </w:rPr>
      </w:pPr>
      <w:r w:rsidRPr="005C7DCF">
        <w:rPr>
          <w:noProof/>
        </w:rPr>
        <w:t xml:space="preserve">13. </w:t>
      </w:r>
      <w:r w:rsidRPr="005C7DCF">
        <w:rPr>
          <w:noProof/>
        </w:rPr>
        <w:tab/>
        <w:t xml:space="preserve">Nanto S, Masuyama T, Takano Y. Determination of coronary zero flow pressure by analysis of the baseline pressure – flow relationship in humans. Jpn Circ J. 2001;65 (9): 793–796. </w:t>
      </w:r>
    </w:p>
    <w:p w:rsidR="00364C00" w:rsidRPr="00364C00" w:rsidRDefault="005C7DCF" w:rsidP="005C7DCF">
      <w:pPr>
        <w:rPr>
          <w:rFonts w:ascii="Calibri" w:eastAsia="SimSun" w:hAnsi="Calibri" w:cs="Times New Roman"/>
          <w:noProof/>
        </w:rPr>
      </w:pPr>
      <w:r>
        <w:rPr>
          <w:rFonts w:ascii="Times New Roman" w:eastAsia="SimSun" w:hAnsi="Times New Roman" w:cs="Times New Roman"/>
          <w:b/>
          <w:kern w:val="32"/>
          <w:sz w:val="28"/>
          <w:szCs w:val="28"/>
          <w:lang w:eastAsia="en-US"/>
        </w:rPr>
        <w:fldChar w:fldCharType="end"/>
      </w:r>
    </w:p>
    <w:p w:rsidR="00364C00" w:rsidRPr="00364C00" w:rsidRDefault="00364C00" w:rsidP="00A83CDD">
      <w:pPr>
        <w:rPr>
          <w:rFonts w:ascii="Times New Roman" w:eastAsia="SimSun" w:hAnsi="Times New Roman" w:cs="Times New Roman"/>
          <w:b/>
          <w:kern w:val="32"/>
          <w:sz w:val="28"/>
          <w:szCs w:val="28"/>
          <w:lang w:eastAsia="en-US"/>
        </w:rPr>
      </w:pPr>
    </w:p>
    <w:sectPr w:rsidR="00364C00" w:rsidRPr="00364C00">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27B" w:rsidRDefault="0069027B" w:rsidP="001D56E2">
      <w:pPr>
        <w:spacing w:after="0" w:line="240" w:lineRule="auto"/>
      </w:pPr>
      <w:r>
        <w:separator/>
      </w:r>
    </w:p>
  </w:endnote>
  <w:endnote w:type="continuationSeparator" w:id="0">
    <w:p w:rsidR="0069027B" w:rsidRDefault="0069027B" w:rsidP="001D5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922704"/>
      <w:docPartObj>
        <w:docPartGallery w:val="Page Numbers (Bottom of Page)"/>
        <w:docPartUnique/>
      </w:docPartObj>
    </w:sdtPr>
    <w:sdtEndPr>
      <w:rPr>
        <w:noProof/>
      </w:rPr>
    </w:sdtEndPr>
    <w:sdtContent>
      <w:p w:rsidR="001D56E2" w:rsidRDefault="001D56E2">
        <w:pPr>
          <w:pStyle w:val="Footer"/>
          <w:jc w:val="right"/>
        </w:pPr>
        <w:r>
          <w:fldChar w:fldCharType="begin"/>
        </w:r>
        <w:r>
          <w:instrText xml:space="preserve"> PAGE   \* MERGEFORMAT </w:instrText>
        </w:r>
        <w:r>
          <w:fldChar w:fldCharType="separate"/>
        </w:r>
        <w:r w:rsidR="005C7DCF">
          <w:rPr>
            <w:noProof/>
          </w:rPr>
          <w:t>1</w:t>
        </w:r>
        <w:r>
          <w:rPr>
            <w:noProof/>
          </w:rPr>
          <w:fldChar w:fldCharType="end"/>
        </w:r>
      </w:p>
    </w:sdtContent>
  </w:sdt>
  <w:p w:rsidR="001D56E2" w:rsidRDefault="001D56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27B" w:rsidRDefault="0069027B" w:rsidP="001D56E2">
      <w:pPr>
        <w:spacing w:after="0" w:line="240" w:lineRule="auto"/>
      </w:pPr>
      <w:r>
        <w:separator/>
      </w:r>
    </w:p>
  </w:footnote>
  <w:footnote w:type="continuationSeparator" w:id="0">
    <w:p w:rsidR="0069027B" w:rsidRDefault="0069027B" w:rsidP="001D56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CDD"/>
    <w:rsid w:val="0004696B"/>
    <w:rsid w:val="0005265F"/>
    <w:rsid w:val="00090711"/>
    <w:rsid w:val="000B5090"/>
    <w:rsid w:val="000E05BE"/>
    <w:rsid w:val="001164AE"/>
    <w:rsid w:val="001459E7"/>
    <w:rsid w:val="001971D7"/>
    <w:rsid w:val="001A6831"/>
    <w:rsid w:val="001D56E2"/>
    <w:rsid w:val="0020290A"/>
    <w:rsid w:val="00231F49"/>
    <w:rsid w:val="00247F47"/>
    <w:rsid w:val="00251884"/>
    <w:rsid w:val="00271E2A"/>
    <w:rsid w:val="002F31E9"/>
    <w:rsid w:val="003168CD"/>
    <w:rsid w:val="003203C2"/>
    <w:rsid w:val="00333176"/>
    <w:rsid w:val="00364C00"/>
    <w:rsid w:val="003811EC"/>
    <w:rsid w:val="00394122"/>
    <w:rsid w:val="003A6098"/>
    <w:rsid w:val="003D7E99"/>
    <w:rsid w:val="00454639"/>
    <w:rsid w:val="00477705"/>
    <w:rsid w:val="00497766"/>
    <w:rsid w:val="004C3D70"/>
    <w:rsid w:val="004C50F2"/>
    <w:rsid w:val="004D4992"/>
    <w:rsid w:val="004E59F6"/>
    <w:rsid w:val="004F1B70"/>
    <w:rsid w:val="004F23A8"/>
    <w:rsid w:val="00543200"/>
    <w:rsid w:val="00547126"/>
    <w:rsid w:val="005614F2"/>
    <w:rsid w:val="00571A76"/>
    <w:rsid w:val="005B7A19"/>
    <w:rsid w:val="005C4B64"/>
    <w:rsid w:val="005C7DCF"/>
    <w:rsid w:val="005D7AE0"/>
    <w:rsid w:val="006401FE"/>
    <w:rsid w:val="0065499D"/>
    <w:rsid w:val="006830F0"/>
    <w:rsid w:val="0069027B"/>
    <w:rsid w:val="006A611E"/>
    <w:rsid w:val="006E567A"/>
    <w:rsid w:val="00720367"/>
    <w:rsid w:val="0073016F"/>
    <w:rsid w:val="00732B18"/>
    <w:rsid w:val="00763A55"/>
    <w:rsid w:val="007726EE"/>
    <w:rsid w:val="007753B0"/>
    <w:rsid w:val="0078648F"/>
    <w:rsid w:val="007952B7"/>
    <w:rsid w:val="00795795"/>
    <w:rsid w:val="007E751A"/>
    <w:rsid w:val="007F2100"/>
    <w:rsid w:val="007F608B"/>
    <w:rsid w:val="008202BF"/>
    <w:rsid w:val="008A3983"/>
    <w:rsid w:val="008D560D"/>
    <w:rsid w:val="008F345A"/>
    <w:rsid w:val="00971A72"/>
    <w:rsid w:val="009727FF"/>
    <w:rsid w:val="00972F32"/>
    <w:rsid w:val="009A605A"/>
    <w:rsid w:val="00A52ADB"/>
    <w:rsid w:val="00A83CDD"/>
    <w:rsid w:val="00AC1603"/>
    <w:rsid w:val="00AD5BD0"/>
    <w:rsid w:val="00B0734C"/>
    <w:rsid w:val="00B31728"/>
    <w:rsid w:val="00B40D97"/>
    <w:rsid w:val="00B41F74"/>
    <w:rsid w:val="00B8784C"/>
    <w:rsid w:val="00BE23D3"/>
    <w:rsid w:val="00BF76CA"/>
    <w:rsid w:val="00C12DE2"/>
    <w:rsid w:val="00C6338E"/>
    <w:rsid w:val="00CB0D6B"/>
    <w:rsid w:val="00CD1181"/>
    <w:rsid w:val="00CD6EF2"/>
    <w:rsid w:val="00D04567"/>
    <w:rsid w:val="00D53B29"/>
    <w:rsid w:val="00D90CFA"/>
    <w:rsid w:val="00D95465"/>
    <w:rsid w:val="00DB37DE"/>
    <w:rsid w:val="00DF4335"/>
    <w:rsid w:val="00E45D25"/>
    <w:rsid w:val="00E60BE9"/>
    <w:rsid w:val="00EB566E"/>
    <w:rsid w:val="00EC41EC"/>
    <w:rsid w:val="00EE5C44"/>
    <w:rsid w:val="00F1200E"/>
    <w:rsid w:val="00F20E47"/>
    <w:rsid w:val="00F41C84"/>
    <w:rsid w:val="00F4330B"/>
    <w:rsid w:val="00F45D27"/>
    <w:rsid w:val="00F54082"/>
    <w:rsid w:val="00F56055"/>
    <w:rsid w:val="00FC6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41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9412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5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6E2"/>
    <w:rPr>
      <w:rFonts w:ascii="Tahoma" w:hAnsi="Tahoma" w:cs="Tahoma"/>
      <w:sz w:val="16"/>
      <w:szCs w:val="16"/>
    </w:rPr>
  </w:style>
  <w:style w:type="paragraph" w:styleId="Header">
    <w:name w:val="header"/>
    <w:basedOn w:val="Normal"/>
    <w:link w:val="HeaderChar"/>
    <w:uiPriority w:val="99"/>
    <w:unhideWhenUsed/>
    <w:rsid w:val="001D5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E2"/>
  </w:style>
  <w:style w:type="paragraph" w:styleId="Footer">
    <w:name w:val="footer"/>
    <w:basedOn w:val="Normal"/>
    <w:link w:val="FooterChar"/>
    <w:uiPriority w:val="99"/>
    <w:unhideWhenUsed/>
    <w:rsid w:val="001D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E2"/>
  </w:style>
  <w:style w:type="character" w:customStyle="1" w:styleId="Heading1Char">
    <w:name w:val="Heading 1 Char"/>
    <w:basedOn w:val="DefaultParagraphFont"/>
    <w:link w:val="Heading1"/>
    <w:uiPriority w:val="9"/>
    <w:rsid w:val="003941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94122"/>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semiHidden/>
    <w:unhideWhenUsed/>
    <w:rsid w:val="005C7DCF"/>
    <w:pPr>
      <w:spacing w:before="100" w:beforeAutospacing="1" w:after="100" w:afterAutospacing="1" w:line="240" w:lineRule="auto"/>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41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9412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5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6E2"/>
    <w:rPr>
      <w:rFonts w:ascii="Tahoma" w:hAnsi="Tahoma" w:cs="Tahoma"/>
      <w:sz w:val="16"/>
      <w:szCs w:val="16"/>
    </w:rPr>
  </w:style>
  <w:style w:type="paragraph" w:styleId="Header">
    <w:name w:val="header"/>
    <w:basedOn w:val="Normal"/>
    <w:link w:val="HeaderChar"/>
    <w:uiPriority w:val="99"/>
    <w:unhideWhenUsed/>
    <w:rsid w:val="001D5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E2"/>
  </w:style>
  <w:style w:type="paragraph" w:styleId="Footer">
    <w:name w:val="footer"/>
    <w:basedOn w:val="Normal"/>
    <w:link w:val="FooterChar"/>
    <w:uiPriority w:val="99"/>
    <w:unhideWhenUsed/>
    <w:rsid w:val="001D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E2"/>
  </w:style>
  <w:style w:type="character" w:customStyle="1" w:styleId="Heading1Char">
    <w:name w:val="Heading 1 Char"/>
    <w:basedOn w:val="DefaultParagraphFont"/>
    <w:link w:val="Heading1"/>
    <w:uiPriority w:val="9"/>
    <w:rsid w:val="003941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94122"/>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semiHidden/>
    <w:unhideWhenUsed/>
    <w:rsid w:val="005C7DCF"/>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00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 Type="http://schemas.microsoft.com/office/2007/relationships/stylesWithEffects" Target="stylesWithEffect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493EDB9-A0F8-4678-9A69-0CE885E03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7366</Words>
  <Characters>41987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Singapore National Eye Centre</Company>
  <LinksUpToDate>false</LinksUpToDate>
  <CharactersWithSpaces>49255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Junmei</dc:creator>
  <cp:lastModifiedBy>Zhang Junmei</cp:lastModifiedBy>
  <cp:revision>2</cp:revision>
  <dcterms:created xsi:type="dcterms:W3CDTF">2016-05-10T01:11:00Z</dcterms:created>
  <dcterms:modified xsi:type="dcterms:W3CDTF">2016-05-10T01:11:00Z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zjmei@hotmail.com@www.mendeley.com</vt:lpwstr>
  </property>
  <property fmtid="{D5CDD505-2E9C-101B-9397-08002B2CF9AE}" pid="4" name="Mendeley Citation Style_1">
    <vt:lpwstr>http://www.zotero.org/styles/plos-one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http://www.zotero.org/styles/annual-review-of-biomedical-engineering</vt:lpwstr>
  </property>
  <property fmtid="{D5CDD505-2E9C-101B-9397-08002B2CF9AE}" pid="8" name="Mendeley Recent Style Name 1_1">
    <vt:lpwstr>Annual Review of Biomedical Engineering</vt:lpwstr>
  </property>
  <property fmtid="{D5CDD505-2E9C-101B-9397-08002B2CF9AE}" pid="9" name="Mendeley Recent Style Id 2_1">
    <vt:lpwstr>http://www.zotero.org/styles/computer-methods-in-biomechanics-and-biomedical-engineering</vt:lpwstr>
  </property>
  <property fmtid="{D5CDD505-2E9C-101B-9397-08002B2CF9AE}" pid="10" name="Mendeley Recent Style Name 2_1">
    <vt:lpwstr>Computer Methods in Biomechanics and Biomedical Engineering</vt:lpwstr>
  </property>
  <property fmtid="{D5CDD505-2E9C-101B-9397-08002B2CF9AE}" pid="11" name="Mendeley Recent Style Id 3_1">
    <vt:lpwstr>http://www.zotero.org/styles/european-heart-journal-cardiovascular-imaging</vt:lpwstr>
  </property>
  <property fmtid="{D5CDD505-2E9C-101B-9397-08002B2CF9AE}" pid="12" name="Mendeley Recent Style Name 3_1">
    <vt:lpwstr>European Heart Journal - Cardiovascular Imaging</vt:lpwstr>
  </property>
  <property fmtid="{D5CDD505-2E9C-101B-9397-08002B2CF9AE}" pid="13" name="Mendeley Recent Style Id 4_1">
    <vt:lpwstr>http://www.zotero.org/styles/journal-of-biomechanics</vt:lpwstr>
  </property>
  <property fmtid="{D5CDD505-2E9C-101B-9397-08002B2CF9AE}" pid="14" name="Mendeley Recent Style Name 4_1">
    <vt:lpwstr>Journal of Biomechanics</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7th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http://www.zotero.org/styles/the-annals-of-thoracic-surgery</vt:lpwstr>
  </property>
  <property fmtid="{D5CDD505-2E9C-101B-9397-08002B2CF9AE}" pid="24" name="Mendeley Recent Style Name 9_1">
    <vt:lpwstr>The Annals of Thoracic Surgery</vt:lpwstr>
  </property>
</Properties>
</file>