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3CDD" w:rsidRDefault="001D56E2" w:rsidP="00721FB3">
      <w:pPr>
        <w:pStyle w:val="Heading1"/>
        <w:rPr>
          <w:rFonts w:ascii="Times New Roman" w:hAnsi="Times New Roman" w:cs="Times New Roman"/>
          <w:color w:val="auto"/>
          <w:sz w:val="36"/>
          <w:szCs w:val="36"/>
          <w:lang w:eastAsia="en-US"/>
        </w:rPr>
      </w:pPr>
      <w:r w:rsidRPr="00721FB3">
        <w:rPr>
          <w:rFonts w:ascii="Times New Roman" w:hAnsi="Times New Roman" w:cs="Times New Roman"/>
          <w:color w:val="auto"/>
          <w:sz w:val="36"/>
          <w:szCs w:val="36"/>
          <w:lang w:eastAsia="en-US"/>
        </w:rPr>
        <w:t xml:space="preserve">S2 </w:t>
      </w:r>
      <w:r w:rsidR="00A83CDD" w:rsidRPr="00721FB3">
        <w:rPr>
          <w:rFonts w:ascii="Times New Roman" w:hAnsi="Times New Roman" w:cs="Times New Roman"/>
          <w:color w:val="auto"/>
          <w:sz w:val="36"/>
          <w:szCs w:val="36"/>
          <w:lang w:eastAsia="en-US"/>
        </w:rPr>
        <w:t>A</w:t>
      </w:r>
      <w:r w:rsidRPr="00721FB3">
        <w:rPr>
          <w:rFonts w:ascii="Times New Roman" w:hAnsi="Times New Roman" w:cs="Times New Roman"/>
          <w:color w:val="auto"/>
          <w:sz w:val="36"/>
          <w:szCs w:val="36"/>
          <w:lang w:eastAsia="en-US"/>
        </w:rPr>
        <w:t>ppendix</w:t>
      </w:r>
    </w:p>
    <w:p w:rsidR="00721FB3" w:rsidRPr="00721FB3" w:rsidRDefault="00721FB3" w:rsidP="00721FB3">
      <w:pPr>
        <w:rPr>
          <w:lang w:eastAsia="en-US"/>
        </w:rPr>
      </w:pPr>
    </w:p>
    <w:p w:rsidR="00A83CDD" w:rsidRPr="00A83CDD" w:rsidRDefault="00A83CDD" w:rsidP="00A83CDD">
      <w:pPr>
        <w:spacing w:after="0" w:line="360" w:lineRule="auto"/>
        <w:jc w:val="both"/>
        <w:rPr>
          <w:rFonts w:ascii="Times New Roman" w:eastAsia="SimSun" w:hAnsi="Times New Roman" w:cs="Times New Roman"/>
          <w:sz w:val="24"/>
          <w:szCs w:val="24"/>
        </w:rPr>
      </w:pPr>
      <w:r w:rsidRPr="00A83CDD">
        <w:rPr>
          <w:rFonts w:ascii="Times New Roman" w:eastAsia="SimSun" w:hAnsi="Times New Roman" w:cs="Times New Roman"/>
          <w:sz w:val="24"/>
          <w:szCs w:val="24"/>
        </w:rPr>
        <w:t xml:space="preserve">We used an analytical model </w:t>
      </w:r>
      <w:r w:rsidRPr="00A83CDD">
        <w:rPr>
          <w:rFonts w:ascii="Times New Roman" w:eastAsia="SimSun" w:hAnsi="Times New Roman" w:cs="Times New Roman"/>
          <w:sz w:val="24"/>
          <w:szCs w:val="24"/>
        </w:rPr>
        <w:fldChar w:fldCharType="begin" w:fldLock="1"/>
      </w:r>
      <w:r w:rsidRPr="00A83CDD">
        <w:rPr>
          <w:rFonts w:ascii="Times New Roman" w:eastAsia="SimSun" w:hAnsi="Times New Roman" w:cs="Times New Roman"/>
          <w:sz w:val="24"/>
          <w:szCs w:val="24"/>
        </w:rPr>
        <w:instrText>ADDIN CSL_CITATION { "citationItems" : [ { "id" : "ITEM-1", "itemData" : { "DOI" : "10.1098/rsif.2011.0605", "ISSN" : "1742-5689", "PMID" : "22112650", "abstract" : "Myocardial fractional flow reserve (FFR), an important index of coronary stenosis, is measured by a pressure sensor guidewire. The determination of FFR, only based on the dimensions (lumen diameters and length) of stenosis and hyperaemic coronary flow with no other ad hoc parameters, is currently not possible. We propose an analytical model derived from conservation of energy, which considers various energy losses along the length of a stenosis, i.e. convective and diffusive energy losses as well as energy loss due to sudden constriction and expansion in lumen area. In vitro (constrictions were created in isolated arteries using symmetric and asymmetric tubes as well as an inflatable occluder cuff) and in vivo (constrictions were induced in coronary arteries of eight swine by an occluder cuff) experiments were used to validate the proposed analytical model. The proposed model agreed well with the experimental measurements. A least-squares fit showed a linear relation as (\u0394p or FFR)(experiment) = a(\u0394p or FFR)(theory) + b, where a and b were 1.08 and -1.15 mmHg (r(2) = 0.99) for in vitro \u0394p, 0.96 and 1.79 mmHg (r(2) = 0.75) for in vivo \u0394p, and 0.85 and 0.1 (r(2) = 0.7) for FFR. Flow pulsatility and stenosis shape (e.g. eccentricity, exit angle divergence, etc.) had a negligible effect on myocardial FFR, while the entrance effect in a coronary stenosis was found to contribute significantly to the pressure drop. We present a physics-based experimentally validated analytical model of coronary stenosis, which allows prediction of FFR based on stenosis dimensions and hyperaemic coronary flow with no empirical parameters.", "author" : [ { "dropping-particle" : "", "family" : "Huo", "given" : "Yunlong", "non-dropping-particle" : "", "parse-names" : false, "suffix" : "" }, { "dropping-particle" : "", "family" : "Svendsen", "given" : "Mark", "non-dropping-particle" : "", "parse-names" : false, "suffix" : "" }, { "dropping-particle" : "", "family" : "Choy", "given" : "Jenny Susana", "non-dropping-particle" : "", "parse-names" : false, "suffix" : "" }, { "dropping-particle" : "", "family" : "Zhang", "given" : "Z.- D.", "non-dropping-particle" : "", "parse-names" : false, "suffix" : "" }, { "dropping-particle" : "", "family" : "Kassab", "given" : "Ghassan S", "non-dropping-particle" : "", "parse-names" : false, "suffix" : "" } ], "container-title" : "Journal of The Royal Society Interface", "id" : "ITEM-1", "issue" : "71", "issued" : { "date-parts" : [ [ "2012" ] ] }, "page" : "1325-1338", "title" : "A validated predictive model of coronary fractional flow reserve", "type" : "article", "volume" : "9" }, "uris" : [ "http://www.mendeley.com/documents/?uuid=e0d473a9-00f3-4034-bf44-8ef394e8a6de" ] } ], "mendeley" : { "formattedCitation" : "[23]", "plainTextFormattedCitation" : "[23]", "previouslyFormattedCitation" : "[23]" }, "properties" : { "noteIndex" : 0 }, "schema" : "https://github.com/citation-style-language/schema/raw/master/csl-citation.json" }</w:instrText>
      </w:r>
      <w:r w:rsidRPr="00A83CDD">
        <w:rPr>
          <w:rFonts w:ascii="Times New Roman" w:eastAsia="SimSun" w:hAnsi="Times New Roman" w:cs="Times New Roman"/>
          <w:sz w:val="24"/>
          <w:szCs w:val="24"/>
        </w:rPr>
        <w:fldChar w:fldCharType="separate"/>
      </w:r>
      <w:r w:rsidRPr="00A83CDD">
        <w:rPr>
          <w:rFonts w:ascii="Times New Roman" w:eastAsia="SimSun" w:hAnsi="Times New Roman" w:cs="Times New Roman"/>
          <w:noProof/>
          <w:sz w:val="24"/>
          <w:szCs w:val="24"/>
        </w:rPr>
        <w:t>[23]</w:t>
      </w:r>
      <w:r w:rsidRPr="00A83CDD">
        <w:rPr>
          <w:rFonts w:ascii="Times New Roman" w:eastAsia="SimSun" w:hAnsi="Times New Roman" w:cs="Times New Roman"/>
          <w:sz w:val="24"/>
          <w:szCs w:val="24"/>
        </w:rPr>
        <w:fldChar w:fldCharType="end"/>
      </w:r>
      <w:r w:rsidRPr="00A83CDD">
        <w:rPr>
          <w:rFonts w:ascii="Times New Roman" w:eastAsia="SimSun" w:hAnsi="Times New Roman" w:cs="Times New Roman"/>
          <w:sz w:val="24"/>
          <w:szCs w:val="24"/>
        </w:rPr>
        <w:t xml:space="preserve"> to predict the pressure drop over a stenosis (∆P</w:t>
      </w:r>
      <w:r w:rsidRPr="00A83CDD">
        <w:rPr>
          <w:rFonts w:ascii="Times New Roman" w:eastAsia="SimSun" w:hAnsi="Times New Roman" w:cs="Times New Roman"/>
          <w:sz w:val="24"/>
          <w:szCs w:val="24"/>
          <w:vertAlign w:val="subscript"/>
        </w:rPr>
        <w:t>1</w:t>
      </w:r>
      <w:r w:rsidRPr="00A83CDD">
        <w:rPr>
          <w:rFonts w:ascii="Times New Roman" w:eastAsia="SimSun" w:hAnsi="Times New Roman" w:cs="Times New Roman"/>
          <w:sz w:val="24"/>
          <w:szCs w:val="24"/>
        </w:rPr>
        <w:t xml:space="preserve">). As longer stenosis led to larger pressure drop due to entrance effect, a dimensionless radius of </w:t>
      </w:r>
      <w:proofErr w:type="spellStart"/>
      <w:r w:rsidRPr="00A83CDD">
        <w:rPr>
          <w:rFonts w:ascii="Times New Roman" w:eastAsia="SimSun" w:hAnsi="Times New Roman" w:cs="Times New Roman"/>
          <w:sz w:val="24"/>
          <w:szCs w:val="24"/>
        </w:rPr>
        <w:t>inviscid</w:t>
      </w:r>
      <w:proofErr w:type="spellEnd"/>
      <w:r w:rsidRPr="00A83CDD">
        <w:rPr>
          <w:rFonts w:ascii="Times New Roman" w:eastAsia="SimSun" w:hAnsi="Times New Roman" w:cs="Times New Roman"/>
          <w:sz w:val="24"/>
          <w:szCs w:val="24"/>
        </w:rPr>
        <w:t xml:space="preserve"> core (γ) was first solved with Eq. B1 to determine whether to include the entrance effect as:</w:t>
      </w:r>
    </w:p>
    <w:p w:rsidR="00A83CDD" w:rsidRPr="00A83CDD" w:rsidRDefault="00A83CDD" w:rsidP="00A83CDD">
      <w:pPr>
        <w:spacing w:after="0" w:line="360" w:lineRule="auto"/>
        <w:ind w:firstLine="288"/>
        <w:jc w:val="right"/>
        <w:rPr>
          <w:rFonts w:ascii="Times New Roman" w:eastAsia="SimSun" w:hAnsi="Times New Roman" w:cs="Times New Roman"/>
          <w:sz w:val="24"/>
          <w:szCs w:val="24"/>
        </w:rPr>
      </w:pPr>
      <w:r w:rsidRPr="00A83CDD">
        <w:rPr>
          <w:rFonts w:ascii="Times New Roman" w:eastAsia="SimSun" w:hAnsi="Times New Roman" w:cs="Times New Roman"/>
          <w:position w:val="-34"/>
          <w:sz w:val="24"/>
          <w:szCs w:val="24"/>
        </w:rPr>
        <w:object w:dxaOrig="4520" w:dyaOrig="7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3.5pt;height:35.25pt" o:ole="">
            <v:imagedata r:id="rId7" o:title=""/>
          </v:shape>
          <o:OLEObject Type="Embed" ProgID="Equation.3" ShapeID="_x0000_i1025" DrawAspect="Content" ObjectID="_1523774495" r:id="rId8"/>
        </w:object>
      </w:r>
      <w:r w:rsidRPr="00A83CDD">
        <w:rPr>
          <w:rFonts w:ascii="Times New Roman" w:eastAsia="SimSun" w:hAnsi="Times New Roman" w:cs="Times New Roman"/>
          <w:sz w:val="24"/>
          <w:szCs w:val="24"/>
        </w:rPr>
        <w:t xml:space="preserve">                                      (B1)</w:t>
      </w:r>
    </w:p>
    <w:p w:rsidR="00A83CDD" w:rsidRPr="00A83CDD" w:rsidRDefault="00A83CDD" w:rsidP="00A83CDD">
      <w:pPr>
        <w:spacing w:after="0" w:line="360" w:lineRule="auto"/>
        <w:jc w:val="both"/>
        <w:rPr>
          <w:rFonts w:ascii="Times New Roman" w:eastAsia="SimSun" w:hAnsi="Times New Roman" w:cs="Times New Roman"/>
          <w:sz w:val="24"/>
          <w:szCs w:val="24"/>
        </w:rPr>
      </w:pPr>
      <w:r w:rsidRPr="00A83CDD">
        <w:rPr>
          <w:rFonts w:ascii="Times New Roman" w:eastAsia="SimSun" w:hAnsi="Times New Roman" w:cs="Times New Roman"/>
          <w:i/>
          <w:sz w:val="24"/>
          <w:szCs w:val="24"/>
        </w:rPr>
        <w:t>L</w:t>
      </w:r>
      <w:r w:rsidRPr="00A83CDD">
        <w:rPr>
          <w:rFonts w:ascii="Times New Roman" w:eastAsia="SimSun" w:hAnsi="Times New Roman" w:cs="Times New Roman"/>
          <w:sz w:val="24"/>
          <w:szCs w:val="24"/>
          <w:vertAlign w:val="subscript"/>
        </w:rPr>
        <w:t xml:space="preserve"> </w:t>
      </w:r>
      <w:r w:rsidRPr="00A83CDD">
        <w:rPr>
          <w:rFonts w:ascii="Times New Roman" w:eastAsia="SimSun" w:hAnsi="Times New Roman" w:cs="Times New Roman"/>
          <w:sz w:val="24"/>
          <w:szCs w:val="24"/>
        </w:rPr>
        <w:t xml:space="preserve">and </w:t>
      </w:r>
      <w:r w:rsidRPr="00A83CDD">
        <w:rPr>
          <w:rFonts w:ascii="Times New Roman" w:eastAsia="SimSun" w:hAnsi="Times New Roman" w:cs="Times New Roman"/>
          <w:i/>
          <w:sz w:val="24"/>
          <w:szCs w:val="24"/>
        </w:rPr>
        <w:t>Q</w:t>
      </w:r>
      <w:r w:rsidRPr="00A83CDD">
        <w:rPr>
          <w:rFonts w:ascii="Times New Roman" w:eastAsia="SimSun" w:hAnsi="Times New Roman" w:cs="Times New Roman"/>
          <w:sz w:val="24"/>
          <w:szCs w:val="24"/>
        </w:rPr>
        <w:t xml:space="preserve"> represented the stenosis length and flow rate, respectively. </w:t>
      </w:r>
      <w:proofErr w:type="gramStart"/>
      <w:r w:rsidRPr="00A83CDD">
        <w:rPr>
          <w:rFonts w:ascii="Times New Roman" w:eastAsia="SimSun" w:hAnsi="Times New Roman" w:cs="Times New Roman"/>
          <w:i/>
          <w:sz w:val="24"/>
          <w:szCs w:val="24"/>
        </w:rPr>
        <w:t>μ</w:t>
      </w:r>
      <w:proofErr w:type="gramEnd"/>
      <w:r w:rsidRPr="00A83CDD">
        <w:rPr>
          <w:rFonts w:ascii="Times New Roman" w:eastAsia="SimSun" w:hAnsi="Times New Roman" w:cs="Times New Roman"/>
          <w:sz w:val="24"/>
          <w:szCs w:val="24"/>
        </w:rPr>
        <w:t xml:space="preserve"> and </w:t>
      </w:r>
      <w:r w:rsidRPr="00A83CDD">
        <w:rPr>
          <w:rFonts w:ascii="Times New Roman" w:eastAsia="SimSun" w:hAnsi="Times New Roman" w:cs="Times New Roman"/>
          <w:i/>
          <w:sz w:val="24"/>
          <w:szCs w:val="24"/>
        </w:rPr>
        <w:t>ρ</w:t>
      </w:r>
      <w:r w:rsidRPr="00A83CDD">
        <w:rPr>
          <w:rFonts w:ascii="Times New Roman" w:eastAsia="SimSun" w:hAnsi="Times New Roman" w:cs="Times New Roman"/>
          <w:sz w:val="24"/>
          <w:szCs w:val="24"/>
        </w:rPr>
        <w:t xml:space="preserve"> were the viscosity and density of the blood.  </w:t>
      </w:r>
    </w:p>
    <w:p w:rsidR="00A83CDD" w:rsidRPr="00A83CDD" w:rsidRDefault="00A83CDD" w:rsidP="00A83CDD">
      <w:pPr>
        <w:spacing w:after="0" w:line="360" w:lineRule="auto"/>
        <w:ind w:firstLine="288"/>
        <w:jc w:val="both"/>
        <w:rPr>
          <w:rFonts w:ascii="Times New Roman" w:eastAsia="SimSun" w:hAnsi="Times New Roman" w:cs="Times New Roman"/>
          <w:sz w:val="24"/>
          <w:szCs w:val="24"/>
        </w:rPr>
      </w:pPr>
      <w:r w:rsidRPr="00A83CDD">
        <w:rPr>
          <w:rFonts w:ascii="Times New Roman" w:eastAsia="SimSun" w:hAnsi="Times New Roman" w:cs="Times New Roman"/>
          <w:sz w:val="24"/>
          <w:szCs w:val="24"/>
        </w:rPr>
        <w:t xml:space="preserve">If γ≥0.05, the stenosis length was short and the entrance effect can be ignored. Therefore, the pressure drop in a vessel with a single stenosis can be calculated as follows: </w:t>
      </w:r>
    </w:p>
    <w:p w:rsidR="00A83CDD" w:rsidRPr="00A83CDD" w:rsidRDefault="00A83CDD" w:rsidP="00A83CDD">
      <w:pPr>
        <w:spacing w:after="0" w:line="360" w:lineRule="auto"/>
        <w:ind w:firstLine="288"/>
        <w:jc w:val="right"/>
        <w:rPr>
          <w:rFonts w:ascii="Times New Roman" w:eastAsia="SimSun" w:hAnsi="Times New Roman" w:cs="Times New Roman"/>
          <w:sz w:val="24"/>
          <w:szCs w:val="24"/>
        </w:rPr>
      </w:pPr>
      <w:r w:rsidRPr="00A83CDD">
        <w:rPr>
          <w:rFonts w:ascii="Times New Roman" w:eastAsia="SimSun" w:hAnsi="Times New Roman" w:cs="Times New Roman"/>
          <w:position w:val="-88"/>
          <w:sz w:val="24"/>
          <w:szCs w:val="24"/>
        </w:rPr>
        <w:object w:dxaOrig="9880" w:dyaOrig="1880">
          <v:shape id="_x0000_i1026" type="#_x0000_t75" style="width:418.5pt;height:79.5pt" o:ole="">
            <v:imagedata r:id="rId9" o:title=""/>
          </v:shape>
          <o:OLEObject Type="Embed" ProgID="Equation.3" ShapeID="_x0000_i1026" DrawAspect="Content" ObjectID="_1523774496" r:id="rId10"/>
        </w:object>
      </w:r>
      <w:r w:rsidRPr="00A83CDD">
        <w:rPr>
          <w:rFonts w:ascii="Times New Roman" w:eastAsia="SimSun" w:hAnsi="Times New Roman" w:cs="Times New Roman"/>
          <w:sz w:val="24"/>
          <w:szCs w:val="24"/>
        </w:rPr>
        <w:t xml:space="preserve">   (B2)</w:t>
      </w:r>
    </w:p>
    <w:p w:rsidR="00A83CDD" w:rsidRPr="00A83CDD" w:rsidRDefault="00A83CDD" w:rsidP="00A83CDD">
      <w:pPr>
        <w:spacing w:after="0" w:line="360" w:lineRule="auto"/>
        <w:jc w:val="both"/>
        <w:rPr>
          <w:rFonts w:ascii="Times New Roman" w:eastAsia="SimSun" w:hAnsi="Times New Roman" w:cs="Times New Roman"/>
          <w:sz w:val="24"/>
          <w:szCs w:val="24"/>
        </w:rPr>
      </w:pPr>
      <w:proofErr w:type="spellStart"/>
      <w:r w:rsidRPr="00A83CDD">
        <w:rPr>
          <w:rFonts w:ascii="Times New Roman" w:eastAsia="SimSun" w:hAnsi="Times New Roman" w:cs="Times New Roman"/>
          <w:i/>
          <w:sz w:val="24"/>
          <w:szCs w:val="24"/>
        </w:rPr>
        <w:t>A</w:t>
      </w:r>
      <w:r w:rsidRPr="00A83CDD">
        <w:rPr>
          <w:rFonts w:ascii="Times New Roman" w:eastAsia="SimSun" w:hAnsi="Times New Roman" w:cs="Times New Roman"/>
          <w:i/>
          <w:sz w:val="24"/>
          <w:szCs w:val="24"/>
          <w:vertAlign w:val="subscript"/>
        </w:rPr>
        <w:t>distal</w:t>
      </w:r>
      <w:proofErr w:type="spellEnd"/>
      <w:r w:rsidRPr="00A83CDD">
        <w:rPr>
          <w:rFonts w:ascii="Times New Roman" w:eastAsia="SimSun" w:hAnsi="Times New Roman" w:cs="Times New Roman"/>
          <w:sz w:val="24"/>
          <w:szCs w:val="24"/>
        </w:rPr>
        <w:t xml:space="preserve">, </w:t>
      </w:r>
      <w:proofErr w:type="spellStart"/>
      <w:r w:rsidRPr="00A83CDD">
        <w:rPr>
          <w:rFonts w:ascii="Times New Roman" w:eastAsia="SimSun" w:hAnsi="Times New Roman" w:cs="Times New Roman"/>
          <w:i/>
          <w:sz w:val="24"/>
          <w:szCs w:val="24"/>
        </w:rPr>
        <w:t>A</w:t>
      </w:r>
      <w:r w:rsidRPr="00A83CDD">
        <w:rPr>
          <w:rFonts w:ascii="Times New Roman" w:eastAsia="SimSun" w:hAnsi="Times New Roman" w:cs="Times New Roman"/>
          <w:i/>
          <w:sz w:val="24"/>
          <w:szCs w:val="24"/>
          <w:vertAlign w:val="subscript"/>
        </w:rPr>
        <w:t>proximal</w:t>
      </w:r>
      <w:proofErr w:type="spellEnd"/>
      <w:r w:rsidRPr="00A83CDD">
        <w:rPr>
          <w:rFonts w:ascii="Times New Roman" w:eastAsia="SimSun" w:hAnsi="Times New Roman" w:cs="Times New Roman"/>
          <w:sz w:val="24"/>
          <w:szCs w:val="24"/>
        </w:rPr>
        <w:t xml:space="preserve"> and </w:t>
      </w:r>
      <w:proofErr w:type="spellStart"/>
      <w:r w:rsidRPr="00A83CDD">
        <w:rPr>
          <w:rFonts w:ascii="Times New Roman" w:eastAsia="SimSun" w:hAnsi="Times New Roman" w:cs="Times New Roman"/>
          <w:i/>
          <w:sz w:val="24"/>
          <w:szCs w:val="24"/>
        </w:rPr>
        <w:t>A</w:t>
      </w:r>
      <w:r w:rsidRPr="00A83CDD">
        <w:rPr>
          <w:rFonts w:ascii="Times New Roman" w:eastAsia="SimSun" w:hAnsi="Times New Roman" w:cs="Times New Roman"/>
          <w:i/>
          <w:sz w:val="24"/>
          <w:szCs w:val="24"/>
          <w:vertAlign w:val="subscript"/>
        </w:rPr>
        <w:t>stenosis</w:t>
      </w:r>
      <w:proofErr w:type="spellEnd"/>
      <w:r w:rsidRPr="00A83CDD">
        <w:rPr>
          <w:rFonts w:ascii="Times New Roman" w:eastAsia="SimSun" w:hAnsi="Times New Roman" w:cs="Times New Roman"/>
          <w:sz w:val="24"/>
          <w:szCs w:val="24"/>
        </w:rPr>
        <w:t xml:space="preserve"> represented the lumen area at the distal, proximal and stenotic locations, respectively. </w:t>
      </w:r>
    </w:p>
    <w:p w:rsidR="00A83CDD" w:rsidRPr="00A83CDD" w:rsidRDefault="00A83CDD" w:rsidP="00A83CDD">
      <w:pPr>
        <w:spacing w:after="0" w:line="360" w:lineRule="auto"/>
        <w:ind w:firstLine="288"/>
        <w:jc w:val="both"/>
        <w:rPr>
          <w:rFonts w:ascii="Times New Roman" w:eastAsia="SimSun" w:hAnsi="Times New Roman" w:cs="Times New Roman"/>
          <w:sz w:val="24"/>
          <w:szCs w:val="24"/>
        </w:rPr>
      </w:pPr>
      <w:r w:rsidRPr="00A83CDD">
        <w:rPr>
          <w:rFonts w:ascii="Times New Roman" w:eastAsia="SimSun" w:hAnsi="Times New Roman" w:cs="Times New Roman"/>
          <w:sz w:val="24"/>
          <w:szCs w:val="24"/>
        </w:rPr>
        <w:t xml:space="preserve"> For long stenoses (γ&lt;0.05), the entrance effect was considered and the total pressure drop over a single stenosis was calculated as:</w:t>
      </w:r>
    </w:p>
    <w:p w:rsidR="00A83CDD" w:rsidRPr="00A83CDD" w:rsidRDefault="00A83CDD" w:rsidP="00A83CDD">
      <w:pPr>
        <w:spacing w:after="0" w:line="360" w:lineRule="auto"/>
        <w:ind w:firstLine="288"/>
        <w:jc w:val="right"/>
        <w:rPr>
          <w:rFonts w:ascii="Times New Roman" w:eastAsia="SimSun" w:hAnsi="Times New Roman" w:cs="Times New Roman"/>
          <w:sz w:val="24"/>
          <w:szCs w:val="24"/>
        </w:rPr>
      </w:pPr>
      <w:r w:rsidRPr="00A83CDD">
        <w:rPr>
          <w:rFonts w:ascii="Times New Roman" w:eastAsia="SimSun" w:hAnsi="Times New Roman" w:cs="Times New Roman"/>
          <w:position w:val="-74"/>
          <w:sz w:val="24"/>
          <w:szCs w:val="24"/>
        </w:rPr>
        <w:object w:dxaOrig="7380" w:dyaOrig="1600">
          <v:shape id="_x0000_i1027" type="#_x0000_t75" style="width:308.25pt;height:65.25pt" o:ole="">
            <v:imagedata r:id="rId11" o:title=""/>
          </v:shape>
          <o:OLEObject Type="Embed" ProgID="Equation.3" ShapeID="_x0000_i1027" DrawAspect="Content" ObjectID="_1523774497" r:id="rId12"/>
        </w:object>
      </w:r>
      <w:r w:rsidRPr="00A83CDD">
        <w:rPr>
          <w:rFonts w:ascii="Times New Roman" w:eastAsia="SimSun" w:hAnsi="Times New Roman" w:cs="Times New Roman"/>
          <w:sz w:val="24"/>
          <w:szCs w:val="24"/>
        </w:rPr>
        <w:t xml:space="preserve">                      (B3)</w:t>
      </w:r>
    </w:p>
    <w:p w:rsidR="00BE23D3" w:rsidRDefault="00BE23D3">
      <w:bookmarkStart w:id="0" w:name="_GoBack"/>
      <w:bookmarkEnd w:id="0"/>
    </w:p>
    <w:sectPr w:rsidR="00BE23D3">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0F0A" w:rsidRDefault="004F0F0A" w:rsidP="001D56E2">
      <w:pPr>
        <w:spacing w:after="0" w:line="240" w:lineRule="auto"/>
      </w:pPr>
      <w:r>
        <w:separator/>
      </w:r>
    </w:p>
  </w:endnote>
  <w:endnote w:type="continuationSeparator" w:id="0">
    <w:p w:rsidR="004F0F0A" w:rsidRDefault="004F0F0A" w:rsidP="001D56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Light">
    <w:altName w:val="Calibri"/>
    <w:charset w:val="00"/>
    <w:family w:val="auto"/>
    <w:pitch w:val="variable"/>
    <w:sig w:usb0="00000001"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57922704"/>
      <w:docPartObj>
        <w:docPartGallery w:val="Page Numbers (Bottom of Page)"/>
        <w:docPartUnique/>
      </w:docPartObj>
    </w:sdtPr>
    <w:sdtEndPr>
      <w:rPr>
        <w:noProof/>
      </w:rPr>
    </w:sdtEndPr>
    <w:sdtContent>
      <w:p w:rsidR="001D56E2" w:rsidRDefault="001D56E2">
        <w:pPr>
          <w:pStyle w:val="Footer"/>
          <w:jc w:val="right"/>
        </w:pPr>
        <w:r>
          <w:fldChar w:fldCharType="begin"/>
        </w:r>
        <w:r>
          <w:instrText xml:space="preserve"> PAGE   \* MERGEFORMAT </w:instrText>
        </w:r>
        <w:r>
          <w:fldChar w:fldCharType="separate"/>
        </w:r>
        <w:r w:rsidR="00721FB3">
          <w:rPr>
            <w:noProof/>
          </w:rPr>
          <w:t>1</w:t>
        </w:r>
        <w:r>
          <w:rPr>
            <w:noProof/>
          </w:rPr>
          <w:fldChar w:fldCharType="end"/>
        </w:r>
      </w:p>
    </w:sdtContent>
  </w:sdt>
  <w:p w:rsidR="001D56E2" w:rsidRDefault="001D56E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0F0A" w:rsidRDefault="004F0F0A" w:rsidP="001D56E2">
      <w:pPr>
        <w:spacing w:after="0" w:line="240" w:lineRule="auto"/>
      </w:pPr>
      <w:r>
        <w:separator/>
      </w:r>
    </w:p>
  </w:footnote>
  <w:footnote w:type="continuationSeparator" w:id="0">
    <w:p w:rsidR="004F0F0A" w:rsidRDefault="004F0F0A" w:rsidP="001D56E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3CDD"/>
    <w:rsid w:val="0004696B"/>
    <w:rsid w:val="0005265F"/>
    <w:rsid w:val="00090711"/>
    <w:rsid w:val="000B5090"/>
    <w:rsid w:val="000E05BE"/>
    <w:rsid w:val="001164AE"/>
    <w:rsid w:val="001459E7"/>
    <w:rsid w:val="001A6831"/>
    <w:rsid w:val="001D56E2"/>
    <w:rsid w:val="0020290A"/>
    <w:rsid w:val="00231F49"/>
    <w:rsid w:val="00247F47"/>
    <w:rsid w:val="00251884"/>
    <w:rsid w:val="00271E2A"/>
    <w:rsid w:val="002F31E9"/>
    <w:rsid w:val="003168CD"/>
    <w:rsid w:val="003203C2"/>
    <w:rsid w:val="00333176"/>
    <w:rsid w:val="003811EC"/>
    <w:rsid w:val="00394122"/>
    <w:rsid w:val="003A6098"/>
    <w:rsid w:val="003D7E99"/>
    <w:rsid w:val="00454639"/>
    <w:rsid w:val="00477705"/>
    <w:rsid w:val="00497766"/>
    <w:rsid w:val="004C3D70"/>
    <w:rsid w:val="004C50F2"/>
    <w:rsid w:val="004D4992"/>
    <w:rsid w:val="004E59F6"/>
    <w:rsid w:val="004F0F0A"/>
    <w:rsid w:val="004F1B70"/>
    <w:rsid w:val="004F23A8"/>
    <w:rsid w:val="00543200"/>
    <w:rsid w:val="00547126"/>
    <w:rsid w:val="005614F2"/>
    <w:rsid w:val="00571A76"/>
    <w:rsid w:val="005B7A19"/>
    <w:rsid w:val="005C4B64"/>
    <w:rsid w:val="005D7AE0"/>
    <w:rsid w:val="006401FE"/>
    <w:rsid w:val="0065499D"/>
    <w:rsid w:val="006830F0"/>
    <w:rsid w:val="006A611E"/>
    <w:rsid w:val="006E567A"/>
    <w:rsid w:val="00720367"/>
    <w:rsid w:val="00721FB3"/>
    <w:rsid w:val="0073016F"/>
    <w:rsid w:val="00732B18"/>
    <w:rsid w:val="00763A55"/>
    <w:rsid w:val="007726EE"/>
    <w:rsid w:val="007753B0"/>
    <w:rsid w:val="0078648F"/>
    <w:rsid w:val="007952B7"/>
    <w:rsid w:val="00795795"/>
    <w:rsid w:val="007E751A"/>
    <w:rsid w:val="007F2100"/>
    <w:rsid w:val="007F608B"/>
    <w:rsid w:val="008202BF"/>
    <w:rsid w:val="008D560D"/>
    <w:rsid w:val="008F345A"/>
    <w:rsid w:val="00971A72"/>
    <w:rsid w:val="009727FF"/>
    <w:rsid w:val="00972F32"/>
    <w:rsid w:val="009A605A"/>
    <w:rsid w:val="00A52ADB"/>
    <w:rsid w:val="00A83CDD"/>
    <w:rsid w:val="00AC1603"/>
    <w:rsid w:val="00AD5BD0"/>
    <w:rsid w:val="00B0734C"/>
    <w:rsid w:val="00B31728"/>
    <w:rsid w:val="00B40D97"/>
    <w:rsid w:val="00B41F74"/>
    <w:rsid w:val="00B8784C"/>
    <w:rsid w:val="00BE23D3"/>
    <w:rsid w:val="00BF76CA"/>
    <w:rsid w:val="00C12DE2"/>
    <w:rsid w:val="00C6338E"/>
    <w:rsid w:val="00CB0D6B"/>
    <w:rsid w:val="00CC70BD"/>
    <w:rsid w:val="00CD1181"/>
    <w:rsid w:val="00CD6EF2"/>
    <w:rsid w:val="00D04567"/>
    <w:rsid w:val="00D53B29"/>
    <w:rsid w:val="00D90CFA"/>
    <w:rsid w:val="00D95465"/>
    <w:rsid w:val="00DB37DE"/>
    <w:rsid w:val="00DF4335"/>
    <w:rsid w:val="00E45D25"/>
    <w:rsid w:val="00E60BE9"/>
    <w:rsid w:val="00EB566E"/>
    <w:rsid w:val="00EC41EC"/>
    <w:rsid w:val="00EE5C44"/>
    <w:rsid w:val="00F1200E"/>
    <w:rsid w:val="00F41C84"/>
    <w:rsid w:val="00F4330B"/>
    <w:rsid w:val="00F45D27"/>
    <w:rsid w:val="00F54082"/>
    <w:rsid w:val="00F56055"/>
    <w:rsid w:val="00FC66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94122"/>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394122"/>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56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56E2"/>
    <w:rPr>
      <w:rFonts w:ascii="Tahoma" w:hAnsi="Tahoma" w:cs="Tahoma"/>
      <w:sz w:val="16"/>
      <w:szCs w:val="16"/>
    </w:rPr>
  </w:style>
  <w:style w:type="paragraph" w:styleId="Header">
    <w:name w:val="header"/>
    <w:basedOn w:val="Normal"/>
    <w:link w:val="HeaderChar"/>
    <w:uiPriority w:val="99"/>
    <w:unhideWhenUsed/>
    <w:rsid w:val="001D56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56E2"/>
  </w:style>
  <w:style w:type="paragraph" w:styleId="Footer">
    <w:name w:val="footer"/>
    <w:basedOn w:val="Normal"/>
    <w:link w:val="FooterChar"/>
    <w:uiPriority w:val="99"/>
    <w:unhideWhenUsed/>
    <w:rsid w:val="001D56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56E2"/>
  </w:style>
  <w:style w:type="character" w:customStyle="1" w:styleId="Heading1Char">
    <w:name w:val="Heading 1 Char"/>
    <w:basedOn w:val="DefaultParagraphFont"/>
    <w:link w:val="Heading1"/>
    <w:uiPriority w:val="9"/>
    <w:rsid w:val="00394122"/>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394122"/>
    <w:rPr>
      <w:rFonts w:asciiTheme="majorHAnsi" w:eastAsiaTheme="majorEastAsia" w:hAnsiTheme="majorHAnsi" w:cstheme="majorBidi"/>
      <w:b/>
      <w:bCs/>
      <w:color w:val="5B9BD5"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94122"/>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394122"/>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56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56E2"/>
    <w:rPr>
      <w:rFonts w:ascii="Tahoma" w:hAnsi="Tahoma" w:cs="Tahoma"/>
      <w:sz w:val="16"/>
      <w:szCs w:val="16"/>
    </w:rPr>
  </w:style>
  <w:style w:type="paragraph" w:styleId="Header">
    <w:name w:val="header"/>
    <w:basedOn w:val="Normal"/>
    <w:link w:val="HeaderChar"/>
    <w:uiPriority w:val="99"/>
    <w:unhideWhenUsed/>
    <w:rsid w:val="001D56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56E2"/>
  </w:style>
  <w:style w:type="paragraph" w:styleId="Footer">
    <w:name w:val="footer"/>
    <w:basedOn w:val="Normal"/>
    <w:link w:val="FooterChar"/>
    <w:uiPriority w:val="99"/>
    <w:unhideWhenUsed/>
    <w:rsid w:val="001D56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56E2"/>
  </w:style>
  <w:style w:type="character" w:customStyle="1" w:styleId="Heading1Char">
    <w:name w:val="Heading 1 Char"/>
    <w:basedOn w:val="DefaultParagraphFont"/>
    <w:link w:val="Heading1"/>
    <w:uiPriority w:val="9"/>
    <w:rsid w:val="00394122"/>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394122"/>
    <w:rPr>
      <w:rFonts w:asciiTheme="majorHAnsi" w:eastAsiaTheme="majorEastAsia" w:hAnsiTheme="majorHAnsi" w:cstheme="majorBidi"/>
      <w:b/>
      <w:bCs/>
      <w:color w:val="5B9BD5"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3.bin"/><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623</Words>
  <Characters>3555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Singapore National Eye Centre</Company>
  <LinksUpToDate>false</LinksUpToDate>
  <CharactersWithSpaces>4170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Zhang Junmei</dc:creator>
  <cp:lastModifiedBy>Zhang Junmei</cp:lastModifiedBy>
  <cp:revision>3</cp:revision>
  <dcterms:created xsi:type="dcterms:W3CDTF">2016-05-03T01:54:00Z</dcterms:created>
  <dcterms:modified xsi:type="dcterms:W3CDTF">2016-05-03T01:54:00Z</dcterms:modified>
</cp:coreProperties>
</file>