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05_Technical_Architecture_EN_Redacted.md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Technical Architecture (External, Redacted)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Date:</w:t>
      </w:r>
      <w:r>
        <w:rPr>
          <w:color w:val="1A1A1A"/>
        </w:rPr>
        <w:t xml:space="preserve"> May 2026</w:t>
      </w:r>
    </w:p>
    <w:p>
      <w:pPr>
        <w:spacing w:after="80"/>
      </w:pPr>
      <w:r>
        <w:rPr>
          <w:b/>
          <w:color w:val="1A1A1A"/>
        </w:rPr>
        <w:t>Confidentiality:</w:t>
      </w:r>
      <w:r>
        <w:rPr>
          <w:color w:val="1A1A1A"/>
        </w:rPr>
        <w:t xml:space="preserve"> External Investor View (Redacted)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Purpose of This Document</w:t>
      </w:r>
    </w:p>
    <w:p/>
    <w:p>
      <w:pPr>
        <w:spacing w:after="80"/>
      </w:pPr>
      <w:r>
        <w:rPr>
          <w:color w:val="1A1A1A"/>
        </w:rPr>
        <w:t>This document provides a high-level architecture overview for investor discussions while protecting software licensing, implementation IP, and operational security.</w:t>
      </w:r>
    </w:p>
    <w:p/>
    <w:p>
      <w:pPr>
        <w:spacing w:after="80"/>
      </w:pPr>
      <w:r>
        <w:rPr>
          <w:color w:val="1A1A1A"/>
        </w:rPr>
        <w:t>Detailed implementation artifacts (service topology, endpoint inventory, internal routing, deployment secrets, and source-level controls) are intentionally excluded from this version.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Platform Overview (High-Level)</w:t>
      </w:r>
    </w:p>
    <w:p/>
    <w:p>
      <w:pPr>
        <w:spacing w:after="80"/>
      </w:pPr>
      <w:r>
        <w:rPr>
          <w:color w:val="1A1A1A"/>
        </w:rPr>
        <w:t>CADRO HR is a multi-tenant SaaS platform designed for SME and mid-market HR operations.</w:t>
      </w:r>
    </w:p>
    <w:p/>
    <w:p>
      <w:pPr>
        <w:spacing w:after="80"/>
      </w:pPr>
      <w:r>
        <w:rPr>
          <w:color w:val="1A1A1A"/>
        </w:rPr>
        <w:t>Core delivery channels:</w:t>
      </w:r>
    </w:p>
    <w:p>
      <w:pPr>
        <w:pStyle w:val="ListBullet"/>
        <w:ind w:left="360"/>
      </w:pPr>
      <w:r>
        <w:rPr>
          <w:color w:val="1A1A1A"/>
        </w:rPr>
        <w:t>Web application</w:t>
      </w:r>
    </w:p>
    <w:p>
      <w:pPr>
        <w:pStyle w:val="ListBullet"/>
        <w:ind w:left="360"/>
      </w:pPr>
      <w:r>
        <w:rPr>
          <w:color w:val="1A1A1A"/>
        </w:rPr>
        <w:t>Mobile application</w:t>
      </w:r>
    </w:p>
    <w:p>
      <w:pPr>
        <w:pStyle w:val="ListBullet"/>
        <w:ind w:left="360"/>
      </w:pPr>
      <w:r>
        <w:rPr>
          <w:color w:val="1A1A1A"/>
        </w:rPr>
        <w:t>Subscription and billing workflow</w:t>
      </w:r>
    </w:p>
    <w:p/>
    <w:p>
      <w:pPr>
        <w:spacing w:after="80"/>
      </w:pPr>
      <w:r>
        <w:rPr>
          <w:color w:val="1A1A1A"/>
        </w:rPr>
        <w:t>Core platform layers:</w:t>
      </w:r>
    </w:p>
    <w:p>
      <w:pPr>
        <w:pStyle w:val="ListBullet"/>
        <w:ind w:left="360"/>
      </w:pPr>
      <w:r>
        <w:rPr>
          <w:color w:val="1A1A1A"/>
        </w:rPr>
        <w:t>Application layer</w:t>
      </w:r>
    </w:p>
    <w:p>
      <w:pPr>
        <w:pStyle w:val="ListBullet"/>
        <w:ind w:left="360"/>
      </w:pPr>
      <w:r>
        <w:rPr>
          <w:color w:val="1A1A1A"/>
        </w:rPr>
        <w:t>Data layer</w:t>
      </w:r>
    </w:p>
    <w:p>
      <w:pPr>
        <w:pStyle w:val="ListBullet"/>
        <w:ind w:left="360"/>
      </w:pPr>
      <w:r>
        <w:rPr>
          <w:color w:val="1A1A1A"/>
        </w:rPr>
        <w:t>Integration layer</w:t>
      </w:r>
    </w:p>
    <w:p>
      <w:pPr>
        <w:pStyle w:val="ListBullet"/>
        <w:ind w:left="360"/>
      </w:pPr>
      <w:r>
        <w:rPr>
          <w:color w:val="1A1A1A"/>
        </w:rPr>
        <w:t>Security and governance layer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Technology Direction (Non-Sensitive)</w:t>
      </w:r>
    </w:p>
    <w:p/>
    <w:p>
      <w:pPr>
        <w:spacing w:after="80"/>
      </w:pPr>
      <w:r>
        <w:rPr>
          <w:color w:val="1A1A1A"/>
        </w:rPr>
        <w:t>CADRO uses a modern cloud-native stack aligned with:</w:t>
      </w:r>
    </w:p>
    <w:p>
      <w:pPr>
        <w:pStyle w:val="ListBullet"/>
        <w:ind w:left="360"/>
      </w:pPr>
      <w:r>
        <w:rPr>
          <w:color w:val="1A1A1A"/>
        </w:rPr>
        <w:t>API-first backend services</w:t>
      </w:r>
    </w:p>
    <w:p>
      <w:pPr>
        <w:pStyle w:val="ListBullet"/>
        <w:ind w:left="360"/>
      </w:pPr>
      <w:r>
        <w:rPr>
          <w:color w:val="1A1A1A"/>
        </w:rPr>
        <w:t>Responsive web frontend</w:t>
      </w:r>
    </w:p>
    <w:p>
      <w:pPr>
        <w:pStyle w:val="ListBullet"/>
        <w:ind w:left="360"/>
      </w:pPr>
      <w:r>
        <w:rPr>
          <w:color w:val="1A1A1A"/>
        </w:rPr>
        <w:t>Native-like mobile experience</w:t>
      </w:r>
    </w:p>
    <w:p>
      <w:pPr>
        <w:pStyle w:val="ListBullet"/>
        <w:ind w:left="360"/>
      </w:pPr>
      <w:r>
        <w:rPr>
          <w:color w:val="1A1A1A"/>
        </w:rPr>
        <w:t>Relational data model with tenant isolation</w:t>
      </w:r>
    </w:p>
    <w:p>
      <w:pPr>
        <w:pStyle w:val="ListBullet"/>
        <w:ind w:left="360"/>
      </w:pPr>
      <w:r>
        <w:rPr>
          <w:color w:val="1A1A1A"/>
        </w:rPr>
        <w:t>Container-based deployment practices</w:t>
      </w:r>
    </w:p>
    <w:p/>
    <w:p>
      <w:pPr>
        <w:spacing w:after="80"/>
      </w:pPr>
      <w:r>
        <w:rPr>
          <w:color w:val="1A1A1A"/>
        </w:rPr>
        <w:t>Third-party capabilities include billing, notifications, messaging, and AI-assisted workflows.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Multi-Tenant and Access Model</w:t>
      </w:r>
    </w:p>
    <w:p/>
    <w:p>
      <w:pPr>
        <w:spacing w:after="80"/>
      </w:pPr>
      <w:r>
        <w:rPr>
          <w:color w:val="1A1A1A"/>
        </w:rPr>
        <w:t>The platform is designed around tenant isolation by default:</w:t>
      </w:r>
    </w:p>
    <w:p>
      <w:pPr>
        <w:pStyle w:val="ListBullet"/>
        <w:ind w:left="360"/>
      </w:pPr>
      <w:r>
        <w:rPr>
          <w:color w:val="1A1A1A"/>
        </w:rPr>
        <w:t>Data is logically separated per company tenant.</w:t>
      </w:r>
    </w:p>
    <w:p>
      <w:pPr>
        <w:pStyle w:val="ListBullet"/>
        <w:ind w:left="360"/>
      </w:pPr>
      <w:r>
        <w:rPr>
          <w:color w:val="1A1A1A"/>
        </w:rPr>
        <w:t>Role-based access controls define user scope and authority.</w:t>
      </w:r>
    </w:p>
    <w:p>
      <w:pPr>
        <w:pStyle w:val="ListBullet"/>
        <w:ind w:left="360"/>
      </w:pPr>
      <w:r>
        <w:rPr>
          <w:color w:val="1A1A1A"/>
        </w:rPr>
        <w:t>Subscription-tier controls are enforced at the application level.</w:t>
      </w:r>
    </w:p>
    <w:p/>
    <w:p>
      <w:pPr>
        <w:spacing w:after="80"/>
      </w:pPr>
      <w:r>
        <w:rPr>
          <w:color w:val="1A1A1A"/>
        </w:rPr>
        <w:t>This model supports enterprise governance while maintaining SME usability.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Security and Compliance Posture (External Summary)</w:t>
      </w:r>
    </w:p>
    <w:p/>
    <w:p>
      <w:pPr>
        <w:spacing w:after="80"/>
      </w:pPr>
      <w:r>
        <w:rPr>
          <w:color w:val="1A1A1A"/>
        </w:rPr>
        <w:t>CADRO follows a layered security approach:</w:t>
      </w:r>
    </w:p>
    <w:p>
      <w:pPr>
        <w:pStyle w:val="ListBullet"/>
        <w:ind w:left="360"/>
      </w:pPr>
      <w:r>
        <w:rPr>
          <w:color w:val="1A1A1A"/>
        </w:rPr>
        <w:t>Authentication and authorization controls</w:t>
      </w:r>
    </w:p>
    <w:p>
      <w:pPr>
        <w:pStyle w:val="ListBullet"/>
        <w:ind w:left="360"/>
      </w:pPr>
      <w:r>
        <w:rPr>
          <w:color w:val="1A1A1A"/>
        </w:rPr>
        <w:t>Tenant-bound access boundaries</w:t>
      </w:r>
    </w:p>
    <w:p>
      <w:pPr>
        <w:pStyle w:val="ListBullet"/>
        <w:ind w:left="360"/>
      </w:pPr>
      <w:r>
        <w:rPr>
          <w:color w:val="1A1A1A"/>
        </w:rPr>
        <w:t>Secure data handling and transport practices</w:t>
      </w:r>
    </w:p>
    <w:p>
      <w:pPr>
        <w:pStyle w:val="ListBullet"/>
        <w:ind w:left="360"/>
      </w:pPr>
      <w:r>
        <w:rPr>
          <w:color w:val="1A1A1A"/>
        </w:rPr>
        <w:t>Operational controls for auditability and traceability</w:t>
      </w:r>
    </w:p>
    <w:p/>
    <w:p>
      <w:pPr>
        <w:spacing w:after="80"/>
      </w:pPr>
      <w:r>
        <w:rPr>
          <w:color w:val="1A1A1A"/>
        </w:rPr>
        <w:t>Security implementation specifics are available only under controlled due diligence.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Integration and Extensibility</w:t>
      </w:r>
    </w:p>
    <w:p/>
    <w:p>
      <w:pPr>
        <w:spacing w:after="80"/>
      </w:pPr>
      <w:r>
        <w:rPr>
          <w:color w:val="1A1A1A"/>
        </w:rPr>
        <w:t>The architecture supports integration with external services such as:</w:t>
      </w:r>
    </w:p>
    <w:p>
      <w:pPr>
        <w:pStyle w:val="ListBullet"/>
        <w:ind w:left="360"/>
      </w:pPr>
      <w:r>
        <w:rPr>
          <w:color w:val="1A1A1A"/>
        </w:rPr>
        <w:t>Payment and subscription systems</w:t>
      </w:r>
    </w:p>
    <w:p>
      <w:pPr>
        <w:pStyle w:val="ListBullet"/>
        <w:ind w:left="360"/>
      </w:pPr>
      <w:r>
        <w:rPr>
          <w:color w:val="1A1A1A"/>
        </w:rPr>
        <w:t>Notification and communication providers</w:t>
      </w:r>
    </w:p>
    <w:p>
      <w:pPr>
        <w:pStyle w:val="ListBullet"/>
        <w:ind w:left="360"/>
      </w:pPr>
      <w:r>
        <w:rPr>
          <w:color w:val="1A1A1A"/>
        </w:rPr>
        <w:t>AI services for selected HR workflows</w:t>
      </w:r>
    </w:p>
    <w:p/>
    <w:p>
      <w:pPr>
        <w:spacing w:after="80"/>
      </w:pPr>
      <w:r>
        <w:rPr>
          <w:color w:val="1A1A1A"/>
        </w:rPr>
        <w:t>The platform is modular by design, allowing additional capabilities without full platform rework.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Scalability View</w:t>
      </w:r>
    </w:p>
    <w:p/>
    <w:p>
      <w:pPr>
        <w:spacing w:after="80"/>
      </w:pPr>
      <w:r>
        <w:rPr>
          <w:color w:val="1A1A1A"/>
        </w:rPr>
        <w:t>CADRO is built to scale through standard SaaS growth stages:</w:t>
      </w:r>
    </w:p>
    <w:p>
      <w:pPr>
        <w:pStyle w:val="ListBullet"/>
        <w:ind w:left="360"/>
      </w:pPr>
      <w:r>
        <w:rPr>
          <w:color w:val="1A1A1A"/>
        </w:rPr>
        <w:t>Early-stage controlled workloads</w:t>
      </w:r>
    </w:p>
    <w:p>
      <w:pPr>
        <w:pStyle w:val="ListBullet"/>
        <w:ind w:left="360"/>
      </w:pPr>
      <w:r>
        <w:rPr>
          <w:color w:val="1A1A1A"/>
        </w:rPr>
        <w:t>Mid-stage operational expansion</w:t>
      </w:r>
    </w:p>
    <w:p>
      <w:pPr>
        <w:pStyle w:val="ListBullet"/>
        <w:ind w:left="360"/>
      </w:pPr>
      <w:r>
        <w:rPr>
          <w:color w:val="1A1A1A"/>
        </w:rPr>
        <w:t>Enterprise-grade hardening path</w:t>
      </w:r>
    </w:p>
    <w:p/>
    <w:p>
      <w:pPr>
        <w:spacing w:after="80"/>
      </w:pPr>
      <w:r>
        <w:rPr>
          <w:color w:val="1A1A1A"/>
        </w:rPr>
        <w:t>Planned scale levers include data-layer optimization, caching strategy, and horizontal service expansion.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Product Readiness and Growth Path</w:t>
      </w:r>
    </w:p>
    <w:p/>
    <w:p>
      <w:pPr>
        <w:spacing w:after="80"/>
      </w:pPr>
      <w:r>
        <w:rPr>
          <w:color w:val="1A1A1A"/>
        </w:rPr>
        <w:t>Current state:</w:t>
      </w:r>
    </w:p>
    <w:p>
      <w:pPr>
        <w:pStyle w:val="ListBullet"/>
        <w:ind w:left="360"/>
      </w:pPr>
      <w:r>
        <w:rPr>
          <w:color w:val="1A1A1A"/>
        </w:rPr>
        <w:t>Core HR workflows are productized and operationally structured.</w:t>
      </w:r>
    </w:p>
    <w:p>
      <w:pPr>
        <w:pStyle w:val="ListBullet"/>
        <w:ind w:left="360"/>
      </w:pPr>
      <w:r>
        <w:rPr>
          <w:color w:val="1A1A1A"/>
        </w:rPr>
        <w:t>Commercial model and entitlement logic are in place.</w:t>
      </w:r>
    </w:p>
    <w:p/>
    <w:p>
      <w:pPr>
        <w:spacing w:after="80"/>
      </w:pPr>
      <w:r>
        <w:rPr>
          <w:color w:val="1A1A1A"/>
        </w:rPr>
        <w:t>Growth state:</w:t>
      </w:r>
    </w:p>
    <w:p>
      <w:pPr>
        <w:pStyle w:val="ListBullet"/>
        <w:ind w:left="360"/>
      </w:pPr>
      <w:r>
        <w:rPr>
          <w:color w:val="1A1A1A"/>
        </w:rPr>
        <w:t>Additional modules are prioritized as expansion levers.</w:t>
      </w:r>
    </w:p>
    <w:p>
      <w:pPr>
        <w:pStyle w:val="ListBullet"/>
        <w:ind w:left="360"/>
      </w:pPr>
      <w:r>
        <w:rPr>
          <w:color w:val="1A1A1A"/>
        </w:rPr>
        <w:t>Post-investment execution focuses on revenue-impacting feature acceleration.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Investor Note on IP Protection</w:t>
      </w:r>
    </w:p>
    <w:p/>
    <w:p>
      <w:pPr>
        <w:spacing w:after="80"/>
      </w:pPr>
      <w:r>
        <w:rPr>
          <w:color w:val="1A1A1A"/>
        </w:rPr>
        <w:t>This redacted architecture intentionally avoids disclosure of:</w:t>
      </w:r>
    </w:p>
    <w:p>
      <w:pPr>
        <w:pStyle w:val="ListBullet"/>
        <w:ind w:left="360"/>
      </w:pPr>
      <w:r>
        <w:rPr>
          <w:color w:val="1A1A1A"/>
        </w:rPr>
        <w:t>Internal service map and route-level details</w:t>
      </w:r>
    </w:p>
    <w:p>
      <w:pPr>
        <w:pStyle w:val="ListBullet"/>
        <w:ind w:left="360"/>
      </w:pPr>
      <w:r>
        <w:rPr>
          <w:color w:val="1A1A1A"/>
        </w:rPr>
        <w:t>Source-level design and licensing-sensitive logic</w:t>
      </w:r>
    </w:p>
    <w:p>
      <w:pPr>
        <w:pStyle w:val="ListBullet"/>
        <w:ind w:left="360"/>
      </w:pPr>
      <w:r>
        <w:rPr>
          <w:color w:val="1A1A1A"/>
        </w:rPr>
        <w:t>Infrastructure coordinates and operational hardening specifics</w:t>
      </w:r>
    </w:p>
    <w:p/>
    <w:p>
      <w:pPr>
        <w:spacing w:after="80"/>
      </w:pPr>
      <w:r>
        <w:rPr>
          <w:color w:val="1A1A1A"/>
        </w:rPr>
        <w:t>A controlled technical deep-dive can be shared under NDA during advanced due diligence.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Conclusion</w:t>
      </w:r>
    </w:p>
    <w:p/>
    <w:p>
      <w:pPr>
        <w:spacing w:after="80"/>
      </w:pPr>
      <w:r>
        <w:rPr>
          <w:color w:val="1A1A1A"/>
        </w:rPr>
        <w:t>CADRO presents a de-risked technical foundation with a clear expansion path. The architecture is mature enough for commercial scale-up while preserving strategic flexibility for acquirers or growth investors.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