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D9EDF"/>
          <w:sz w:val="72"/>
        </w:rPr>
        <w:t>CADRO HR</w:t>
      </w:r>
    </w:p>
    <w:p>
      <w:pPr>
        <w:jc w:val="center"/>
      </w:pPr>
      <w:r>
        <w:rPr>
          <w:color w:val="1E3A5F"/>
          <w:sz w:val="28"/>
        </w:rPr>
        <w:t>Yatırımcı Dokümanı</w:t>
      </w:r>
    </w:p>
    <w:p/>
    <w:p>
      <w:pPr>
        <w:pBdr>
          <w:bottom w:val="single" w:sz="6" w:space="1" w:color="0D9EDF"/>
        </w:pBdr>
      </w:pPr>
    </w:p>
    <w:p/>
    <w:p>
      <w:pPr>
        <w:jc w:val="center"/>
      </w:pPr>
      <w:r>
        <w:rPr>
          <w:b/>
          <w:color w:val="1E3A5F"/>
          <w:sz w:val="44"/>
        </w:rPr>
        <w:t>11_Closing_Execution_Plan.md</w:t>
      </w:r>
    </w:p>
    <w:p/>
    <w:p>
      <w:pPr>
        <w:jc w:val="center"/>
      </w:pPr>
      <w:r>
        <w:rPr>
          <w:color w:val="888888"/>
          <w:sz w:val="20"/>
        </w:rPr>
        <w:t>Gizli — Yalnızca Yatırımcı Kullanımı  |  Mayıs 2026</w:t>
      </w:r>
    </w:p>
    <w:p>
      <w:r>
        <w:br w:type="page"/>
      </w:r>
    </w:p>
    <w:p>
      <w:pPr>
        <w:keepNext/>
        <w:keepLines/>
        <w:spacing w:before="360"/>
      </w:pPr>
      <w:r>
        <w:rPr>
          <w:b/>
          <w:color w:val="1E3A5F"/>
          <w:sz w:val="40"/>
        </w:rPr>
        <w:t>CADRO HR — Yatırım Kapanış ve 90 Günlük Uygulama Planı</w:t>
      </w:r>
    </w:p>
    <w:p>
      <w:pPr>
        <w:pBdr>
          <w:bottom w:val="single" w:sz="6" w:space="1" w:color="0D9EDF"/>
        </w:pBdr>
      </w:pPr>
    </w:p>
    <w:p/>
    <w:p>
      <w:pPr>
        <w:spacing w:after="80"/>
      </w:pPr>
      <w:r>
        <w:rPr>
          <w:b/>
          <w:color w:val="1A1A1A"/>
        </w:rPr>
        <w:t>Versiyon:</w:t>
      </w:r>
      <w:r>
        <w:rPr>
          <w:color w:val="1A1A1A"/>
        </w:rPr>
        <w:t xml:space="preserve"> 1.0</w:t>
      </w:r>
    </w:p>
    <w:p>
      <w:pPr>
        <w:spacing w:after="80"/>
      </w:pPr>
      <w:r>
        <w:rPr>
          <w:b/>
          <w:color w:val="1A1A1A"/>
        </w:rPr>
        <w:t>Tarih:</w:t>
      </w:r>
      <w:r>
        <w:rPr>
          <w:color w:val="1A1A1A"/>
        </w:rPr>
        <w:t xml:space="preserve"> Mayıs 2026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1. Amaç</w:t>
      </w:r>
    </w:p>
    <w:p/>
    <w:p>
      <w:pPr>
        <w:spacing w:after="80"/>
      </w:pPr>
      <w:r>
        <w:rPr>
          <w:color w:val="1A1A1A"/>
        </w:rPr>
        <w:t>Term sheet sonrası 90 gün içinde yatırımın operasyona dönüşmesini sağlamak:</w:t>
      </w:r>
    </w:p>
    <w:p/>
    <w:p>
      <w:pPr>
        <w:pStyle w:val="ListBullet"/>
        <w:ind w:left="360"/>
      </w:pPr>
      <w:r>
        <w:rPr>
          <w:color w:val="1A1A1A"/>
        </w:rPr>
        <w:t>Ürün boşluklarının kapatılması</w:t>
      </w:r>
    </w:p>
    <w:p>
      <w:pPr>
        <w:pStyle w:val="ListBullet"/>
        <w:ind w:left="360"/>
      </w:pPr>
      <w:r>
        <w:rPr>
          <w:color w:val="1A1A1A"/>
        </w:rPr>
        <w:t>İlk ücretli müşteri kazanım hızının artırılması</w:t>
      </w:r>
    </w:p>
    <w:p>
      <w:pPr>
        <w:pStyle w:val="ListBullet"/>
        <w:ind w:left="360"/>
      </w:pPr>
      <w:r>
        <w:rPr>
          <w:color w:val="1A1A1A"/>
        </w:rPr>
        <w:t>Haftalık KPI ritminin kurulması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2. Gün 0-15 (Kapanış Sonrası Kurulum)</w:t>
      </w:r>
    </w:p>
    <w:p/>
    <w:p>
      <w:pPr>
        <w:pStyle w:val="ListBullet"/>
        <w:ind w:left="360"/>
      </w:pPr>
      <w:r>
        <w:rPr>
          <w:color w:val="1A1A1A"/>
        </w:rPr>
        <w:t>Hukuki kapanış ve fon transferinin tamamlanması</w:t>
      </w:r>
    </w:p>
    <w:p>
      <w:pPr>
        <w:pStyle w:val="ListBullet"/>
        <w:ind w:left="360"/>
      </w:pPr>
      <w:r>
        <w:rPr>
          <w:color w:val="1A1A1A"/>
        </w:rPr>
        <w:t>Finansal takip sistemi (aylık burn, runway, hedef vs gerçekleşen)</w:t>
      </w:r>
    </w:p>
    <w:p>
      <w:pPr>
        <w:pStyle w:val="ListBullet"/>
        <w:ind w:left="360"/>
      </w:pPr>
      <w:r>
        <w:rPr>
          <w:color w:val="1A1A1A"/>
        </w:rPr>
        <w:t>Yatırımcı güncelleme ritmi: aylık update template</w:t>
      </w:r>
    </w:p>
    <w:p>
      <w:pPr>
        <w:pStyle w:val="ListBullet"/>
        <w:ind w:left="360"/>
      </w:pPr>
      <w:r>
        <w:rPr>
          <w:color w:val="1A1A1A"/>
        </w:rPr>
        <w:t>Hedef OKR seti (ürün, satış, müşteri başarı)</w:t>
      </w:r>
    </w:p>
    <w:p/>
    <w:p>
      <w:pPr>
        <w:spacing w:after="80"/>
      </w:pPr>
      <w:r>
        <w:rPr>
          <w:color w:val="1A1A1A"/>
        </w:rPr>
        <w:t>Teslimatlar:</w:t>
      </w:r>
    </w:p>
    <w:p>
      <w:pPr>
        <w:pStyle w:val="ListBullet"/>
        <w:ind w:left="360"/>
      </w:pPr>
      <w:r>
        <w:rPr>
          <w:color w:val="1A1A1A"/>
        </w:rPr>
        <w:t>Runway dosyası</w:t>
      </w:r>
    </w:p>
    <w:p>
      <w:pPr>
        <w:pStyle w:val="ListBullet"/>
        <w:ind w:left="360"/>
      </w:pPr>
      <w:r>
        <w:rPr>
          <w:color w:val="1A1A1A"/>
        </w:rPr>
        <w:t>KPI dashboard v1</w:t>
      </w:r>
    </w:p>
    <w:p>
      <w:pPr>
        <w:pStyle w:val="ListBullet"/>
        <w:ind w:left="360"/>
      </w:pPr>
      <w:r>
        <w:rPr>
          <w:color w:val="1A1A1A"/>
        </w:rPr>
        <w:t>90 günlük sprint backlog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3. Gün 16-45 (Ürün ve Satış Hızlandırma)</w:t>
      </w:r>
    </w:p>
    <w:p/>
    <w:p>
      <w:pPr>
        <w:keepNext/>
        <w:keepLines/>
        <w:spacing w:before="160"/>
      </w:pPr>
      <w:r>
        <w:rPr>
          <w:b/>
          <w:color w:val="333333"/>
          <w:sz w:val="24"/>
        </w:rPr>
        <w:t>Ürün</w:t>
      </w:r>
    </w:p>
    <w:p/>
    <w:p>
      <w:pPr>
        <w:pStyle w:val="ListBullet"/>
        <w:ind w:left="360"/>
      </w:pPr>
      <w:r>
        <w:rPr>
          <w:color w:val="1A1A1A"/>
        </w:rPr>
        <w:t>Bordro (API + UI) ilk sürüm</w:t>
      </w:r>
    </w:p>
    <w:p>
      <w:pPr>
        <w:pStyle w:val="ListBullet"/>
        <w:ind w:left="360"/>
      </w:pPr>
      <w:r>
        <w:rPr>
          <w:color w:val="1A1A1A"/>
        </w:rPr>
        <w:t>Audit log yönetim ekranı</w:t>
      </w:r>
    </w:p>
    <w:p>
      <w:pPr>
        <w:pStyle w:val="ListBullet"/>
        <w:ind w:left="360"/>
      </w:pPr>
      <w:r>
        <w:rPr>
          <w:color w:val="1A1A1A"/>
        </w:rPr>
        <w:t>Work schedule yönetimi</w:t>
      </w:r>
    </w:p>
    <w:p>
      <w:pPr>
        <w:pStyle w:val="ListBullet"/>
        <w:ind w:left="360"/>
      </w:pPr>
      <w:r>
        <w:rPr>
          <w:color w:val="1A1A1A"/>
        </w:rPr>
        <w:t>Helpdesk backend re-activation</w:t>
      </w:r>
    </w:p>
    <w:p/>
    <w:p>
      <w:pPr>
        <w:keepNext/>
        <w:keepLines/>
        <w:spacing w:before="160"/>
      </w:pPr>
      <w:r>
        <w:rPr>
          <w:b/>
          <w:color w:val="333333"/>
          <w:sz w:val="24"/>
        </w:rPr>
        <w:t>Satış</w:t>
      </w:r>
    </w:p>
    <w:p/>
    <w:p>
      <w:pPr>
        <w:pStyle w:val="ListBullet"/>
        <w:ind w:left="360"/>
      </w:pPr>
      <w:r>
        <w:rPr>
          <w:color w:val="1A1A1A"/>
        </w:rPr>
        <w:t>İlk 50 hedef müşteri listesi</w:t>
      </w:r>
    </w:p>
    <w:p>
      <w:pPr>
        <w:pStyle w:val="ListBullet"/>
        <w:ind w:left="360"/>
      </w:pPr>
      <w:r>
        <w:rPr>
          <w:color w:val="1A1A1A"/>
        </w:rPr>
        <w:t>Demo script standardizasyonu</w:t>
      </w:r>
    </w:p>
    <w:p>
      <w:pPr>
        <w:pStyle w:val="ListBullet"/>
        <w:ind w:left="360"/>
      </w:pPr>
      <w:r>
        <w:rPr>
          <w:color w:val="1A1A1A"/>
        </w:rPr>
        <w:t>Teklif/sözleşme şablonları</w:t>
      </w:r>
    </w:p>
    <w:p>
      <w:pPr>
        <w:pStyle w:val="ListBullet"/>
        <w:ind w:left="360"/>
      </w:pPr>
      <w:r>
        <w:rPr>
          <w:color w:val="1A1A1A"/>
        </w:rPr>
        <w:t>CRM pipeline görünürlüğü</w:t>
      </w:r>
    </w:p>
    <w:p/>
    <w:p>
      <w:pPr>
        <w:spacing w:after="80"/>
      </w:pPr>
      <w:r>
        <w:rPr>
          <w:color w:val="1A1A1A"/>
        </w:rPr>
        <w:t>Teslimatlar:</w:t>
      </w:r>
    </w:p>
    <w:p>
      <w:pPr>
        <w:pStyle w:val="ListBullet"/>
        <w:ind w:left="360"/>
      </w:pPr>
      <w:r>
        <w:rPr>
          <w:color w:val="1A1A1A"/>
        </w:rPr>
        <w:t>4 kritik modül release</w:t>
      </w:r>
    </w:p>
    <w:p>
      <w:pPr>
        <w:pStyle w:val="ListBullet"/>
        <w:ind w:left="360"/>
      </w:pPr>
      <w:r>
        <w:rPr>
          <w:color w:val="1A1A1A"/>
        </w:rPr>
        <w:t>Haftalık demo sayısı metriği</w:t>
      </w:r>
    </w:p>
    <w:p>
      <w:pPr>
        <w:pStyle w:val="ListBullet"/>
        <w:ind w:left="360"/>
      </w:pPr>
      <w:r>
        <w:rPr>
          <w:color w:val="1A1A1A"/>
        </w:rPr>
        <w:t>İlk ücretli müşteri hedefi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4. Gün 46-90 (Metrik ve Ölçekleme)</w:t>
      </w:r>
    </w:p>
    <w:p/>
    <w:p>
      <w:pPr>
        <w:keepNext/>
        <w:keepLines/>
        <w:spacing w:before="160"/>
      </w:pPr>
      <w:r>
        <w:rPr>
          <w:b/>
          <w:color w:val="333333"/>
          <w:sz w:val="24"/>
        </w:rPr>
        <w:t>Müşteri Başarı</w:t>
      </w:r>
    </w:p>
    <w:p/>
    <w:p>
      <w:pPr>
        <w:pStyle w:val="ListBullet"/>
        <w:ind w:left="360"/>
      </w:pPr>
      <w:r>
        <w:rPr>
          <w:color w:val="1A1A1A"/>
        </w:rPr>
        <w:t>Onboarding checklist standardı</w:t>
      </w:r>
    </w:p>
    <w:p>
      <w:pPr>
        <w:pStyle w:val="ListBullet"/>
        <w:ind w:left="360"/>
      </w:pPr>
      <w:r>
        <w:rPr>
          <w:color w:val="1A1A1A"/>
        </w:rPr>
        <w:t>İlk 30 günde kullanım takibi</w:t>
      </w:r>
    </w:p>
    <w:p>
      <w:pPr>
        <w:pStyle w:val="ListBullet"/>
        <w:ind w:left="360"/>
      </w:pPr>
      <w:r>
        <w:rPr>
          <w:color w:val="1A1A1A"/>
        </w:rPr>
        <w:t>Churn riski alarm akışı</w:t>
      </w:r>
    </w:p>
    <w:p/>
    <w:p>
      <w:pPr>
        <w:keepNext/>
        <w:keepLines/>
        <w:spacing w:before="160"/>
      </w:pPr>
      <w:r>
        <w:rPr>
          <w:b/>
          <w:color w:val="333333"/>
          <w:sz w:val="24"/>
        </w:rPr>
        <w:t>Ticari</w:t>
      </w:r>
    </w:p>
    <w:p/>
    <w:p>
      <w:pPr>
        <w:pStyle w:val="ListBullet"/>
        <w:ind w:left="360"/>
      </w:pPr>
      <w:r>
        <w:rPr>
          <w:color w:val="1A1A1A"/>
        </w:rPr>
        <w:t>Upsell fırsatlarının işaretlenmesi</w:t>
      </w:r>
    </w:p>
    <w:p>
      <w:pPr>
        <w:pStyle w:val="ListBullet"/>
        <w:ind w:left="360"/>
      </w:pPr>
      <w:r>
        <w:rPr>
          <w:color w:val="1A1A1A"/>
        </w:rPr>
        <w:t>Yıllık ödeme teklifinin aktif sunumu</w:t>
      </w:r>
    </w:p>
    <w:p>
      <w:pPr>
        <w:pStyle w:val="ListBullet"/>
        <w:ind w:left="360"/>
      </w:pPr>
      <w:r>
        <w:rPr>
          <w:color w:val="1A1A1A"/>
        </w:rPr>
        <w:t>Referans müşteri hikayeleri</w:t>
      </w:r>
    </w:p>
    <w:p/>
    <w:p>
      <w:pPr>
        <w:spacing w:after="80"/>
      </w:pPr>
      <w:r>
        <w:rPr>
          <w:color w:val="1A1A1A"/>
        </w:rPr>
        <w:t>Teslimatlar:</w:t>
      </w:r>
    </w:p>
    <w:p>
      <w:pPr>
        <w:pStyle w:val="ListBullet"/>
        <w:ind w:left="360"/>
      </w:pPr>
      <w:r>
        <w:rPr>
          <w:color w:val="1A1A1A"/>
        </w:rPr>
        <w:t>MRR trend raporu</w:t>
      </w:r>
    </w:p>
    <w:p>
      <w:pPr>
        <w:pStyle w:val="ListBullet"/>
        <w:ind w:left="360"/>
      </w:pPr>
      <w:r>
        <w:rPr>
          <w:color w:val="1A1A1A"/>
        </w:rPr>
        <w:t>Logo churn raporu</w:t>
      </w:r>
    </w:p>
    <w:p>
      <w:pPr>
        <w:pStyle w:val="ListBullet"/>
        <w:ind w:left="360"/>
      </w:pPr>
      <w:r>
        <w:rPr>
          <w:color w:val="1A1A1A"/>
        </w:rPr>
        <w:t>NPS / memnuniyet raporu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5. 90 Gün Başarı Kriterleri</w:t>
      </w:r>
    </w:p>
    <w:p/>
    <w:p>
      <w:pPr>
        <w:pStyle w:val="ListBullet"/>
        <w:ind w:left="360"/>
      </w:pPr>
      <w:r>
        <w:rPr>
          <w:color w:val="1A1A1A"/>
        </w:rPr>
        <w:t>10+ ücretli müşteri</w:t>
      </w:r>
    </w:p>
    <w:p>
      <w:pPr>
        <w:pStyle w:val="ListBullet"/>
        <w:ind w:left="360"/>
      </w:pPr>
      <w:r>
        <w:rPr>
          <w:color w:val="1A1A1A"/>
        </w:rPr>
        <w:t>Düzenli artan aylık MRR</w:t>
      </w:r>
    </w:p>
    <w:p>
      <w:pPr>
        <w:pStyle w:val="ListBullet"/>
        <w:ind w:left="360"/>
      </w:pPr>
      <w:r>
        <w:rPr>
          <w:color w:val="1A1A1A"/>
        </w:rPr>
        <w:t>Onboarding süresi &lt;= 7 gün</w:t>
      </w:r>
    </w:p>
    <w:p>
      <w:pPr>
        <w:pStyle w:val="ListBullet"/>
        <w:ind w:left="360"/>
      </w:pPr>
      <w:r>
        <w:rPr>
          <w:color w:val="1A1A1A"/>
        </w:rPr>
        <w:t>Kritik modül boşluklarının kapanması</w:t>
      </w:r>
    </w:p>
    <w:p>
      <w:pPr>
        <w:pStyle w:val="ListBullet"/>
        <w:ind w:left="360"/>
      </w:pPr>
      <w:r>
        <w:rPr>
          <w:color w:val="1A1A1A"/>
        </w:rPr>
        <w:t>Haftalık yönetim dashboard ritmi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6. Yönetim Ritmi</w:t>
      </w:r>
    </w:p>
    <w:p/>
    <w:p>
      <w:pPr>
        <w:pStyle w:val="ListBullet"/>
        <w:ind w:left="360"/>
      </w:pPr>
      <w:r>
        <w:rPr>
          <w:color w:val="1A1A1A"/>
        </w:rPr>
        <w:t>Haftalık: operasyon + ürün sprint review</w:t>
      </w:r>
    </w:p>
    <w:p>
      <w:pPr>
        <w:pStyle w:val="ListBullet"/>
        <w:ind w:left="360"/>
      </w:pPr>
      <w:r>
        <w:rPr>
          <w:color w:val="1A1A1A"/>
        </w:rPr>
        <w:t>Aylık: yatırımcı update (KPI + risk + aksiyon)</w:t>
      </w:r>
    </w:p>
    <w:p>
      <w:pPr>
        <w:pStyle w:val="ListBullet"/>
        <w:ind w:left="360"/>
      </w:pPr>
      <w:r>
        <w:rPr>
          <w:color w:val="1A1A1A"/>
        </w:rPr>
        <w:t>Çeyreklik: roadmap ve bütçe revizyonu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7. Risk ve Önlem Tablosu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3135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İlk Sinyal</w:t>
            </w:r>
          </w:p>
        </w:tc>
        <w:tc>
          <w:tcPr>
            <w:tcW w:type="dxa" w:w="3135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Önlem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Satış döngüsü uzuyor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Demo çok, kapanış az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ICP daraltma + teklif sadeleştirme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Ürün teslimi gecikiyor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Sprint taşmaları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Kapsam azaltma, kritik işlere odak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Churn yükseliyor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İlk 60 gün kullanım düşük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Müşteri başarı temas sıklığını artır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Nakit tüketimi artıyor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Plan dışı harcama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Aylık bütçe kilidi ve onay mekanizması</w:t>
            </w:r>
          </w:p>
        </w:tc>
      </w:tr>
    </w:tbl>
    <w:p/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8. Yatırımcıya İlk 3 Update'te Verilecek Çıktılar</w:t>
      </w:r>
    </w:p>
    <w:p/>
    <w:p>
      <w:pPr>
        <w:pStyle w:val="ListNumber"/>
        <w:keepNext/>
        <w:keepLines/>
        <w:ind w:left="360"/>
      </w:pPr>
      <w:r>
        <w:rPr>
          <w:color w:val="1A1A1A"/>
        </w:rPr>
        <w:t>Ürün boşluklarının kapanış durumu (yüzde + ekran görüntüleri)</w:t>
      </w:r>
    </w:p>
    <w:p>
      <w:pPr>
        <w:pStyle w:val="ListNumber"/>
        <w:keepNext/>
        <w:keepLines/>
        <w:ind w:left="360"/>
      </w:pPr>
      <w:r>
        <w:rPr>
          <w:color w:val="1A1A1A"/>
        </w:rPr>
        <w:t>Satış pipeline ilerleme tablosu</w:t>
      </w:r>
    </w:p>
    <w:p>
      <w:pPr>
        <w:pStyle w:val="ListNumber"/>
        <w:keepNext/>
        <w:keepLines/>
        <w:ind w:left="360"/>
      </w:pPr>
      <w:r>
        <w:rPr>
          <w:color w:val="1A1A1A"/>
        </w:rPr>
        <w:t>MRR, churn, onboarding ve kullanım metrikleri</w:t>
      </w:r>
    </w:p>
    <w:p>
      <w:pPr>
        <w:pStyle w:val="ListNumber"/>
        <w:keepNext/>
        <w:keepLines/>
        <w:ind w:left="360"/>
      </w:pPr>
      <w:r>
        <w:rPr>
          <w:color w:val="1A1A1A"/>
        </w:rPr>
        <w:t>Sonraki 90 gün için revize aksiyon planı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9. Sonuç</w:t>
      </w:r>
    </w:p>
    <w:p/>
    <w:p>
      <w:pPr>
        <w:spacing w:after="80"/>
      </w:pPr>
      <w:r>
        <w:rPr>
          <w:color w:val="1A1A1A"/>
        </w:rPr>
        <w:t>Bu planın hedefi, yatırım sonrası ilk 90 günde "ürün hazır" anlatısını "gelir üreten büyüme sistemi" anlatısına dönüştürmektir.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