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0D9EDF"/>
          <w:sz w:val="72"/>
        </w:rPr>
        <w:t>CADRO HR</w:t>
      </w:r>
    </w:p>
    <w:p>
      <w:pPr>
        <w:jc w:val="center"/>
      </w:pPr>
      <w:r>
        <w:rPr>
          <w:color w:val="1E3A5F"/>
          <w:sz w:val="28"/>
        </w:rPr>
        <w:t>Yatırımcı Dokümanı</w:t>
      </w:r>
    </w:p>
    <w:p/>
    <w:p>
      <w:pPr>
        <w:pBdr>
          <w:bottom w:val="single" w:sz="6" w:space="1" w:color="0D9EDF"/>
        </w:pBdr>
      </w:pPr>
    </w:p>
    <w:p/>
    <w:p>
      <w:pPr>
        <w:jc w:val="center"/>
      </w:pPr>
      <w:r>
        <w:rPr>
          <w:b/>
          <w:color w:val="1E3A5F"/>
          <w:sz w:val="44"/>
        </w:rPr>
        <w:t>21_Investor_Structure_Plan.md</w:t>
      </w:r>
    </w:p>
    <w:p/>
    <w:p>
      <w:pPr>
        <w:jc w:val="center"/>
      </w:pPr>
      <w:r>
        <w:rPr>
          <w:color w:val="888888"/>
          <w:sz w:val="20"/>
        </w:rPr>
        <w:t>Gizli — Yalnızca Yatırımcı Kullanımı  |  Mayıs 2026</w:t>
      </w:r>
    </w:p>
    <w:p>
      <w:r>
        <w:br w:type="page"/>
      </w:r>
    </w:p>
    <w:p>
      <w:pPr>
        <w:keepNext/>
        <w:keepLines/>
        <w:spacing w:before="360"/>
      </w:pPr>
      <w:r>
        <w:rPr>
          <w:b/>
          <w:color w:val="1E3A5F"/>
          <w:sz w:val="40"/>
        </w:rPr>
        <w:t>CADRO HR — Investor Structure Plan</w:t>
      </w:r>
    </w:p>
    <w:p>
      <w:pPr>
        <w:pBdr>
          <w:bottom w:val="single" w:sz="6" w:space="1" w:color="0D9EDF"/>
        </w:pBdr>
      </w:pPr>
    </w:p>
    <w:p/>
    <w:p>
      <w:pPr>
        <w:spacing w:after="80"/>
      </w:pPr>
      <w:r>
        <w:rPr>
          <w:b/>
          <w:color w:val="1A1A1A"/>
        </w:rPr>
        <w:t>Versiyon:</w:t>
      </w:r>
      <w:r>
        <w:rPr>
          <w:color w:val="1A1A1A"/>
        </w:rPr>
        <w:t xml:space="preserve"> 1.0</w:t>
      </w:r>
    </w:p>
    <w:p>
      <w:pPr>
        <w:spacing w:after="80"/>
      </w:pPr>
      <w:r>
        <w:rPr>
          <w:b/>
          <w:color w:val="1A1A1A"/>
        </w:rPr>
        <w:t>Tarih:</w:t>
      </w:r>
      <w:r>
        <w:rPr>
          <w:color w:val="1A1A1A"/>
        </w:rPr>
        <w:t xml:space="preserve"> Mayıs 2026</w:t>
      </w:r>
    </w:p>
    <w:p>
      <w:pPr>
        <w:spacing w:after="80"/>
      </w:pPr>
      <w:r>
        <w:rPr>
          <w:b/>
          <w:color w:val="1A1A1A"/>
        </w:rPr>
        <w:t>Amaç:</w:t>
      </w:r>
      <w:r>
        <w:rPr>
          <w:color w:val="1A1A1A"/>
        </w:rPr>
        <w:t xml:space="preserve"> Yatırım sürecini dağınık değil, ölçülebilir ve yönetilebilir bir yapıda yürütmek</w:t>
      </w:r>
    </w:p>
    <w:p/>
    <w:p>
      <w:pPr>
        <w:pBdr>
          <w:bottom w:val="single" w:sz="6" w:space="1" w:color="0D9EDF"/>
        </w:pBdr>
      </w:pPr>
    </w:p>
    <w:p/>
    <w:p>
      <w:pPr>
        <w:keepNext/>
        <w:keepLines/>
        <w:spacing w:before="240"/>
      </w:pPr>
      <w:r>
        <w:rPr>
          <w:b/>
          <w:color w:val="0D9EDF"/>
          <w:sz w:val="30"/>
        </w:rPr>
        <w:t>1. Hedef ve Kapsam</w:t>
      </w:r>
    </w:p>
    <w:p/>
    <w:p>
      <w:pPr>
        <w:spacing w:after="80"/>
      </w:pPr>
      <w:r>
        <w:rPr>
          <w:color w:val="1A1A1A"/>
        </w:rPr>
        <w:t>Bu planın hedefi, yatırımcı sürecini 3 fazda yönetmektir:</w:t>
      </w:r>
    </w:p>
    <w:p/>
    <w:p>
      <w:pPr>
        <w:pStyle w:val="ListNumber"/>
        <w:keepNext/>
        <w:keepLines/>
        <w:ind w:left="360"/>
      </w:pPr>
      <w:r>
        <w:rPr>
          <w:color w:val="1A1A1A"/>
        </w:rPr>
        <w:t>İlk temas ve ilgi oluşturma</w:t>
      </w:r>
    </w:p>
    <w:p>
      <w:pPr>
        <w:pStyle w:val="ListNumber"/>
        <w:keepNext/>
        <w:keepLines/>
        <w:ind w:left="360"/>
      </w:pPr>
      <w:r>
        <w:rPr>
          <w:color w:val="1A1A1A"/>
        </w:rPr>
        <w:t>Derin görüşme ve teknik/ticari doğrulama</w:t>
      </w:r>
    </w:p>
    <w:p>
      <w:pPr>
        <w:pStyle w:val="ListNumber"/>
        <w:keepNext/>
        <w:keepLines/>
        <w:ind w:left="360"/>
      </w:pPr>
      <w:r>
        <w:rPr>
          <w:color w:val="1A1A1A"/>
        </w:rPr>
        <w:t>Due diligence, teklif ve kapanış</w:t>
      </w:r>
    </w:p>
    <w:p/>
    <w:p>
      <w:pPr>
        <w:spacing w:after="80"/>
      </w:pPr>
      <w:r>
        <w:rPr>
          <w:color w:val="1A1A1A"/>
        </w:rPr>
        <w:t>Kapsam, belge düzeni, toplantı akışı, sorumluluklar, KPI'lar ve karar kapılarını içerir.</w:t>
      </w:r>
    </w:p>
    <w:p/>
    <w:p>
      <w:pPr>
        <w:pBdr>
          <w:bottom w:val="single" w:sz="6" w:space="1" w:color="0D9EDF"/>
        </w:pBdr>
      </w:pPr>
    </w:p>
    <w:p/>
    <w:p>
      <w:pPr>
        <w:keepNext/>
        <w:keepLines/>
        <w:spacing w:before="240"/>
      </w:pPr>
      <w:r>
        <w:rPr>
          <w:b/>
          <w:color w:val="0D9EDF"/>
          <w:sz w:val="30"/>
        </w:rPr>
        <w:t>2. Süreç Mimarisi (Faz Bazlı)</w:t>
      </w:r>
    </w:p>
    <w:p/>
    <w:p>
      <w:pPr>
        <w:keepNext/>
        <w:keepLines/>
        <w:spacing w:before="240"/>
      </w:pPr>
      <w:r>
        <w:rPr>
          <w:b/>
          <w:color w:val="0D9EDF"/>
          <w:sz w:val="30"/>
        </w:rPr>
        <w:t>Faz 1 — İlk Temas (Hafta 1-2)</w:t>
      </w:r>
    </w:p>
    <w:p/>
    <w:p>
      <w:pPr>
        <w:pStyle w:val="ListBullet"/>
        <w:ind w:left="360"/>
      </w:pPr>
      <w:r>
        <w:rPr>
          <w:color w:val="1A1A1A"/>
        </w:rPr>
        <w:t>Hedef yatırımcı listesi segmentasyonu (Tier 1/2/3)</w:t>
      </w:r>
    </w:p>
    <w:p>
      <w:pPr>
        <w:pStyle w:val="ListBullet"/>
        <w:ind w:left="360"/>
      </w:pPr>
      <w:r>
        <w:rPr>
          <w:color w:val="1A1A1A"/>
        </w:rPr>
        <w:t>İlk temas e-postaları ve warm intro</w:t>
      </w:r>
    </w:p>
    <w:p>
      <w:pPr>
        <w:pStyle w:val="ListBullet"/>
        <w:ind w:left="360"/>
      </w:pPr>
      <w:r>
        <w:rPr>
          <w:color w:val="1A1A1A"/>
        </w:rPr>
        <w:t>20 dakikalık tanışma görüşmeleri</w:t>
      </w:r>
    </w:p>
    <w:p/>
    <w:p>
      <w:pPr>
        <w:spacing w:after="80"/>
      </w:pPr>
      <w:r>
        <w:rPr>
          <w:color w:val="1A1A1A"/>
        </w:rPr>
        <w:t>Çıktı:</w:t>
      </w:r>
    </w:p>
    <w:p>
      <w:pPr>
        <w:pStyle w:val="ListBullet"/>
        <w:ind w:left="360"/>
      </w:pPr>
      <w:r>
        <w:rPr>
          <w:color w:val="1A1A1A"/>
        </w:rPr>
        <w:t>Toplam temas sayısı</w:t>
      </w:r>
    </w:p>
    <w:p>
      <w:pPr>
        <w:pStyle w:val="ListBullet"/>
        <w:ind w:left="360"/>
      </w:pPr>
      <w:r>
        <w:rPr>
          <w:color w:val="1A1A1A"/>
        </w:rPr>
        <w:t>Yanıt oranı</w:t>
      </w:r>
    </w:p>
    <w:p>
      <w:pPr>
        <w:pStyle w:val="ListBullet"/>
        <w:ind w:left="360"/>
      </w:pPr>
      <w:r>
        <w:rPr>
          <w:color w:val="1A1A1A"/>
        </w:rPr>
        <w:t>İlk toplantı sayısı</w:t>
      </w:r>
    </w:p>
    <w:p/>
    <w:p>
      <w:pPr>
        <w:keepNext/>
        <w:keepLines/>
        <w:spacing w:before="240"/>
      </w:pPr>
      <w:r>
        <w:rPr>
          <w:b/>
          <w:color w:val="0D9EDF"/>
          <w:sz w:val="30"/>
        </w:rPr>
        <w:t>Faz 2 — Değerlendirme (Hafta 3-6)</w:t>
      </w:r>
    </w:p>
    <w:p/>
    <w:p>
      <w:pPr>
        <w:pStyle w:val="ListBullet"/>
        <w:ind w:left="360"/>
      </w:pPr>
      <w:r>
        <w:rPr>
          <w:color w:val="1A1A1A"/>
        </w:rPr>
        <w:t>Ürün, pazar, finansal model ve ROI anlatısı</w:t>
      </w:r>
    </w:p>
    <w:p>
      <w:pPr>
        <w:pStyle w:val="ListBullet"/>
        <w:ind w:left="360"/>
      </w:pPr>
      <w:r>
        <w:rPr>
          <w:color w:val="1A1A1A"/>
        </w:rPr>
        <w:t>Demo ve Q&amp;A toplantıları</w:t>
      </w:r>
    </w:p>
    <w:p>
      <w:pPr>
        <w:pStyle w:val="ListBullet"/>
        <w:ind w:left="360"/>
      </w:pPr>
      <w:r>
        <w:rPr>
          <w:color w:val="1A1A1A"/>
        </w:rPr>
        <w:t>İtirazların sınıflandırılması</w:t>
      </w:r>
    </w:p>
    <w:p/>
    <w:p>
      <w:pPr>
        <w:spacing w:after="80"/>
      </w:pPr>
      <w:r>
        <w:rPr>
          <w:color w:val="1A1A1A"/>
        </w:rPr>
        <w:t>Çıktı:</w:t>
      </w:r>
    </w:p>
    <w:p>
      <w:pPr>
        <w:pStyle w:val="ListBullet"/>
        <w:ind w:left="360"/>
      </w:pPr>
      <w:r>
        <w:rPr>
          <w:color w:val="1A1A1A"/>
        </w:rPr>
        <w:t>İkinci görüşme sayısı</w:t>
      </w:r>
    </w:p>
    <w:p>
      <w:pPr>
        <w:pStyle w:val="ListBullet"/>
        <w:ind w:left="360"/>
      </w:pPr>
      <w:r>
        <w:rPr>
          <w:color w:val="1A1A1A"/>
        </w:rPr>
        <w:t>Data room talep eden yatırımcı sayısı</w:t>
      </w:r>
    </w:p>
    <w:p>
      <w:pPr>
        <w:pStyle w:val="ListBullet"/>
        <w:ind w:left="360"/>
      </w:pPr>
      <w:r>
        <w:rPr>
          <w:color w:val="1A1A1A"/>
        </w:rPr>
        <w:t>İlgi seviyesine göre pipeline dağılımı</w:t>
      </w:r>
    </w:p>
    <w:p/>
    <w:p>
      <w:pPr>
        <w:keepNext/>
        <w:keepLines/>
        <w:spacing w:before="240"/>
      </w:pPr>
      <w:r>
        <w:rPr>
          <w:b/>
          <w:color w:val="0D9EDF"/>
          <w:sz w:val="30"/>
        </w:rPr>
        <w:t>Faz 3 — DD ve Kapanış (Hafta 7-12)</w:t>
      </w:r>
    </w:p>
    <w:p/>
    <w:p>
      <w:pPr>
        <w:pStyle w:val="ListBullet"/>
        <w:ind w:left="360"/>
      </w:pPr>
      <w:r>
        <w:rPr>
          <w:color w:val="1A1A1A"/>
        </w:rPr>
        <w:t>Data room paylaşımı</w:t>
      </w:r>
    </w:p>
    <w:p>
      <w:pPr>
        <w:pStyle w:val="ListBullet"/>
        <w:ind w:left="360"/>
      </w:pPr>
      <w:r>
        <w:rPr>
          <w:color w:val="1A1A1A"/>
        </w:rPr>
        <w:t>Hukuki ve finansal inceleme</w:t>
      </w:r>
    </w:p>
    <w:p>
      <w:pPr>
        <w:pStyle w:val="ListBullet"/>
        <w:ind w:left="360"/>
      </w:pPr>
      <w:r>
        <w:rPr>
          <w:color w:val="1A1A1A"/>
        </w:rPr>
        <w:t>Term sheet / teklif görüşmeleri</w:t>
      </w:r>
    </w:p>
    <w:p/>
    <w:p>
      <w:pPr>
        <w:spacing w:after="80"/>
      </w:pPr>
      <w:r>
        <w:rPr>
          <w:color w:val="1A1A1A"/>
        </w:rPr>
        <w:t>Çıktı:</w:t>
      </w:r>
    </w:p>
    <w:p>
      <w:pPr>
        <w:pStyle w:val="ListBullet"/>
        <w:ind w:left="360"/>
      </w:pPr>
      <w:r>
        <w:rPr>
          <w:color w:val="1A1A1A"/>
        </w:rPr>
        <w:t>DD'ye geçen yatırımcı sayısı</w:t>
      </w:r>
    </w:p>
    <w:p>
      <w:pPr>
        <w:pStyle w:val="ListBullet"/>
        <w:ind w:left="360"/>
      </w:pPr>
      <w:r>
        <w:rPr>
          <w:color w:val="1A1A1A"/>
        </w:rPr>
        <w:t>Teklif alan yatırımcı sayısı</w:t>
      </w:r>
    </w:p>
    <w:p>
      <w:pPr>
        <w:pStyle w:val="ListBullet"/>
        <w:ind w:left="360"/>
      </w:pPr>
      <w:r>
        <w:rPr>
          <w:color w:val="1A1A1A"/>
        </w:rPr>
        <w:t>Hedef kapanış tarihi</w:t>
      </w:r>
    </w:p>
    <w:p/>
    <w:p>
      <w:pPr>
        <w:pBdr>
          <w:bottom w:val="single" w:sz="6" w:space="1" w:color="0D9EDF"/>
        </w:pBdr>
      </w:pPr>
    </w:p>
    <w:p/>
    <w:p>
      <w:pPr>
        <w:keepNext/>
        <w:keepLines/>
        <w:spacing w:before="240"/>
      </w:pPr>
      <w:r>
        <w:rPr>
          <w:b/>
          <w:color w:val="0D9EDF"/>
          <w:sz w:val="30"/>
        </w:rPr>
        <w:t>3. Doküman Hiyerarşisi</w:t>
      </w:r>
    </w:p>
    <w:p/>
    <w:p>
      <w:pPr>
        <w:spacing w:after="80"/>
      </w:pPr>
      <w:r>
        <w:rPr>
          <w:color w:val="1A1A1A"/>
        </w:rPr>
        <w:t>Yatırımcıya verilecek içerik 3 katmanda yönetilir:</w:t>
      </w:r>
    </w:p>
    <w:p/>
    <w:p>
      <w:pPr>
        <w:keepNext/>
        <w:keepLines/>
        <w:spacing w:before="160"/>
      </w:pPr>
      <w:r>
        <w:rPr>
          <w:b/>
          <w:color w:val="333333"/>
          <w:sz w:val="24"/>
        </w:rPr>
        <w:t>Katman A — İlk Etki Paketi</w:t>
      </w:r>
    </w:p>
    <w:p/>
    <w:p>
      <w:pPr>
        <w:pStyle w:val="ListBullet"/>
        <w:ind w:left="360"/>
      </w:pPr>
      <w:r>
        <w:rPr>
          <w:color w:val="1A1A1A"/>
        </w:rPr>
        <w:t>01_Problem_Statement</w:t>
      </w:r>
    </w:p>
    <w:p>
      <w:pPr>
        <w:pStyle w:val="ListBullet"/>
        <w:ind w:left="360"/>
      </w:pPr>
      <w:r>
        <w:rPr>
          <w:color w:val="1A1A1A"/>
        </w:rPr>
        <w:t>02_Product_Features</w:t>
      </w:r>
    </w:p>
    <w:p>
      <w:pPr>
        <w:pStyle w:val="ListBullet"/>
        <w:ind w:left="360"/>
      </w:pPr>
      <w:r>
        <w:rPr>
          <w:color w:val="1A1A1A"/>
        </w:rPr>
        <w:t>16_Investor_One_Pager</w:t>
      </w:r>
    </w:p>
    <w:p>
      <w:pPr>
        <w:pStyle w:val="ListBullet"/>
        <w:ind w:left="360"/>
      </w:pPr>
      <w:r>
        <w:rPr>
          <w:color w:val="1A1A1A"/>
        </w:rPr>
        <w:t>18_Sale_Pitch_Deck</w:t>
      </w:r>
    </w:p>
    <w:p/>
    <w:p>
      <w:pPr>
        <w:keepNext/>
        <w:keepLines/>
        <w:spacing w:before="160"/>
      </w:pPr>
      <w:r>
        <w:rPr>
          <w:b/>
          <w:color w:val="333333"/>
          <w:sz w:val="24"/>
        </w:rPr>
        <w:t>Katman B — Karar Destek Paketi</w:t>
      </w:r>
    </w:p>
    <w:p/>
    <w:p>
      <w:pPr>
        <w:pStyle w:val="ListBullet"/>
        <w:ind w:left="360"/>
      </w:pPr>
      <w:r>
        <w:rPr>
          <w:color w:val="1A1A1A"/>
        </w:rPr>
        <w:t>03_Competitor_Analysis</w:t>
      </w:r>
    </w:p>
    <w:p>
      <w:pPr>
        <w:pStyle w:val="ListBullet"/>
        <w:ind w:left="360"/>
      </w:pPr>
      <w:r>
        <w:rPr>
          <w:color w:val="1A1A1A"/>
        </w:rPr>
        <w:t>05_Technical_Architecture</w:t>
      </w:r>
    </w:p>
    <w:p>
      <w:pPr>
        <w:pStyle w:val="ListBullet"/>
        <w:ind w:left="360"/>
      </w:pPr>
      <w:r>
        <w:rPr>
          <w:color w:val="1A1A1A"/>
        </w:rPr>
        <w:t>06_Pricing_Model</w:t>
      </w:r>
    </w:p>
    <w:p>
      <w:pPr>
        <w:pStyle w:val="ListBullet"/>
        <w:ind w:left="360"/>
      </w:pPr>
      <w:r>
        <w:rPr>
          <w:color w:val="1A1A1A"/>
        </w:rPr>
        <w:t>15_Financial_Model_Assumptions</w:t>
      </w:r>
    </w:p>
    <w:p>
      <w:pPr>
        <w:pStyle w:val="ListBullet"/>
        <w:ind w:left="360"/>
      </w:pPr>
      <w:r>
        <w:rPr>
          <w:color w:val="1A1A1A"/>
        </w:rPr>
        <w:t>19_CEO_Presentation_Script</w:t>
      </w:r>
    </w:p>
    <w:p/>
    <w:p>
      <w:pPr>
        <w:keepNext/>
        <w:keepLines/>
        <w:spacing w:before="160"/>
      </w:pPr>
      <w:r>
        <w:rPr>
          <w:b/>
          <w:color w:val="333333"/>
          <w:sz w:val="24"/>
        </w:rPr>
        <w:t>Katman C — DD Paketi</w:t>
      </w:r>
    </w:p>
    <w:p/>
    <w:p>
      <w:pPr>
        <w:pStyle w:val="ListBullet"/>
        <w:ind w:left="360"/>
      </w:pPr>
      <w:r>
        <w:rPr>
          <w:color w:val="1A1A1A"/>
        </w:rPr>
        <w:t>08_Data_Room_Checklist</w:t>
      </w:r>
    </w:p>
    <w:p>
      <w:pPr>
        <w:pStyle w:val="ListBullet"/>
        <w:ind w:left="360"/>
      </w:pPr>
      <w:r>
        <w:rPr>
          <w:color w:val="1A1A1A"/>
        </w:rPr>
        <w:t>10_Due_Diligence_QA</w:t>
      </w:r>
    </w:p>
    <w:p>
      <w:pPr>
        <w:pStyle w:val="ListBullet"/>
        <w:ind w:left="360"/>
      </w:pPr>
      <w:r>
        <w:rPr>
          <w:color w:val="1A1A1A"/>
        </w:rPr>
        <w:t>11_Closing_Execution_Plan</w:t>
      </w:r>
    </w:p>
    <w:p>
      <w:pPr>
        <w:pStyle w:val="ListBullet"/>
        <w:ind w:left="360"/>
      </w:pPr>
      <w:r>
        <w:rPr>
          <w:color w:val="1A1A1A"/>
        </w:rPr>
        <w:t>20_QA_Meeting_Version</w:t>
      </w:r>
    </w:p>
    <w:p/>
    <w:p>
      <w:pPr>
        <w:pBdr>
          <w:bottom w:val="single" w:sz="6" w:space="1" w:color="0D9EDF"/>
        </w:pBdr>
      </w:pPr>
    </w:p>
    <w:p/>
    <w:p>
      <w:pPr>
        <w:keepNext/>
        <w:keepLines/>
        <w:spacing w:before="240"/>
      </w:pPr>
      <w:r>
        <w:rPr>
          <w:b/>
          <w:color w:val="0D9EDF"/>
          <w:sz w:val="30"/>
        </w:rPr>
        <w:t>4. Toplantı Yapısı</w:t>
      </w:r>
    </w:p>
    <w:p/>
    <w:p>
      <w:pPr>
        <w:keepNext/>
        <w:keepLines/>
        <w:spacing w:before="240"/>
      </w:pPr>
      <w:r>
        <w:rPr>
          <w:b/>
          <w:color w:val="0D9EDF"/>
          <w:sz w:val="30"/>
        </w:rPr>
        <w:t>Toplantı 1 (20-30 dk)</w:t>
      </w:r>
    </w:p>
    <w:p/>
    <w:p>
      <w:pPr>
        <w:spacing w:after="80"/>
      </w:pPr>
      <w:r>
        <w:rPr>
          <w:color w:val="1A1A1A"/>
        </w:rPr>
        <w:t>Amaç: İlgi oluşturmak</w:t>
      </w:r>
    </w:p>
    <w:p/>
    <w:p>
      <w:pPr>
        <w:spacing w:after="80"/>
      </w:pPr>
      <w:r>
        <w:rPr>
          <w:color w:val="1A1A1A"/>
        </w:rPr>
        <w:t>Akış:</w:t>
      </w:r>
    </w:p>
    <w:p>
      <w:pPr>
        <w:pStyle w:val="ListBullet"/>
        <w:ind w:left="360"/>
      </w:pPr>
      <w:r>
        <w:rPr>
          <w:color w:val="1A1A1A"/>
        </w:rPr>
        <w:t>Problem</w:t>
      </w:r>
    </w:p>
    <w:p>
      <w:pPr>
        <w:pStyle w:val="ListBullet"/>
        <w:ind w:left="360"/>
      </w:pPr>
      <w:r>
        <w:rPr>
          <w:color w:val="1A1A1A"/>
        </w:rPr>
        <w:t>Çözüm</w:t>
      </w:r>
    </w:p>
    <w:p>
      <w:pPr>
        <w:pStyle w:val="ListBullet"/>
        <w:ind w:left="360"/>
      </w:pPr>
      <w:r>
        <w:rPr>
          <w:color w:val="1A1A1A"/>
        </w:rPr>
        <w:t>Neden şimdi</w:t>
      </w:r>
    </w:p>
    <w:p>
      <w:pPr>
        <w:pStyle w:val="ListBullet"/>
        <w:ind w:left="360"/>
      </w:pPr>
      <w:r>
        <w:rPr>
          <w:color w:val="1A1A1A"/>
        </w:rPr>
        <w:t>Kısa finansal çerçeve</w:t>
      </w:r>
    </w:p>
    <w:p>
      <w:pPr>
        <w:pStyle w:val="ListBullet"/>
        <w:ind w:left="360"/>
      </w:pPr>
      <w:r>
        <w:rPr>
          <w:color w:val="1A1A1A"/>
        </w:rPr>
        <w:t>Sonraki adım çağrısı</w:t>
      </w:r>
    </w:p>
    <w:p/>
    <w:p>
      <w:pPr>
        <w:keepNext/>
        <w:keepLines/>
        <w:spacing w:before="240"/>
      </w:pPr>
      <w:r>
        <w:rPr>
          <w:b/>
          <w:color w:val="0D9EDF"/>
          <w:sz w:val="30"/>
        </w:rPr>
        <w:t>Toplantı 2 (45-60 dk)</w:t>
      </w:r>
    </w:p>
    <w:p/>
    <w:p>
      <w:pPr>
        <w:spacing w:after="80"/>
      </w:pPr>
      <w:r>
        <w:rPr>
          <w:color w:val="1A1A1A"/>
        </w:rPr>
        <w:t>Amaç: Teknik ve ticari ikna</w:t>
      </w:r>
    </w:p>
    <w:p/>
    <w:p>
      <w:pPr>
        <w:spacing w:after="80"/>
      </w:pPr>
      <w:r>
        <w:rPr>
          <w:color w:val="1A1A1A"/>
        </w:rPr>
        <w:t>Akış:</w:t>
      </w:r>
    </w:p>
    <w:p>
      <w:pPr>
        <w:pStyle w:val="ListBullet"/>
        <w:ind w:left="360"/>
      </w:pPr>
      <w:r>
        <w:rPr>
          <w:color w:val="1A1A1A"/>
        </w:rPr>
        <w:t>Ürün demo</w:t>
      </w:r>
    </w:p>
    <w:p>
      <w:pPr>
        <w:pStyle w:val="ListBullet"/>
        <w:ind w:left="360"/>
      </w:pPr>
      <w:r>
        <w:rPr>
          <w:color w:val="1A1A1A"/>
        </w:rPr>
        <w:t>Rekabet farkı</w:t>
      </w:r>
    </w:p>
    <w:p>
      <w:pPr>
        <w:pStyle w:val="ListBullet"/>
        <w:ind w:left="360"/>
      </w:pPr>
      <w:r>
        <w:rPr>
          <w:color w:val="1A1A1A"/>
        </w:rPr>
        <w:t>ROI / payback senaryosu</w:t>
      </w:r>
    </w:p>
    <w:p>
      <w:pPr>
        <w:pStyle w:val="ListBullet"/>
        <w:ind w:left="360"/>
      </w:pPr>
      <w:r>
        <w:rPr>
          <w:color w:val="1A1A1A"/>
        </w:rPr>
        <w:t>Yol haritası</w:t>
      </w:r>
    </w:p>
    <w:p>
      <w:pPr>
        <w:pStyle w:val="ListBullet"/>
        <w:ind w:left="360"/>
      </w:pPr>
      <w:r>
        <w:rPr>
          <w:color w:val="1A1A1A"/>
        </w:rPr>
        <w:t>İtiraz yönetimi</w:t>
      </w:r>
    </w:p>
    <w:p/>
    <w:p>
      <w:pPr>
        <w:keepNext/>
        <w:keepLines/>
        <w:spacing w:before="240"/>
      </w:pPr>
      <w:r>
        <w:rPr>
          <w:b/>
          <w:color w:val="0D9EDF"/>
          <w:sz w:val="30"/>
        </w:rPr>
        <w:t>Toplantı 3 (60 dk)</w:t>
      </w:r>
    </w:p>
    <w:p/>
    <w:p>
      <w:pPr>
        <w:spacing w:after="80"/>
      </w:pPr>
      <w:r>
        <w:rPr>
          <w:color w:val="1A1A1A"/>
        </w:rPr>
        <w:t>Amaç: DD hazırlığı ve teklif zemini</w:t>
      </w:r>
    </w:p>
    <w:p/>
    <w:p>
      <w:pPr>
        <w:spacing w:after="80"/>
      </w:pPr>
      <w:r>
        <w:rPr>
          <w:color w:val="1A1A1A"/>
        </w:rPr>
        <w:t>Akış:</w:t>
      </w:r>
    </w:p>
    <w:p>
      <w:pPr>
        <w:pStyle w:val="ListBullet"/>
        <w:ind w:left="360"/>
      </w:pPr>
      <w:r>
        <w:rPr>
          <w:color w:val="1A1A1A"/>
        </w:rPr>
        <w:t>Data room walkthrough</w:t>
      </w:r>
    </w:p>
    <w:p>
      <w:pPr>
        <w:pStyle w:val="ListBullet"/>
        <w:ind w:left="360"/>
      </w:pPr>
      <w:r>
        <w:rPr>
          <w:color w:val="1A1A1A"/>
        </w:rPr>
        <w:t>Hukuki/finansal beklentiler</w:t>
      </w:r>
    </w:p>
    <w:p>
      <w:pPr>
        <w:pStyle w:val="ListBullet"/>
        <w:ind w:left="360"/>
      </w:pPr>
      <w:r>
        <w:rPr>
          <w:color w:val="1A1A1A"/>
        </w:rPr>
        <w:t>Tur yapısı</w:t>
      </w:r>
    </w:p>
    <w:p>
      <w:pPr>
        <w:pStyle w:val="ListBullet"/>
        <w:ind w:left="360"/>
      </w:pPr>
      <w:r>
        <w:rPr>
          <w:color w:val="1A1A1A"/>
        </w:rPr>
        <w:t>Takvim ve karar mekanizması</w:t>
      </w:r>
    </w:p>
    <w:p/>
    <w:p>
      <w:pPr>
        <w:pBdr>
          <w:bottom w:val="single" w:sz="6" w:space="1" w:color="0D9EDF"/>
        </w:pBdr>
      </w:pPr>
    </w:p>
    <w:p/>
    <w:p>
      <w:pPr>
        <w:keepNext/>
        <w:keepLines/>
        <w:spacing w:before="240"/>
      </w:pPr>
      <w:r>
        <w:rPr>
          <w:b/>
          <w:color w:val="0D9EDF"/>
          <w:sz w:val="30"/>
        </w:rPr>
        <w:t>5. Rol ve Sorumluluk Yapısı</w:t>
      </w:r>
    </w:p>
    <w:p/>
    <w:p>
      <w:pPr>
        <w:keepNext/>
        <w:keepLines/>
        <w:spacing w:before="240"/>
      </w:pPr>
      <w:r>
        <w:rPr>
          <w:b/>
          <w:color w:val="0D9EDF"/>
          <w:sz w:val="30"/>
        </w:rPr>
        <w:t>Kurucu (Turgay)</w:t>
      </w:r>
    </w:p>
    <w:p/>
    <w:p>
      <w:pPr>
        <w:pStyle w:val="ListBullet"/>
        <w:ind w:left="360"/>
      </w:pPr>
      <w:r>
        <w:rPr>
          <w:color w:val="1A1A1A"/>
        </w:rPr>
        <w:t>Ana anlatı sahibi</w:t>
      </w:r>
    </w:p>
    <w:p>
      <w:pPr>
        <w:pStyle w:val="ListBullet"/>
        <w:ind w:left="360"/>
      </w:pPr>
      <w:r>
        <w:rPr>
          <w:color w:val="1A1A1A"/>
        </w:rPr>
        <w:t>Ürün ve teknik sunum</w:t>
      </w:r>
    </w:p>
    <w:p>
      <w:pPr>
        <w:pStyle w:val="ListBullet"/>
        <w:ind w:left="360"/>
      </w:pPr>
      <w:r>
        <w:rPr>
          <w:color w:val="1A1A1A"/>
        </w:rPr>
        <w:t>Nihai müzakere</w:t>
      </w:r>
    </w:p>
    <w:p/>
    <w:p>
      <w:pPr>
        <w:keepNext/>
        <w:keepLines/>
        <w:spacing w:before="240"/>
      </w:pPr>
      <w:r>
        <w:rPr>
          <w:b/>
          <w:color w:val="0D9EDF"/>
          <w:sz w:val="30"/>
        </w:rPr>
        <w:t>Fractional Satış Desteği</w:t>
      </w:r>
    </w:p>
    <w:p/>
    <w:p>
      <w:pPr>
        <w:pStyle w:val="ListBullet"/>
        <w:ind w:left="360"/>
      </w:pPr>
      <w:r>
        <w:rPr>
          <w:color w:val="1A1A1A"/>
        </w:rPr>
        <w:t>Pipeline yönetimi</w:t>
      </w:r>
    </w:p>
    <w:p>
      <w:pPr>
        <w:pStyle w:val="ListBullet"/>
        <w:ind w:left="360"/>
      </w:pPr>
      <w:r>
        <w:rPr>
          <w:color w:val="1A1A1A"/>
        </w:rPr>
        <w:t>Takip temposu</w:t>
      </w:r>
    </w:p>
    <w:p>
      <w:pPr>
        <w:pStyle w:val="ListBullet"/>
        <w:ind w:left="360"/>
      </w:pPr>
      <w:r>
        <w:rPr>
          <w:color w:val="1A1A1A"/>
        </w:rPr>
        <w:t>CRM disiplininin işletilmesi</w:t>
      </w:r>
    </w:p>
    <w:p/>
    <w:p>
      <w:pPr>
        <w:keepNext/>
        <w:keepLines/>
        <w:spacing w:before="240"/>
      </w:pPr>
      <w:r>
        <w:rPr>
          <w:b/>
          <w:color w:val="0D9EDF"/>
          <w:sz w:val="30"/>
        </w:rPr>
        <w:t>Fractional Finans/Hukuk Desteği</w:t>
      </w:r>
    </w:p>
    <w:p/>
    <w:p>
      <w:pPr>
        <w:pStyle w:val="ListBullet"/>
        <w:ind w:left="360"/>
      </w:pPr>
      <w:r>
        <w:rPr>
          <w:color w:val="1A1A1A"/>
        </w:rPr>
        <w:t>Term sheet hazırlığı</w:t>
      </w:r>
    </w:p>
    <w:p>
      <w:pPr>
        <w:pStyle w:val="ListBullet"/>
        <w:ind w:left="360"/>
      </w:pPr>
      <w:r>
        <w:rPr>
          <w:color w:val="1A1A1A"/>
        </w:rPr>
        <w:t>DD evrak kontrolü</w:t>
      </w:r>
    </w:p>
    <w:p>
      <w:pPr>
        <w:pStyle w:val="ListBullet"/>
        <w:ind w:left="360"/>
      </w:pPr>
      <w:r>
        <w:rPr>
          <w:color w:val="1A1A1A"/>
        </w:rPr>
        <w:t>Sözleşme süreçleri</w:t>
      </w:r>
    </w:p>
    <w:p/>
    <w:p>
      <w:pPr>
        <w:pBdr>
          <w:bottom w:val="single" w:sz="6" w:space="1" w:color="0D9EDF"/>
        </w:pBdr>
      </w:pPr>
    </w:p>
    <w:p/>
    <w:p>
      <w:pPr>
        <w:keepNext/>
        <w:keepLines/>
        <w:spacing w:before="240"/>
      </w:pPr>
      <w:r>
        <w:rPr>
          <w:b/>
          <w:color w:val="0D9EDF"/>
          <w:sz w:val="30"/>
        </w:rPr>
        <w:t>6. KPI ve Karar Kapıları</w:t>
      </w:r>
    </w:p>
    <w:p/>
    <w:p>
      <w:pPr>
        <w:keepNext/>
        <w:keepLines/>
        <w:spacing w:before="240"/>
      </w:pPr>
      <w:r>
        <w:rPr>
          <w:b/>
          <w:color w:val="0D9EDF"/>
          <w:sz w:val="30"/>
        </w:rPr>
        <w:t>Faz 1 KPI</w:t>
      </w:r>
    </w:p>
    <w:p/>
    <w:p>
      <w:pPr>
        <w:pStyle w:val="ListBullet"/>
        <w:ind w:left="360"/>
      </w:pPr>
      <w:r>
        <w:rPr>
          <w:color w:val="1A1A1A"/>
        </w:rPr>
        <w:t>Haftalık yeni temas: 15+</w:t>
      </w:r>
    </w:p>
    <w:p>
      <w:pPr>
        <w:pStyle w:val="ListBullet"/>
        <w:ind w:left="360"/>
      </w:pPr>
      <w:r>
        <w:rPr>
          <w:color w:val="1A1A1A"/>
        </w:rPr>
        <w:t>Yanıt oranı: %20+</w:t>
      </w:r>
    </w:p>
    <w:p>
      <w:pPr>
        <w:pStyle w:val="ListBullet"/>
        <w:ind w:left="360"/>
      </w:pPr>
      <w:r>
        <w:rPr>
          <w:color w:val="1A1A1A"/>
        </w:rPr>
        <w:t>Görüşmeye dönüşüm: %10+</w:t>
      </w:r>
    </w:p>
    <w:p/>
    <w:p>
      <w:pPr>
        <w:spacing w:after="80"/>
      </w:pPr>
      <w:r>
        <w:rPr>
          <w:color w:val="1A1A1A"/>
        </w:rPr>
        <w:t>Karar kapısı:</w:t>
      </w:r>
    </w:p>
    <w:p>
      <w:pPr>
        <w:pStyle w:val="ListBullet"/>
        <w:ind w:left="360"/>
      </w:pPr>
      <w:r>
        <w:rPr>
          <w:color w:val="1A1A1A"/>
        </w:rPr>
        <w:t>2 hafta sonunda minimum 8 görüşme yoksa mesaj ve hedefleme revize edilir.</w:t>
      </w:r>
    </w:p>
    <w:p/>
    <w:p>
      <w:pPr>
        <w:keepNext/>
        <w:keepLines/>
        <w:spacing w:before="240"/>
      </w:pPr>
      <w:r>
        <w:rPr>
          <w:b/>
          <w:color w:val="0D9EDF"/>
          <w:sz w:val="30"/>
        </w:rPr>
        <w:t>Faz 2 KPI</w:t>
      </w:r>
    </w:p>
    <w:p/>
    <w:p>
      <w:pPr>
        <w:pStyle w:val="ListBullet"/>
        <w:ind w:left="360"/>
      </w:pPr>
      <w:r>
        <w:rPr>
          <w:color w:val="1A1A1A"/>
        </w:rPr>
        <w:t>İkinci görüşme oranı: %40+</w:t>
      </w:r>
    </w:p>
    <w:p>
      <w:pPr>
        <w:pStyle w:val="ListBullet"/>
        <w:ind w:left="360"/>
      </w:pPr>
      <w:r>
        <w:rPr>
          <w:color w:val="1A1A1A"/>
        </w:rPr>
        <w:t>Data room talebi: en az 3 yatırımcı</w:t>
      </w:r>
    </w:p>
    <w:p>
      <w:pPr>
        <w:pStyle w:val="ListBullet"/>
        <w:ind w:left="360"/>
      </w:pPr>
      <w:r>
        <w:rPr>
          <w:color w:val="1A1A1A"/>
        </w:rPr>
        <w:t>İtiraz kapanış oranı: %60+</w:t>
      </w:r>
    </w:p>
    <w:p/>
    <w:p>
      <w:pPr>
        <w:spacing w:after="80"/>
      </w:pPr>
      <w:r>
        <w:rPr>
          <w:color w:val="1A1A1A"/>
        </w:rPr>
        <w:t>Karar kapısı:</w:t>
      </w:r>
    </w:p>
    <w:p>
      <w:pPr>
        <w:pStyle w:val="ListBullet"/>
        <w:ind w:left="360"/>
      </w:pPr>
      <w:r>
        <w:rPr>
          <w:color w:val="1A1A1A"/>
        </w:rPr>
        <w:t>6 hafta sonunda DD adayı yoksa pitch ve değerleme kurgusu yeniden konumlanır.</w:t>
      </w:r>
    </w:p>
    <w:p/>
    <w:p>
      <w:pPr>
        <w:keepNext/>
        <w:keepLines/>
        <w:spacing w:before="240"/>
      </w:pPr>
      <w:r>
        <w:rPr>
          <w:b/>
          <w:color w:val="0D9EDF"/>
          <w:sz w:val="30"/>
        </w:rPr>
        <w:t>Faz 3 KPI</w:t>
      </w:r>
    </w:p>
    <w:p/>
    <w:p>
      <w:pPr>
        <w:pStyle w:val="ListBullet"/>
        <w:ind w:left="360"/>
      </w:pPr>
      <w:r>
        <w:rPr>
          <w:color w:val="1A1A1A"/>
        </w:rPr>
        <w:t>DD aktif yatırımcı: 2+</w:t>
      </w:r>
    </w:p>
    <w:p>
      <w:pPr>
        <w:pStyle w:val="ListBullet"/>
        <w:ind w:left="360"/>
      </w:pPr>
      <w:r>
        <w:rPr>
          <w:color w:val="1A1A1A"/>
        </w:rPr>
        <w:t>Teklif adayı: 1+</w:t>
      </w:r>
    </w:p>
    <w:p>
      <w:pPr>
        <w:pStyle w:val="ListBullet"/>
        <w:ind w:left="360"/>
      </w:pPr>
      <w:r>
        <w:rPr>
          <w:color w:val="1A1A1A"/>
        </w:rPr>
        <w:t>Kapanış takvimi: 30 gün içinde net tarih</w:t>
      </w:r>
    </w:p>
    <w:p/>
    <w:p>
      <w:pPr>
        <w:spacing w:after="80"/>
      </w:pPr>
      <w:r>
        <w:rPr>
          <w:color w:val="1A1A1A"/>
        </w:rPr>
        <w:t>Karar kapısı:</w:t>
      </w:r>
    </w:p>
    <w:p>
      <w:pPr>
        <w:pStyle w:val="ListBullet"/>
        <w:ind w:left="360"/>
      </w:pPr>
      <w:r>
        <w:rPr>
          <w:color w:val="1A1A1A"/>
        </w:rPr>
        <w:t>12 hafta sonunda teklif yoksa yeni yatırımcı dalgası + stratejik alıcı kanalı açılır.</w:t>
      </w:r>
    </w:p>
    <w:p/>
    <w:p>
      <w:pPr>
        <w:pBdr>
          <w:bottom w:val="single" w:sz="6" w:space="1" w:color="0D9EDF"/>
        </w:pBdr>
      </w:pPr>
    </w:p>
    <w:p/>
    <w:p>
      <w:pPr>
        <w:keepNext/>
        <w:keepLines/>
        <w:spacing w:before="240"/>
      </w:pPr>
      <w:r>
        <w:rPr>
          <w:b/>
          <w:color w:val="0D9EDF"/>
          <w:sz w:val="30"/>
        </w:rPr>
        <w:t>7. Data Room Yapı Önerisi</w:t>
      </w:r>
    </w:p>
    <w:p/>
    <w:p>
      <w:pPr>
        <w:spacing w:after="80"/>
      </w:pPr>
      <w:r>
        <w:rPr>
          <w:color w:val="1A1A1A"/>
        </w:rPr>
        <w:t>Data room klasörleri:</w:t>
      </w:r>
    </w:p>
    <w:p/>
    <w:p>
      <w:pPr>
        <w:pStyle w:val="ListNumber"/>
        <w:keepNext/>
        <w:keepLines/>
        <w:ind w:left="360"/>
      </w:pPr>
      <w:r>
        <w:rPr>
          <w:color w:val="1A1A1A"/>
        </w:rPr>
        <w:t>Company &amp; Legal</w:t>
      </w:r>
    </w:p>
    <w:p>
      <w:pPr>
        <w:pStyle w:val="ListNumber"/>
        <w:keepNext/>
        <w:keepLines/>
        <w:ind w:left="360"/>
      </w:pPr>
      <w:r>
        <w:rPr>
          <w:color w:val="1A1A1A"/>
        </w:rPr>
        <w:t>Product &amp; Tech</w:t>
      </w:r>
    </w:p>
    <w:p>
      <w:pPr>
        <w:pStyle w:val="ListNumber"/>
        <w:keepNext/>
        <w:keepLines/>
        <w:ind w:left="360"/>
      </w:pPr>
      <w:r>
        <w:rPr>
          <w:color w:val="1A1A1A"/>
        </w:rPr>
        <w:t>Security &amp; Compliance</w:t>
      </w:r>
    </w:p>
    <w:p>
      <w:pPr>
        <w:pStyle w:val="ListNumber"/>
        <w:keepNext/>
        <w:keepLines/>
        <w:ind w:left="360"/>
      </w:pPr>
      <w:r>
        <w:rPr>
          <w:color w:val="1A1A1A"/>
        </w:rPr>
        <w:t>Financial Model</w:t>
      </w:r>
    </w:p>
    <w:p>
      <w:pPr>
        <w:pStyle w:val="ListNumber"/>
        <w:keepNext/>
        <w:keepLines/>
        <w:ind w:left="360"/>
      </w:pPr>
      <w:r>
        <w:rPr>
          <w:color w:val="1A1A1A"/>
        </w:rPr>
        <w:t>GTM &amp; Sales</w:t>
      </w:r>
    </w:p>
    <w:p>
      <w:pPr>
        <w:pStyle w:val="ListNumber"/>
        <w:keepNext/>
        <w:keepLines/>
        <w:ind w:left="360"/>
      </w:pPr>
      <w:r>
        <w:rPr>
          <w:color w:val="1A1A1A"/>
        </w:rPr>
        <w:t>Team &amp; Hiring</w:t>
      </w:r>
    </w:p>
    <w:p>
      <w:pPr>
        <w:pStyle w:val="ListNumber"/>
        <w:keepNext/>
        <w:keepLines/>
        <w:ind w:left="360"/>
      </w:pPr>
      <w:r>
        <w:rPr>
          <w:color w:val="1A1A1A"/>
        </w:rPr>
        <w:t>Customer Evidence (oluştukça)</w:t>
      </w:r>
    </w:p>
    <w:p/>
    <w:p>
      <w:pPr>
        <w:spacing w:after="80"/>
      </w:pPr>
      <w:r>
        <w:rPr>
          <w:color w:val="1A1A1A"/>
        </w:rPr>
        <w:t>Her klasörde dosya durumu etiketi:</w:t>
      </w:r>
    </w:p>
    <w:p>
      <w:pPr>
        <w:pStyle w:val="ListBullet"/>
        <w:ind w:left="360"/>
      </w:pPr>
      <w:r>
        <w:rPr>
          <w:color w:val="1A1A1A"/>
        </w:rPr>
        <w:t>Ready</w:t>
      </w:r>
    </w:p>
    <w:p>
      <w:pPr>
        <w:pStyle w:val="ListBullet"/>
        <w:ind w:left="360"/>
      </w:pPr>
      <w:r>
        <w:rPr>
          <w:color w:val="1A1A1A"/>
        </w:rPr>
        <w:t>Draft</w:t>
      </w:r>
    </w:p>
    <w:p>
      <w:pPr>
        <w:pStyle w:val="ListBullet"/>
        <w:ind w:left="360"/>
      </w:pPr>
      <w:r>
        <w:rPr>
          <w:color w:val="1A1A1A"/>
        </w:rPr>
        <w:t>Missing</w:t>
      </w:r>
    </w:p>
    <w:p/>
    <w:p>
      <w:pPr>
        <w:pBdr>
          <w:bottom w:val="single" w:sz="6" w:space="1" w:color="0D9EDF"/>
        </w:pBdr>
      </w:pPr>
    </w:p>
    <w:p/>
    <w:p>
      <w:pPr>
        <w:keepNext/>
        <w:keepLines/>
        <w:spacing w:before="240"/>
      </w:pPr>
      <w:r>
        <w:rPr>
          <w:b/>
          <w:color w:val="0D9EDF"/>
          <w:sz w:val="30"/>
        </w:rPr>
        <w:t>8. İletişim ve Raporlama Ritmi</w:t>
      </w:r>
    </w:p>
    <w:p/>
    <w:p>
      <w:pPr>
        <w:pStyle w:val="ListBullet"/>
        <w:ind w:left="360"/>
      </w:pPr>
      <w:r>
        <w:rPr>
          <w:color w:val="1A1A1A"/>
        </w:rPr>
        <w:t>Haftalık iç rapor: pipeline + risk + aksiyon</w:t>
      </w:r>
    </w:p>
    <w:p>
      <w:pPr>
        <w:pStyle w:val="ListBullet"/>
        <w:ind w:left="360"/>
      </w:pPr>
      <w:r>
        <w:rPr>
          <w:color w:val="1A1A1A"/>
        </w:rPr>
        <w:t>İki haftada bir anlatı revizyonu: en çok gelen itirazlara göre</w:t>
      </w:r>
    </w:p>
    <w:p>
      <w:pPr>
        <w:pStyle w:val="ListBullet"/>
        <w:ind w:left="360"/>
      </w:pPr>
      <w:r>
        <w:rPr>
          <w:color w:val="1A1A1A"/>
        </w:rPr>
        <w:t>Aylık yatırımcı update: metrikler, gelişmeler, ihtiyaçlar</w:t>
      </w:r>
    </w:p>
    <w:p/>
    <w:p>
      <w:pPr>
        <w:pBdr>
          <w:bottom w:val="single" w:sz="6" w:space="1" w:color="0D9EDF"/>
        </w:pBdr>
      </w:pPr>
    </w:p>
    <w:p/>
    <w:p>
      <w:pPr>
        <w:keepNext/>
        <w:keepLines/>
        <w:spacing w:before="240"/>
      </w:pPr>
      <w:r>
        <w:rPr>
          <w:b/>
          <w:color w:val="0D9EDF"/>
          <w:sz w:val="30"/>
        </w:rPr>
        <w:t>9. Risk Yönetimi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0D9EDF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3135"/>
            <w:shd w:val="clear" w:color="auto" w:fill="0D9EDF"/>
          </w:tcPr>
          <w:p>
            <w:r>
              <w:rPr>
                <w:b/>
                <w:color w:val="FFFFFF"/>
                <w:sz w:val="18"/>
              </w:rPr>
              <w:t>Etki</w:t>
            </w:r>
          </w:p>
        </w:tc>
        <w:tc>
          <w:tcPr>
            <w:tcW w:type="dxa" w:w="3135"/>
            <w:shd w:val="clear" w:color="auto" w:fill="0D9EDF"/>
          </w:tcPr>
          <w:p>
            <w:r>
              <w:rPr>
                <w:b/>
                <w:color w:val="FFFFFF"/>
                <w:sz w:val="18"/>
              </w:rPr>
              <w:t>Önlem</w:t>
            </w:r>
          </w:p>
        </w:tc>
      </w:tr>
      <w:tr>
        <w:tc>
          <w:tcPr>
            <w:tcW w:type="dxa" w:w="3135"/>
            <w:shd w:val="clear" w:color="auto" w:fill="F0F7FF"/>
          </w:tcPr>
          <w:p>
            <w:r>
              <w:rPr>
                <w:color w:val="1A1A1A"/>
                <w:sz w:val="18"/>
              </w:rPr>
              <w:t>Yanıt oranı düşük</w:t>
            </w:r>
          </w:p>
        </w:tc>
        <w:tc>
          <w:tcPr>
            <w:tcW w:type="dxa" w:w="3135"/>
            <w:shd w:val="clear" w:color="auto" w:fill="F0F7FF"/>
          </w:tcPr>
          <w:p>
            <w:r>
              <w:rPr>
                <w:color w:val="1A1A1A"/>
                <w:sz w:val="18"/>
              </w:rPr>
              <w:t>Orta/Yüksek</w:t>
            </w:r>
          </w:p>
        </w:tc>
        <w:tc>
          <w:tcPr>
            <w:tcW w:type="dxa" w:w="3135"/>
            <w:shd w:val="clear" w:color="auto" w:fill="F0F7FF"/>
          </w:tcPr>
          <w:p>
            <w:r>
              <w:rPr>
                <w:color w:val="1A1A1A"/>
                <w:sz w:val="18"/>
              </w:rPr>
              <w:t>Segmentasyonu daralt, intro kalitesini artır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color w:val="1A1A1A"/>
                <w:sz w:val="18"/>
              </w:rPr>
              <w:t>İkinci görüşmeye geçiş düşük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color w:val="1A1A1A"/>
                <w:sz w:val="18"/>
              </w:rPr>
              <w:t>Yüksek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color w:val="1A1A1A"/>
                <w:sz w:val="18"/>
              </w:rPr>
              <w:t>Pitch'in ilk 5 dakikasını yeniden yaz, demo süresini optimize et</w:t>
            </w:r>
          </w:p>
        </w:tc>
      </w:tr>
      <w:tr>
        <w:tc>
          <w:tcPr>
            <w:tcW w:type="dxa" w:w="3135"/>
            <w:shd w:val="clear" w:color="auto" w:fill="F0F7FF"/>
          </w:tcPr>
          <w:p>
            <w:r>
              <w:rPr>
                <w:color w:val="1A1A1A"/>
                <w:sz w:val="18"/>
              </w:rPr>
              <w:t>DD'de takılma</w:t>
            </w:r>
          </w:p>
        </w:tc>
        <w:tc>
          <w:tcPr>
            <w:tcW w:type="dxa" w:w="3135"/>
            <w:shd w:val="clear" w:color="auto" w:fill="F0F7FF"/>
          </w:tcPr>
          <w:p>
            <w:r>
              <w:rPr>
                <w:color w:val="1A1A1A"/>
                <w:sz w:val="18"/>
              </w:rPr>
              <w:t>Yüksek</w:t>
            </w:r>
          </w:p>
        </w:tc>
        <w:tc>
          <w:tcPr>
            <w:tcW w:type="dxa" w:w="3135"/>
            <w:shd w:val="clear" w:color="auto" w:fill="F0F7FF"/>
          </w:tcPr>
          <w:p>
            <w:r>
              <w:rPr>
                <w:color w:val="1A1A1A"/>
                <w:sz w:val="18"/>
              </w:rPr>
              <w:t>Data room eksiklerini önceden kapat, hukuk desteğini erkene al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color w:val="1A1A1A"/>
                <w:sz w:val="18"/>
              </w:rPr>
              <w:t>Değerleme itirazı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color w:val="1A1A1A"/>
                <w:sz w:val="18"/>
              </w:rPr>
              <w:t>Orta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color w:val="1A1A1A"/>
                <w:sz w:val="18"/>
              </w:rPr>
              <w:t>ROI/payback ve senaryo tablolarını daha görünür hale getir</w:t>
            </w:r>
          </w:p>
        </w:tc>
      </w:tr>
    </w:tbl>
    <w:p/>
    <w:p/>
    <w:p>
      <w:pPr>
        <w:pBdr>
          <w:bottom w:val="single" w:sz="6" w:space="1" w:color="0D9EDF"/>
        </w:pBdr>
      </w:pPr>
    </w:p>
    <w:p/>
    <w:p>
      <w:pPr>
        <w:keepNext/>
        <w:keepLines/>
        <w:spacing w:before="240"/>
      </w:pPr>
      <w:r>
        <w:rPr>
          <w:b/>
          <w:color w:val="0D9EDF"/>
          <w:sz w:val="30"/>
        </w:rPr>
        <w:t>10. 30-60-90 Gün Planı</w:t>
      </w:r>
    </w:p>
    <w:p/>
    <w:p>
      <w:pPr>
        <w:keepNext/>
        <w:keepLines/>
        <w:spacing w:before="240"/>
      </w:pPr>
      <w:r>
        <w:rPr>
          <w:b/>
          <w:color w:val="0D9EDF"/>
          <w:sz w:val="30"/>
        </w:rPr>
        <w:t>İlk 30 Gün</w:t>
      </w:r>
    </w:p>
    <w:p/>
    <w:p>
      <w:pPr>
        <w:pStyle w:val="ListBullet"/>
        <w:ind w:left="360"/>
      </w:pPr>
      <w:r>
        <w:rPr>
          <w:color w:val="1A1A1A"/>
        </w:rPr>
        <w:t>Temas ve görüşme hacmi oluştur</w:t>
      </w:r>
    </w:p>
    <w:p>
      <w:pPr>
        <w:pStyle w:val="ListBullet"/>
        <w:ind w:left="360"/>
      </w:pPr>
      <w:r>
        <w:rPr>
          <w:color w:val="1A1A1A"/>
        </w:rPr>
        <w:t>Mesajlaşma kalıbını test et</w:t>
      </w:r>
    </w:p>
    <w:p>
      <w:pPr>
        <w:pStyle w:val="ListBullet"/>
        <w:ind w:left="360"/>
      </w:pPr>
      <w:r>
        <w:rPr>
          <w:color w:val="1A1A1A"/>
        </w:rPr>
        <w:t>İlk DD adaylarını çıkar</w:t>
      </w:r>
    </w:p>
    <w:p/>
    <w:p>
      <w:pPr>
        <w:keepNext/>
        <w:keepLines/>
        <w:spacing w:before="240"/>
      </w:pPr>
      <w:r>
        <w:rPr>
          <w:b/>
          <w:color w:val="0D9EDF"/>
          <w:sz w:val="30"/>
        </w:rPr>
        <w:t>60 Gün</w:t>
      </w:r>
    </w:p>
    <w:p/>
    <w:p>
      <w:pPr>
        <w:pStyle w:val="ListBullet"/>
        <w:ind w:left="360"/>
      </w:pPr>
      <w:r>
        <w:rPr>
          <w:color w:val="1A1A1A"/>
        </w:rPr>
        <w:t>İkinci görüşme yoğunluğu</w:t>
      </w:r>
    </w:p>
    <w:p>
      <w:pPr>
        <w:pStyle w:val="ListBullet"/>
        <w:ind w:left="360"/>
      </w:pPr>
      <w:r>
        <w:rPr>
          <w:color w:val="1A1A1A"/>
        </w:rPr>
        <w:t>Data room paylaşımları</w:t>
      </w:r>
    </w:p>
    <w:p>
      <w:pPr>
        <w:pStyle w:val="ListBullet"/>
        <w:ind w:left="360"/>
      </w:pPr>
      <w:r>
        <w:rPr>
          <w:color w:val="1A1A1A"/>
        </w:rPr>
        <w:t>İlk teklif zemini</w:t>
      </w:r>
    </w:p>
    <w:p/>
    <w:p>
      <w:pPr>
        <w:keepNext/>
        <w:keepLines/>
        <w:spacing w:before="240"/>
      </w:pPr>
      <w:r>
        <w:rPr>
          <w:b/>
          <w:color w:val="0D9EDF"/>
          <w:sz w:val="30"/>
        </w:rPr>
        <w:t>90 Gün</w:t>
      </w:r>
    </w:p>
    <w:p/>
    <w:p>
      <w:pPr>
        <w:pStyle w:val="ListBullet"/>
        <w:ind w:left="360"/>
      </w:pPr>
      <w:r>
        <w:rPr>
          <w:color w:val="1A1A1A"/>
        </w:rPr>
        <w:t>Aktif müzakere</w:t>
      </w:r>
    </w:p>
    <w:p>
      <w:pPr>
        <w:pStyle w:val="ListBullet"/>
        <w:ind w:left="360"/>
      </w:pPr>
      <w:r>
        <w:rPr>
          <w:color w:val="1A1A1A"/>
        </w:rPr>
        <w:t>Teklif kapanışı</w:t>
      </w:r>
    </w:p>
    <w:p>
      <w:pPr>
        <w:pStyle w:val="ListBullet"/>
        <w:ind w:left="360"/>
      </w:pPr>
      <w:r>
        <w:rPr>
          <w:color w:val="1A1A1A"/>
        </w:rPr>
        <w:t>Tur sonrası uygulama planına geçiş</w:t>
      </w:r>
    </w:p>
    <w:p/>
    <w:p>
      <w:pPr>
        <w:pBdr>
          <w:bottom w:val="single" w:sz="6" w:space="1" w:color="0D9EDF"/>
        </w:pBdr>
      </w:pPr>
    </w:p>
    <w:p/>
    <w:p>
      <w:pPr>
        <w:keepNext/>
        <w:keepLines/>
        <w:spacing w:before="240"/>
      </w:pPr>
      <w:r>
        <w:rPr>
          <w:b/>
          <w:color w:val="0D9EDF"/>
          <w:sz w:val="30"/>
        </w:rPr>
        <w:t>11. Başarı Tanımı</w:t>
      </w:r>
    </w:p>
    <w:p/>
    <w:p>
      <w:pPr>
        <w:spacing w:after="80"/>
      </w:pPr>
      <w:r>
        <w:rPr>
          <w:color w:val="1A1A1A"/>
        </w:rPr>
        <w:t>Bu planın başarı kriteri yalnızca toplantı sayısı değildir. Başarı, karar vericilerin CADRO'yu "fikir" değil "satın alınabilir/ölçeklenebilir varlık" olarak konumlandırmasıdır.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