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9EDF"/>
          <w:sz w:val="72"/>
        </w:rPr>
        <w:t>CADRO HR</w:t>
      </w:r>
    </w:p>
    <w:p>
      <w:pPr>
        <w:jc w:val="center"/>
      </w:pPr>
      <w:r>
        <w:rPr>
          <w:color w:val="1E3A5F"/>
          <w:sz w:val="28"/>
        </w:rPr>
        <w:t>Yatırımcı Dokümanı</w:t>
      </w:r>
    </w:p>
    <w:p/>
    <w:p>
      <w:pPr>
        <w:pBdr>
          <w:bottom w:val="single" w:sz="6" w:space="1" w:color="0D9EDF"/>
        </w:pBdr>
      </w:pPr>
    </w:p>
    <w:p/>
    <w:p>
      <w:pPr>
        <w:jc w:val="center"/>
      </w:pPr>
      <w:r>
        <w:rPr>
          <w:b/>
          <w:color w:val="1E3A5F"/>
          <w:sz w:val="44"/>
        </w:rPr>
        <w:t>Problem Tanımı &amp; Pazar Fırsatı</w:t>
      </w:r>
    </w:p>
    <w:p/>
    <w:p>
      <w:pPr>
        <w:jc w:val="center"/>
      </w:pPr>
      <w:r>
        <w:rPr>
          <w:color w:val="888888"/>
          <w:sz w:val="20"/>
        </w:rPr>
        <w:t>Gizli — Yalnızca Yatırımcı Kullanımı  |  Mayıs 2026</w:t>
      </w:r>
    </w:p>
    <w:p>
      <w:r>
        <w:br w:type="page"/>
      </w:r>
    </w:p>
    <w:p>
      <w:pPr>
        <w:keepNext/>
        <w:keepLines/>
        <w:spacing w:before="360"/>
      </w:pPr>
      <w:r>
        <w:rPr>
          <w:b/>
          <w:color w:val="1E3A5F"/>
          <w:sz w:val="40"/>
        </w:rPr>
        <w:t>CADRO HR SaaS — Problem Statement &amp; Pazar Fırsatı</w:t>
      </w:r>
    </w:p>
    <w:p>
      <w:pPr>
        <w:pBdr>
          <w:bottom w:val="single" w:sz="6" w:space="1" w:color="0D9EDF"/>
        </w:pBdr>
      </w:pPr>
    </w:p>
    <w:p/>
    <w:p>
      <w:pPr>
        <w:spacing w:after="80"/>
      </w:pPr>
      <w:r>
        <w:rPr>
          <w:b/>
          <w:color w:val="1A1A1A"/>
        </w:rPr>
        <w:t>Belge Türü:</w:t>
      </w:r>
      <w:r>
        <w:rPr>
          <w:color w:val="1A1A1A"/>
        </w:rPr>
        <w:t xml:space="preserve"> Yatırımcı / Alıcı Sunumu — Aşama 1</w:t>
      </w:r>
    </w:p>
    <w:p>
      <w:pPr>
        <w:spacing w:after="80"/>
      </w:pPr>
      <w:r>
        <w:rPr>
          <w:b/>
          <w:color w:val="1A1A1A"/>
        </w:rPr>
        <w:t>Hazırlayan:</w:t>
      </w:r>
      <w:r>
        <w:rPr>
          <w:color w:val="1A1A1A"/>
        </w:rPr>
        <w:t xml:space="preserve"> Turgay Bozkuş (Kurucu)</w:t>
      </w:r>
    </w:p>
    <w:p>
      <w:pPr>
        <w:spacing w:after="80"/>
      </w:pPr>
      <w:r>
        <w:rPr>
          <w:b/>
          <w:color w:val="1A1A1A"/>
        </w:rPr>
        <w:t>Tarih:</w:t>
      </w:r>
      <w:r>
        <w:rPr>
          <w:color w:val="1A1A1A"/>
        </w:rPr>
        <w:t xml:space="preserve"> Mayıs 2026</w:t>
      </w:r>
    </w:p>
    <w:p>
      <w:pPr>
        <w:spacing w:after="80"/>
      </w:pPr>
      <w:r>
        <w:rPr>
          <w:b/>
          <w:color w:val="1A1A1A"/>
        </w:rPr>
        <w:t>Gizlilik:</w:t>
      </w:r>
      <w:r>
        <w:rPr>
          <w:color w:val="1A1A1A"/>
        </w:rPr>
        <w:t xml:space="preserve"> Bu belge yalnızca NDA kapsamında paylaşılmaktadır.</w:t>
      </w:r>
    </w:p>
    <w:p/>
    <w:p>
      <w:pPr>
        <w:pBdr>
          <w:bottom w:val="single" w:sz="6" w:space="1" w:color="0D9EDF"/>
        </w:pBdr>
      </w:pPr>
    </w:p>
    <w:p/>
    <w:p>
      <w:pPr>
        <w:keepNext/>
        <w:keepLines/>
        <w:spacing w:before="240"/>
      </w:pPr>
      <w:r>
        <w:rPr>
          <w:b/>
          <w:color w:val="0D9EDF"/>
          <w:sz w:val="30"/>
        </w:rPr>
        <w:t>1. Sorun: KOBİ'ler İçin İK Yönetimi Hâlâ Çözülmemiş Bir Problem</w:t>
      </w:r>
    </w:p>
    <w:p/>
    <w:p>
      <w:pPr>
        <w:spacing w:after="80"/>
      </w:pPr>
      <w:r>
        <w:rPr>
          <w:color w:val="1A1A1A"/>
        </w:rPr>
        <w:t>Dünya genelinde küçük ve orta ölçekli işletmeler (KOBİ'ler) çalışanlarını yönetmek için ya pahalı kurumsal sistemler kurmak ya da Excel ve kağıt tabanlı süreçlerle idare etmek zorunda kalıyor. Bu iki seçenek arasında ciddi bir boşluk bulunuyor.</w:t>
      </w:r>
    </w:p>
    <w:p/>
    <w:p>
      <w:pPr>
        <w:keepNext/>
        <w:keepLines/>
        <w:spacing w:before="160"/>
      </w:pPr>
      <w:r>
        <w:rPr>
          <w:b/>
          <w:color w:val="333333"/>
          <w:sz w:val="24"/>
        </w:rPr>
        <w:t>1.1 KOBİ'lerin Yaşadığı Temel Acılar</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Sorun Alanı</w:t>
            </w:r>
          </w:p>
        </w:tc>
        <w:tc>
          <w:tcPr>
            <w:tcW w:type="dxa" w:w="4703"/>
            <w:shd w:val="clear" w:color="auto" w:fill="0D9EDF"/>
          </w:tcPr>
          <w:p>
            <w:r>
              <w:rPr>
                <w:b/>
                <w:color w:val="FFFFFF"/>
                <w:sz w:val="18"/>
              </w:rPr>
              <w:t>Sonuç</w:t>
            </w:r>
          </w:p>
        </w:tc>
      </w:tr>
      <w:tr>
        <w:tc>
          <w:tcPr>
            <w:tcW w:type="dxa" w:w="4703"/>
            <w:shd w:val="clear" w:color="auto" w:fill="F0F7FF"/>
          </w:tcPr>
          <w:p>
            <w:r>
              <w:rPr>
                <w:color w:val="1A1A1A"/>
                <w:sz w:val="18"/>
              </w:rPr>
              <w:t>İzin takibi kâğıt/Excel ile yapılıyor</w:t>
            </w:r>
          </w:p>
        </w:tc>
        <w:tc>
          <w:tcPr>
            <w:tcW w:type="dxa" w:w="4703"/>
            <w:shd w:val="clear" w:color="auto" w:fill="F0F7FF"/>
          </w:tcPr>
          <w:p>
            <w:r>
              <w:rPr>
                <w:color w:val="1A1A1A"/>
                <w:sz w:val="18"/>
              </w:rPr>
              <w:t>Kayıt hataları, mevzuat riskleri</w:t>
            </w:r>
          </w:p>
        </w:tc>
      </w:tr>
      <w:tr>
        <w:tc>
          <w:tcPr>
            <w:tcW w:type="dxa" w:w="4703"/>
            <w:shd w:val="clear" w:color="auto" w:fill="FFFFFF"/>
          </w:tcPr>
          <w:p>
            <w:r>
              <w:rPr>
                <w:color w:val="1A1A1A"/>
                <w:sz w:val="18"/>
              </w:rPr>
              <w:t>Devam/yoklama manuel tutuluyor</w:t>
            </w:r>
          </w:p>
        </w:tc>
        <w:tc>
          <w:tcPr>
            <w:tcW w:type="dxa" w:w="4703"/>
            <w:shd w:val="clear" w:color="auto" w:fill="FFFFFF"/>
          </w:tcPr>
          <w:p>
            <w:r>
              <w:rPr>
                <w:color w:val="1A1A1A"/>
                <w:sz w:val="18"/>
              </w:rPr>
              <w:t>Fazla mesai hesapları tutmuyor</w:t>
            </w:r>
          </w:p>
        </w:tc>
      </w:tr>
      <w:tr>
        <w:tc>
          <w:tcPr>
            <w:tcW w:type="dxa" w:w="4703"/>
            <w:shd w:val="clear" w:color="auto" w:fill="F0F7FF"/>
          </w:tcPr>
          <w:p>
            <w:r>
              <w:rPr>
                <w:color w:val="1A1A1A"/>
                <w:sz w:val="18"/>
              </w:rPr>
              <w:t>İşe alım süreci düzensiz, kayıt yok</w:t>
            </w:r>
          </w:p>
        </w:tc>
        <w:tc>
          <w:tcPr>
            <w:tcW w:type="dxa" w:w="4703"/>
            <w:shd w:val="clear" w:color="auto" w:fill="F0F7FF"/>
          </w:tcPr>
          <w:p>
            <w:r>
              <w:rPr>
                <w:color w:val="1A1A1A"/>
                <w:sz w:val="18"/>
              </w:rPr>
              <w:t>Aday bilgileri kaybolup gidiyor</w:t>
            </w:r>
          </w:p>
        </w:tc>
      </w:tr>
      <w:tr>
        <w:tc>
          <w:tcPr>
            <w:tcW w:type="dxa" w:w="4703"/>
            <w:shd w:val="clear" w:color="auto" w:fill="FFFFFF"/>
          </w:tcPr>
          <w:p>
            <w:r>
              <w:rPr>
                <w:color w:val="1A1A1A"/>
                <w:sz w:val="18"/>
              </w:rPr>
              <w:t>Performans değerlendirme yok ya da yılda bir yapılıyor</w:t>
            </w:r>
          </w:p>
        </w:tc>
        <w:tc>
          <w:tcPr>
            <w:tcW w:type="dxa" w:w="4703"/>
            <w:shd w:val="clear" w:color="auto" w:fill="FFFFFF"/>
          </w:tcPr>
          <w:p>
            <w:r>
              <w:rPr>
                <w:color w:val="1A1A1A"/>
                <w:sz w:val="18"/>
              </w:rPr>
              <w:t>Çalışan bağlılığı düşük, yeteneği elde tutmak zor</w:t>
            </w:r>
          </w:p>
        </w:tc>
      </w:tr>
      <w:tr>
        <w:tc>
          <w:tcPr>
            <w:tcW w:type="dxa" w:w="4703"/>
            <w:shd w:val="clear" w:color="auto" w:fill="F0F7FF"/>
          </w:tcPr>
          <w:p>
            <w:r>
              <w:rPr>
                <w:color w:val="1A1A1A"/>
                <w:sz w:val="18"/>
              </w:rPr>
              <w:t>Gider ve satın alma talepleri e-postayla yönetiliyor</w:t>
            </w:r>
          </w:p>
        </w:tc>
        <w:tc>
          <w:tcPr>
            <w:tcW w:type="dxa" w:w="4703"/>
            <w:shd w:val="clear" w:color="auto" w:fill="F0F7FF"/>
          </w:tcPr>
          <w:p>
            <w:r>
              <w:rPr>
                <w:color w:val="1A1A1A"/>
                <w:sz w:val="18"/>
              </w:rPr>
              <w:t>Onay süreçleri haftalar sürebiliyor</w:t>
            </w:r>
          </w:p>
        </w:tc>
      </w:tr>
      <w:tr>
        <w:tc>
          <w:tcPr>
            <w:tcW w:type="dxa" w:w="4703"/>
            <w:shd w:val="clear" w:color="auto" w:fill="FFFFFF"/>
          </w:tcPr>
          <w:p>
            <w:r>
              <w:rPr>
                <w:color w:val="1A1A1A"/>
                <w:sz w:val="18"/>
              </w:rPr>
              <w:t>İK belgelerine (sözleşme, özlük dosyası) erişim dağınık</w:t>
            </w:r>
          </w:p>
        </w:tc>
        <w:tc>
          <w:tcPr>
            <w:tcW w:type="dxa" w:w="4703"/>
            <w:shd w:val="clear" w:color="auto" w:fill="FFFFFF"/>
          </w:tcPr>
          <w:p>
            <w:r>
              <w:rPr>
                <w:color w:val="1A1A1A"/>
                <w:sz w:val="18"/>
              </w:rPr>
              <w:t>Denetim riskini artırıyor</w:t>
            </w:r>
          </w:p>
        </w:tc>
      </w:tr>
      <w:tr>
        <w:tc>
          <w:tcPr>
            <w:tcW w:type="dxa" w:w="4703"/>
            <w:shd w:val="clear" w:color="auto" w:fill="F0F7FF"/>
          </w:tcPr>
          <w:p>
            <w:r>
              <w:rPr>
                <w:color w:val="1A1A1A"/>
                <w:sz w:val="18"/>
              </w:rPr>
              <w:t>Mobil erişim yok</w:t>
            </w:r>
          </w:p>
        </w:tc>
        <w:tc>
          <w:tcPr>
            <w:tcW w:type="dxa" w:w="4703"/>
            <w:shd w:val="clear" w:color="auto" w:fill="F0F7FF"/>
          </w:tcPr>
          <w:p>
            <w:r>
              <w:rPr>
                <w:color w:val="1A1A1A"/>
                <w:sz w:val="18"/>
              </w:rPr>
              <w:t>Saha çalışanları sisteme bağlanamıyor</w:t>
            </w:r>
          </w:p>
        </w:tc>
      </w:tr>
    </w:tbl>
    <w:p/>
    <w:p/>
    <w:p>
      <w:pPr>
        <w:ind w:left="576"/>
      </w:pPr>
      <w:r>
        <w:rPr>
          <w:i/>
          <w:color w:val="666666"/>
          <w:sz w:val="18"/>
        </w:rPr>
        <w:t>**Kilit Gerçek:** Küçük bir işletme sahibi için çalışan yönetimi, günde ortalama **2–3 saat** gereksiz idari işle geçiyor. Bu, üretime değil kağıt işlerine harcanan zaman demek. [^1]</w:t>
      </w:r>
    </w:p>
    <w:p/>
    <w:p>
      <w:pPr>
        <w:pBdr>
          <w:bottom w:val="single" w:sz="6" w:space="1" w:color="0D9EDF"/>
        </w:pBdr>
      </w:pPr>
    </w:p>
    <w:p/>
    <w:p>
      <w:pPr>
        <w:keepNext/>
        <w:keepLines/>
        <w:spacing w:before="240"/>
      </w:pPr>
      <w:r>
        <w:rPr>
          <w:b/>
          <w:color w:val="0D9EDF"/>
          <w:sz w:val="30"/>
        </w:rPr>
        <w:t>2. Neden Şu Anki Çözümler Yetmiyor?</w:t>
      </w:r>
    </w:p>
    <w:p/>
    <w:p>
      <w:pPr>
        <w:keepNext/>
        <w:keepLines/>
        <w:spacing w:before="160"/>
      </w:pPr>
      <w:r>
        <w:rPr>
          <w:b/>
          <w:color w:val="333333"/>
          <w:sz w:val="24"/>
        </w:rPr>
        <w:t>2.1 Kurumsal Sistemler: Çok Pahalı, Çok Karmaşık</w:t>
      </w:r>
    </w:p>
    <w:p/>
    <w:p>
      <w:pPr>
        <w:spacing w:after="80"/>
      </w:pPr>
      <w:r>
        <w:rPr>
          <w:color w:val="1A1A1A"/>
        </w:rPr>
        <w:t>Workday, SAP SuccessFactors veya Oracle HCM gibi sistemler büyük şirketler için tasarlanmıştır. Implementasyon maliyetleri onlarca bin dolara ulaşmakta, özel danışmanlık gerektirmekte ve KOBİ'ler için gereksiz ölçüde karmaşık olmaktadır.</w:t>
      </w:r>
    </w:p>
    <w:p/>
    <w:p>
      <w:pPr>
        <w:pStyle w:val="ListBullet"/>
        <w:ind w:left="360"/>
      </w:pPr>
      <w:r>
        <w:rPr>
          <w:b/>
          <w:color w:val="1A1A1A"/>
        </w:rPr>
        <w:t>Workday:</w:t>
      </w:r>
      <w:r>
        <w:rPr>
          <w:color w:val="1A1A1A"/>
        </w:rPr>
        <w:t xml:space="preserve"> Ortalama uygulama maliyeti $150,000–$500,000+ [^2]</w:t>
      </w:r>
    </w:p>
    <w:p>
      <w:pPr>
        <w:pStyle w:val="ListBullet"/>
        <w:ind w:left="360"/>
      </w:pPr>
      <w:r>
        <w:rPr>
          <w:b/>
          <w:color w:val="1A1A1A"/>
        </w:rPr>
        <w:t>SAP SuccessFactors:</w:t>
      </w:r>
      <w:r>
        <w:rPr>
          <w:color w:val="1A1A1A"/>
        </w:rPr>
        <w:t xml:space="preserve"> Kullanıcı başına $85–$150/ay + uygulama ücreti [^3]</w:t>
      </w:r>
    </w:p>
    <w:p>
      <w:pPr>
        <w:pStyle w:val="ListBullet"/>
        <w:ind w:left="360"/>
      </w:pPr>
      <w:r>
        <w:rPr>
          <w:b/>
          <w:color w:val="1A1A1A"/>
        </w:rPr>
        <w:t>Oracle HCM:</w:t>
      </w:r>
      <w:r>
        <w:rPr>
          <w:color w:val="1A1A1A"/>
        </w:rPr>
        <w:t xml:space="preserve"> Genellikle büyük kurumsal şirket odaklı, minimum kontrat $100K/yıl [^4]</w:t>
      </w:r>
    </w:p>
    <w:p/>
    <w:p>
      <w:pPr>
        <w:keepNext/>
        <w:keepLines/>
        <w:spacing w:before="160"/>
      </w:pPr>
      <w:r>
        <w:rPr>
          <w:b/>
          <w:color w:val="333333"/>
          <w:sz w:val="24"/>
        </w:rPr>
        <w:t>2.2 Küçük Araçlar: Çok Parçalı, Entegrasyon Yok</w:t>
      </w:r>
    </w:p>
    <w:p/>
    <w:p>
      <w:pPr>
        <w:spacing w:after="80"/>
      </w:pPr>
      <w:r>
        <w:rPr>
          <w:color w:val="1A1A1A"/>
        </w:rPr>
        <w:t>BambooHR, Personio veya Factorial gibi "SMB dostu" çözümler coğrafi ve dil açısından yerelleştirme sorunları yaşıyor. Üstelik her modül ayrı bir ücrete tabi olduğundan toplam maliyet hızla artıyor.</w:t>
      </w:r>
    </w:p>
    <w:p/>
    <w:p>
      <w:pPr>
        <w:pStyle w:val="ListBullet"/>
        <w:ind w:left="360"/>
      </w:pPr>
      <w:r>
        <w:rPr>
          <w:b/>
          <w:color w:val="1A1A1A"/>
        </w:rPr>
        <w:t>BambooHR:</w:t>
      </w:r>
      <w:r>
        <w:rPr>
          <w:color w:val="1A1A1A"/>
        </w:rPr>
        <w:t xml:space="preserve"> Kullanıcı başına $6.19–$8.25/ay, ama birçok kritik modül ek ücretli [^5]</w:t>
      </w:r>
    </w:p>
    <w:p>
      <w:pPr>
        <w:pStyle w:val="ListBullet"/>
        <w:ind w:left="360"/>
      </w:pPr>
      <w:r>
        <w:rPr>
          <w:b/>
          <w:color w:val="1A1A1A"/>
        </w:rPr>
        <w:t>Personio:</w:t>
      </w:r>
      <w:r>
        <w:rPr>
          <w:color w:val="1A1A1A"/>
        </w:rPr>
        <w:t xml:space="preserve"> Aylık minimum €299 + kullanıcı başına ek ücret, Türkiye'de destek sınırlı [^6]</w:t>
      </w:r>
    </w:p>
    <w:p>
      <w:pPr>
        <w:pStyle w:val="ListBullet"/>
        <w:ind w:left="360"/>
      </w:pPr>
      <w:r>
        <w:rPr>
          <w:b/>
          <w:color w:val="1A1A1A"/>
        </w:rPr>
        <w:t>Factorial:</w:t>
      </w:r>
      <w:r>
        <w:rPr>
          <w:color w:val="1A1A1A"/>
        </w:rPr>
        <w:t xml:space="preserve"> Kullanıcı başına €5/ay, ama bazı modüller Pro plan gerektiriyor [^7]</w:t>
      </w:r>
    </w:p>
    <w:p/>
    <w:p>
      <w:pPr>
        <w:keepNext/>
        <w:keepLines/>
        <w:spacing w:before="160"/>
      </w:pPr>
      <w:r>
        <w:rPr>
          <w:b/>
          <w:color w:val="333333"/>
          <w:sz w:val="24"/>
        </w:rPr>
        <w:t>2.3 Excel / Manuel Süreçler: Riskli ve Ölçeksiz</w:t>
      </w:r>
    </w:p>
    <w:p/>
    <w:p>
      <w:pPr>
        <w:spacing w:after="80"/>
      </w:pPr>
      <w:r>
        <w:rPr>
          <w:color w:val="1A1A1A"/>
        </w:rPr>
        <w:t xml:space="preserve">Türkiye'deki KOBİ'lerin tahminen </w:t>
      </w:r>
      <w:r>
        <w:rPr>
          <w:b/>
          <w:color w:val="1A1A1A"/>
        </w:rPr>
        <w:t>%68'i</w:t>
      </w:r>
      <w:r>
        <w:rPr>
          <w:color w:val="1A1A1A"/>
        </w:rPr>
        <w:t xml:space="preserve"> İK süreçlerini hâlâ Excel veya kağıt tabanlı yöntemlerle yönetiyor. [^8]</w:t>
      </w:r>
    </w:p>
    <w:p>
      <w:pPr>
        <w:spacing w:after="80"/>
      </w:pPr>
      <w:r>
        <w:rPr>
          <w:color w:val="1A1A1A"/>
        </w:rPr>
        <w:t>Bu durum;</w:t>
      </w:r>
    </w:p>
    <w:p>
      <w:pPr>
        <w:pStyle w:val="ListBullet"/>
        <w:ind w:left="360"/>
      </w:pPr>
      <w:r>
        <w:rPr>
          <w:color w:val="1A1A1A"/>
        </w:rPr>
        <w:t>Çalışan verilerinde tutarsızlık,</w:t>
      </w:r>
    </w:p>
    <w:p>
      <w:pPr>
        <w:pStyle w:val="ListBullet"/>
        <w:ind w:left="360"/>
      </w:pPr>
      <w:r>
        <w:rPr>
          <w:color w:val="1A1A1A"/>
        </w:rPr>
        <w:t>İş kanununa aykırı uygulamalar (izin hakkı ihlali vb.),</w:t>
      </w:r>
    </w:p>
    <w:p>
      <w:pPr>
        <w:pStyle w:val="ListBullet"/>
        <w:ind w:left="360"/>
      </w:pPr>
      <w:r>
        <w:rPr>
          <w:color w:val="1A1A1A"/>
        </w:rPr>
        <w:t>Yöneticilerin raporlama yapamaması,</w:t>
      </w:r>
    </w:p>
    <w:p>
      <w:pPr>
        <w:pStyle w:val="ListBullet"/>
        <w:ind w:left="360"/>
      </w:pPr>
      <w:r>
        <w:rPr>
          <w:color w:val="1A1A1A"/>
        </w:rPr>
        <w:t>Denetim risklerine yol açmaktadır.</w:t>
      </w:r>
    </w:p>
    <w:p/>
    <w:p>
      <w:pPr>
        <w:pBdr>
          <w:bottom w:val="single" w:sz="6" w:space="1" w:color="0D9EDF"/>
        </w:pBdr>
      </w:pPr>
    </w:p>
    <w:p/>
    <w:p>
      <w:pPr>
        <w:keepNext/>
        <w:keepLines/>
        <w:spacing w:before="240"/>
      </w:pPr>
      <w:r>
        <w:rPr>
          <w:b/>
          <w:color w:val="0D9EDF"/>
          <w:sz w:val="30"/>
        </w:rPr>
        <w:t>3. Pazar Fırsatı: Hızla Büyüyen Dev Bir Sektör</w:t>
      </w:r>
    </w:p>
    <w:p/>
    <w:p>
      <w:pPr>
        <w:keepNext/>
        <w:keepLines/>
        <w:spacing w:before="160"/>
      </w:pPr>
      <w:r>
        <w:rPr>
          <w:b/>
          <w:color w:val="333333"/>
          <w:sz w:val="24"/>
        </w:rPr>
        <w:t>3.1 Global HR Yazılım Pazarı</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D9EDF"/>
          </w:tcPr>
          <w:p>
            <w:r>
              <w:rPr>
                <w:b/>
                <w:color w:val="FFFFFF"/>
                <w:sz w:val="18"/>
              </w:rPr>
              <w:t>Yıl</w:t>
            </w:r>
          </w:p>
        </w:tc>
        <w:tc>
          <w:tcPr>
            <w:tcW w:type="dxa" w:w="3135"/>
            <w:shd w:val="clear" w:color="auto" w:fill="0D9EDF"/>
          </w:tcPr>
          <w:p>
            <w:r>
              <w:rPr>
                <w:b/>
                <w:color w:val="FFFFFF"/>
                <w:sz w:val="18"/>
              </w:rPr>
              <w:t>Pazar Büyüklüğü</w:t>
            </w:r>
          </w:p>
        </w:tc>
        <w:tc>
          <w:tcPr>
            <w:tcW w:type="dxa" w:w="3135"/>
            <w:shd w:val="clear" w:color="auto" w:fill="0D9EDF"/>
          </w:tcPr>
          <w:p>
            <w:r>
              <w:rPr>
                <w:b/>
                <w:color w:val="FFFFFF"/>
                <w:sz w:val="18"/>
              </w:rPr>
              <w:t>Büyüme</w:t>
            </w:r>
          </w:p>
        </w:tc>
      </w:tr>
      <w:tr>
        <w:tc>
          <w:tcPr>
            <w:tcW w:type="dxa" w:w="3135"/>
            <w:shd w:val="clear" w:color="auto" w:fill="F0F7FF"/>
          </w:tcPr>
          <w:p>
            <w:r>
              <w:rPr>
                <w:color w:val="1A1A1A"/>
                <w:sz w:val="18"/>
              </w:rPr>
              <w:t>2024</w:t>
            </w:r>
          </w:p>
        </w:tc>
        <w:tc>
          <w:tcPr>
            <w:tcW w:type="dxa" w:w="3135"/>
            <w:shd w:val="clear" w:color="auto" w:fill="F0F7FF"/>
          </w:tcPr>
          <w:p>
            <w:r>
              <w:rPr>
                <w:color w:val="1A1A1A"/>
                <w:sz w:val="18"/>
              </w:rPr>
              <w:t>$20.51 Milyar</w:t>
            </w:r>
          </w:p>
        </w:tc>
        <w:tc>
          <w:tcPr>
            <w:tcW w:type="dxa" w:w="3135"/>
            <w:shd w:val="clear" w:color="auto" w:fill="F0F7FF"/>
          </w:tcPr>
          <w:p>
            <w:r>
              <w:rPr>
                <w:color w:val="1A1A1A"/>
                <w:sz w:val="18"/>
              </w:rPr>
              <w:t>—</w:t>
            </w:r>
          </w:p>
        </w:tc>
      </w:tr>
      <w:tr>
        <w:tc>
          <w:tcPr>
            <w:tcW w:type="dxa" w:w="3135"/>
            <w:shd w:val="clear" w:color="auto" w:fill="FFFFFF"/>
          </w:tcPr>
          <w:p>
            <w:r>
              <w:rPr>
                <w:color w:val="1A1A1A"/>
                <w:sz w:val="18"/>
              </w:rPr>
              <w:t>2026</w:t>
            </w:r>
          </w:p>
        </w:tc>
        <w:tc>
          <w:tcPr>
            <w:tcW w:type="dxa" w:w="3135"/>
            <w:shd w:val="clear" w:color="auto" w:fill="FFFFFF"/>
          </w:tcPr>
          <w:p>
            <w:r>
              <w:rPr>
                <w:color w:val="1A1A1A"/>
                <w:sz w:val="18"/>
              </w:rPr>
              <w:t>~$37.2 Milyar</w:t>
            </w:r>
          </w:p>
        </w:tc>
        <w:tc>
          <w:tcPr>
            <w:tcW w:type="dxa" w:w="3135"/>
            <w:shd w:val="clear" w:color="auto" w:fill="FFFFFF"/>
          </w:tcPr>
          <w:p>
            <w:r>
              <w:rPr>
                <w:color w:val="1A1A1A"/>
                <w:sz w:val="18"/>
              </w:rPr>
              <w:t>%10.1 BYKH</w:t>
            </w:r>
          </w:p>
        </w:tc>
      </w:tr>
      <w:tr>
        <w:tc>
          <w:tcPr>
            <w:tcW w:type="dxa" w:w="3135"/>
            <w:shd w:val="clear" w:color="auto" w:fill="F0F7FF"/>
          </w:tcPr>
          <w:p>
            <w:r>
              <w:rPr>
                <w:color w:val="1A1A1A"/>
                <w:sz w:val="18"/>
              </w:rPr>
              <w:t>2032</w:t>
            </w:r>
          </w:p>
        </w:tc>
        <w:tc>
          <w:tcPr>
            <w:tcW w:type="dxa" w:w="3135"/>
            <w:shd w:val="clear" w:color="auto" w:fill="F0F7FF"/>
          </w:tcPr>
          <w:p>
            <w:r>
              <w:rPr>
                <w:color w:val="1A1A1A"/>
                <w:sz w:val="18"/>
              </w:rPr>
              <w:t>$44.28 Milyar (tahmin)</w:t>
            </w:r>
          </w:p>
        </w:tc>
        <w:tc>
          <w:tcPr>
            <w:tcW w:type="dxa" w:w="3135"/>
            <w:shd w:val="clear" w:color="auto" w:fill="F0F7FF"/>
          </w:tcPr>
          <w:p>
            <w:r>
              <w:rPr>
                <w:color w:val="1A1A1A"/>
                <w:sz w:val="18"/>
              </w:rPr>
              <w:t>%10.1 BYKH</w:t>
            </w:r>
          </w:p>
        </w:tc>
      </w:tr>
    </w:tbl>
    <w:p/>
    <w:p/>
    <w:p>
      <w:pPr>
        <w:ind w:left="576"/>
      </w:pPr>
      <w:r>
        <w:rPr>
          <w:i/>
          <w:color w:val="666666"/>
          <w:sz w:val="18"/>
        </w:rPr>
        <w:t>**Kaynak:** Verified Market Research, "Global HR Software Market Size Forecast 2026–2032" [^9]</w:t>
      </w:r>
    </w:p>
    <w:p/>
    <w:p>
      <w:pPr>
        <w:keepNext/>
        <w:keepLines/>
        <w:spacing w:before="160"/>
      </w:pPr>
      <w:r>
        <w:rPr>
          <w:b/>
          <w:color w:val="333333"/>
          <w:sz w:val="24"/>
        </w:rPr>
        <w:t>3.2 KOBİ Segmenti — En Hızlı Büyüyen Alan</w:t>
      </w:r>
    </w:p>
    <w:p/>
    <w:p>
      <w:pPr>
        <w:pStyle w:val="ListBullet"/>
        <w:ind w:left="360"/>
      </w:pPr>
      <w:r>
        <w:rPr>
          <w:color w:val="1A1A1A"/>
        </w:rPr>
        <w:t xml:space="preserve">KOBİ segmenti </w:t>
      </w:r>
      <w:r>
        <w:rPr>
          <w:b/>
          <w:color w:val="1A1A1A"/>
        </w:rPr>
        <w:t>%11.8 BYKH</w:t>
      </w:r>
      <w:r>
        <w:rPr>
          <w:color w:val="1A1A1A"/>
        </w:rPr>
        <w:t xml:space="preserve"> ile büyümeye devam ediyor — kurumsal segmentin (%9.5) önünde. [^10]</w:t>
      </w:r>
    </w:p>
    <w:p>
      <w:pPr>
        <w:pStyle w:val="ListBullet"/>
        <w:ind w:left="360"/>
      </w:pPr>
      <w:r>
        <w:rPr>
          <w:color w:val="1A1A1A"/>
        </w:rPr>
        <w:t xml:space="preserve">2025 itibarıyla KOBİ'lerin </w:t>
      </w:r>
      <w:r>
        <w:rPr>
          <w:b/>
          <w:color w:val="1A1A1A"/>
        </w:rPr>
        <w:t>%60'ı</w:t>
      </w:r>
      <w:r>
        <w:rPr>
          <w:color w:val="1A1A1A"/>
        </w:rPr>
        <w:t xml:space="preserve"> temel İK işlevlerini bulut tabanlı sistemlere taşıdı. [^11]</w:t>
      </w:r>
    </w:p>
    <w:p>
      <w:pPr>
        <w:pStyle w:val="ListBullet"/>
        <w:ind w:left="360"/>
      </w:pPr>
      <w:r>
        <w:rPr>
          <w:color w:val="1A1A1A"/>
        </w:rPr>
        <w:t xml:space="preserve">Yalnızca ABD'de </w:t>
      </w:r>
      <w:r>
        <w:rPr>
          <w:b/>
          <w:color w:val="1A1A1A"/>
        </w:rPr>
        <w:t>3 milyondan fazla</w:t>
      </w:r>
      <w:r>
        <w:rPr>
          <w:color w:val="1A1A1A"/>
        </w:rPr>
        <w:t xml:space="preserve"> küçük işletme BambooHR ve Gusto gibi platformlar aracılığıyla İK otomasyon hizmetleri alıyor. [^12]</w:t>
      </w:r>
    </w:p>
    <w:p/>
    <w:p>
      <w:pPr>
        <w:keepNext/>
        <w:keepLines/>
        <w:spacing w:before="160"/>
      </w:pPr>
      <w:r>
        <w:rPr>
          <w:b/>
          <w:color w:val="333333"/>
          <w:sz w:val="24"/>
        </w:rPr>
        <w:t>3.3 Bulut/SaaS Hakimiyeti</w:t>
      </w:r>
    </w:p>
    <w:p/>
    <w:p>
      <w:pPr>
        <w:pStyle w:val="ListBullet"/>
        <w:ind w:left="360"/>
      </w:pPr>
      <w:r>
        <w:rPr>
          <w:color w:val="1A1A1A"/>
        </w:rPr>
        <w:t xml:space="preserve">2026 itibarıyla global İK yazılım pazarının </w:t>
      </w:r>
      <w:r>
        <w:rPr>
          <w:b/>
          <w:color w:val="1A1A1A"/>
        </w:rPr>
        <w:t>%74'ü</w:t>
      </w:r>
      <w:r>
        <w:rPr>
          <w:color w:val="1A1A1A"/>
        </w:rPr>
        <w:t xml:space="preserve"> bulut tabanlı/SaaS çözümlerden oluşuyor. [^13]</w:t>
      </w:r>
    </w:p>
    <w:p>
      <w:pPr>
        <w:pStyle w:val="ListBullet"/>
        <w:ind w:left="360"/>
      </w:pPr>
      <w:r>
        <w:rPr>
          <w:color w:val="1A1A1A"/>
        </w:rPr>
        <w:t xml:space="preserve">Şirketlerin </w:t>
      </w:r>
      <w:r>
        <w:rPr>
          <w:b/>
          <w:color w:val="1A1A1A"/>
        </w:rPr>
        <w:t>%60'ı</w:t>
      </w:r>
      <w:r>
        <w:rPr>
          <w:color w:val="1A1A1A"/>
        </w:rPr>
        <w:t xml:space="preserve"> temel İK süreçlerini tamamen buluta taşımış durumda. [^14]</w:t>
      </w:r>
    </w:p>
    <w:p>
      <w:pPr>
        <w:pStyle w:val="ListBullet"/>
        <w:ind w:left="360"/>
      </w:pPr>
      <w:r>
        <w:rPr>
          <w:color w:val="1A1A1A"/>
        </w:rPr>
        <w:t xml:space="preserve">Bulut İK sistemleri, idari iş yükünü </w:t>
      </w:r>
      <w:r>
        <w:rPr>
          <w:b/>
          <w:color w:val="1A1A1A"/>
        </w:rPr>
        <w:t>%50'ye kadar</w:t>
      </w:r>
      <w:r>
        <w:rPr>
          <w:color w:val="1A1A1A"/>
        </w:rPr>
        <w:t xml:space="preserve"> azaltıyor. [^15]</w:t>
      </w:r>
    </w:p>
    <w:p/>
    <w:p>
      <w:pPr>
        <w:keepNext/>
        <w:keepLines/>
        <w:spacing w:before="160"/>
      </w:pPr>
      <w:r>
        <w:rPr>
          <w:b/>
          <w:color w:val="333333"/>
          <w:sz w:val="24"/>
        </w:rPr>
        <w:t>3.4 Yapay Zeka Dönüşümü</w:t>
      </w:r>
    </w:p>
    <w:p/>
    <w:p>
      <w:pPr>
        <w:pStyle w:val="ListBullet"/>
        <w:ind w:left="360"/>
      </w:pPr>
      <w:r>
        <w:rPr>
          <w:color w:val="1A1A1A"/>
        </w:rPr>
        <w:t>Workday, SAP ve ADP gibi liderler yapay zeka entegrasyonuna yoğun yatırım yapıyor; bu durum orta ölçekli ve küçük oyuncuların yenilik yapması için alan açıyor. [^16]</w:t>
      </w:r>
    </w:p>
    <w:p>
      <w:pPr>
        <w:pStyle w:val="ListBullet"/>
        <w:ind w:left="360"/>
      </w:pPr>
      <w:r>
        <w:rPr>
          <w:color w:val="1A1A1A"/>
        </w:rPr>
        <w:t xml:space="preserve">AI destekli özelliklerin işe alım süresini </w:t>
      </w:r>
      <w:r>
        <w:rPr>
          <w:b/>
          <w:color w:val="1A1A1A"/>
        </w:rPr>
        <w:t>%40'a kadar</w:t>
      </w:r>
      <w:r>
        <w:rPr>
          <w:color w:val="1A1A1A"/>
        </w:rPr>
        <w:t xml:space="preserve"> kısalttığı raporlanıyor. [^17]</w:t>
      </w:r>
    </w:p>
    <w:p/>
    <w:p>
      <w:pPr>
        <w:pBdr>
          <w:bottom w:val="single" w:sz="6" w:space="1" w:color="0D9EDF"/>
        </w:pBdr>
      </w:pPr>
    </w:p>
    <w:p/>
    <w:p>
      <w:pPr>
        <w:keepNext/>
        <w:keepLines/>
        <w:spacing w:before="240"/>
      </w:pPr>
      <w:r>
        <w:rPr>
          <w:b/>
          <w:color w:val="0D9EDF"/>
          <w:sz w:val="30"/>
        </w:rPr>
        <w:t>4. CADRO'nun Çözdüğü Problem</w:t>
      </w:r>
    </w:p>
    <w:p/>
    <w:p>
      <w:pPr>
        <w:spacing w:after="80"/>
      </w:pPr>
      <w:r>
        <w:rPr>
          <w:color w:val="1A1A1A"/>
        </w:rPr>
        <w:t>CADRO, "kurumsal İK sistemlerinin gücünü — KOBİ'nin bütçesine sığdırmak" ilkesiyle geliştirildi.</w:t>
      </w:r>
    </w:p>
    <w:p/>
    <w:p>
      <w:pPr>
        <w:keepNext/>
        <w:keepLines/>
        <w:spacing w:before="160"/>
      </w:pPr>
      <w:r>
        <w:rPr>
          <w:b/>
          <w:color w:val="333333"/>
          <w:sz w:val="24"/>
        </w:rPr>
        <w:t>4.1 Tek Platformda Tüm İK Süreci</w:t>
      </w:r>
    </w:p>
    <w:p/>
    <w:p>
      <w:pPr>
        <w:spacing w:after="80"/>
      </w:pPr>
      <w:r>
        <w:rPr>
          <w:color w:val="1A1A1A"/>
        </w:rPr>
        <w:t>CADRO, tek bir SaaS aboneliğiyle aşağıdaki 20+ modülü bir arada sunuyor:</w:t>
      </w:r>
    </w:p>
    <w:p/>
    <w:p>
      <w:r>
        <w:rPr>
          <w:b/>
          <w:color w:val="333333"/>
        </w:rPr>
        <w:t>Temel İK</w:t>
      </w:r>
    </w:p>
    <w:p>
      <w:pPr>
        <w:pStyle w:val="ListBullet"/>
        <w:ind w:left="360"/>
      </w:pPr>
      <w:r>
        <w:rPr>
          <w:color w:val="1A1A1A"/>
        </w:rPr>
        <w:t>Çalışan Yönetimi (özlük dosyası, belgeler, biyometri)</w:t>
      </w:r>
    </w:p>
    <w:p>
      <w:pPr>
        <w:pStyle w:val="ListBullet"/>
        <w:ind w:left="360"/>
      </w:pPr>
      <w:r>
        <w:rPr>
          <w:color w:val="1A1A1A"/>
        </w:rPr>
        <w:t>Şirket &amp; Departman Yönetimi</w:t>
      </w:r>
    </w:p>
    <w:p>
      <w:pPr>
        <w:pStyle w:val="ListBullet"/>
        <w:ind w:left="360"/>
      </w:pPr>
      <w:r>
        <w:rPr>
          <w:color w:val="1A1A1A"/>
        </w:rPr>
        <w:t>E-Dosya / Dijital Belge Yönetimi</w:t>
      </w:r>
    </w:p>
    <w:p>
      <w:pPr>
        <w:pStyle w:val="ListBullet"/>
        <w:ind w:left="360"/>
      </w:pPr>
      <w:r>
        <w:rPr>
          <w:color w:val="1A1A1A"/>
        </w:rPr>
        <w:t>Çalışan Self-Servis Portalı</w:t>
      </w:r>
    </w:p>
    <w:p/>
    <w:p>
      <w:r>
        <w:rPr>
          <w:b/>
          <w:color w:val="333333"/>
        </w:rPr>
        <w:t>Devam &amp; Zaman</w:t>
      </w:r>
    </w:p>
    <w:p>
      <w:pPr>
        <w:pStyle w:val="ListBullet"/>
        <w:ind w:left="360"/>
      </w:pPr>
      <w:r>
        <w:rPr>
          <w:color w:val="1A1A1A"/>
        </w:rPr>
        <w:t>Devam/Yoklama Takibi (QR kod &amp; konum tabanlı)</w:t>
      </w:r>
    </w:p>
    <w:p>
      <w:pPr>
        <w:pStyle w:val="ListBullet"/>
        <w:ind w:left="360"/>
      </w:pPr>
      <w:r>
        <w:rPr>
          <w:color w:val="1A1A1A"/>
        </w:rPr>
        <w:t>İzin Yönetimi (birden fazla izin türü, onay akışları)</w:t>
      </w:r>
    </w:p>
    <w:p>
      <w:pPr>
        <w:pStyle w:val="ListBullet"/>
        <w:ind w:left="360"/>
      </w:pPr>
      <w:r>
        <w:rPr>
          <w:color w:val="1A1A1A"/>
        </w:rPr>
        <w:t>Çalışma Takvimi &amp; Vardiya Yönetimi</w:t>
      </w:r>
    </w:p>
    <w:p>
      <w:pPr>
        <w:pStyle w:val="ListBullet"/>
        <w:ind w:left="360"/>
      </w:pPr>
      <w:r>
        <w:rPr>
          <w:color w:val="1A1A1A"/>
        </w:rPr>
        <w:t>Konum/Şantiye Bazlı Takip</w:t>
      </w:r>
    </w:p>
    <w:p/>
    <w:p>
      <w:r>
        <w:rPr>
          <w:b/>
          <w:color w:val="333333"/>
        </w:rPr>
        <w:t>İşe Alım</w:t>
      </w:r>
    </w:p>
    <w:p>
      <w:pPr>
        <w:pStyle w:val="ListBullet"/>
        <w:ind w:left="360"/>
      </w:pPr>
      <w:r>
        <w:rPr>
          <w:color w:val="1A1A1A"/>
        </w:rPr>
        <w:t>ATS (Aday Takip Sistemi)</w:t>
      </w:r>
    </w:p>
    <w:p>
      <w:pPr>
        <w:pStyle w:val="ListBullet"/>
        <w:ind w:left="360"/>
      </w:pPr>
      <w:r>
        <w:rPr>
          <w:color w:val="1A1A1A"/>
        </w:rPr>
        <w:t>Onboarding Akışı</w:t>
      </w:r>
    </w:p>
    <w:p/>
    <w:p>
      <w:r>
        <w:rPr>
          <w:b/>
          <w:color w:val="333333"/>
        </w:rPr>
        <w:t>Performans &amp; Gelişim</w:t>
      </w:r>
    </w:p>
    <w:p>
      <w:pPr>
        <w:pStyle w:val="ListBullet"/>
        <w:ind w:left="360"/>
      </w:pPr>
      <w:r>
        <w:rPr>
          <w:color w:val="1A1A1A"/>
        </w:rPr>
        <w:t>KPI Yönetimi</w:t>
      </w:r>
    </w:p>
    <w:p>
      <w:pPr>
        <w:pStyle w:val="ListBullet"/>
        <w:ind w:left="360"/>
      </w:pPr>
      <w:r>
        <w:rPr>
          <w:color w:val="1A1A1A"/>
        </w:rPr>
        <w:t>Performans Değerlendirme</w:t>
      </w:r>
    </w:p>
    <w:p>
      <w:pPr>
        <w:pStyle w:val="ListBullet"/>
        <w:ind w:left="360"/>
      </w:pPr>
      <w:r>
        <w:rPr>
          <w:color w:val="1A1A1A"/>
        </w:rPr>
        <w:t>Eğitim Yönetimi</w:t>
      </w:r>
    </w:p>
    <w:p>
      <w:pPr>
        <w:pStyle w:val="ListBullet"/>
        <w:ind w:left="360"/>
      </w:pPr>
      <w:r>
        <w:rPr>
          <w:color w:val="1A1A1A"/>
        </w:rPr>
        <w:t>Bilgi Tabanı</w:t>
      </w:r>
    </w:p>
    <w:p/>
    <w:p>
      <w:r>
        <w:rPr>
          <w:b/>
          <w:color w:val="333333"/>
        </w:rPr>
        <w:t>Finans &amp; Operasyon</w:t>
      </w:r>
    </w:p>
    <w:p>
      <w:pPr>
        <w:pStyle w:val="ListBullet"/>
        <w:ind w:left="360"/>
      </w:pPr>
      <w:r>
        <w:rPr>
          <w:color w:val="1A1A1A"/>
        </w:rPr>
        <w:t>Harcama Yönetimi</w:t>
      </w:r>
    </w:p>
    <w:p>
      <w:pPr>
        <w:pStyle w:val="ListBullet"/>
        <w:ind w:left="360"/>
      </w:pPr>
      <w:r>
        <w:rPr>
          <w:color w:val="1A1A1A"/>
        </w:rPr>
        <w:t>Satın Alma Talebi</w:t>
      </w:r>
    </w:p>
    <w:p>
      <w:pPr>
        <w:pStyle w:val="ListBullet"/>
        <w:ind w:left="360"/>
      </w:pPr>
      <w:r>
        <w:rPr>
          <w:color w:val="1A1A1A"/>
        </w:rPr>
        <w:t>Genel Talep Yönetimi</w:t>
      </w:r>
    </w:p>
    <w:p/>
    <w:p>
      <w:r>
        <w:rPr>
          <w:b/>
          <w:color w:val="333333"/>
        </w:rPr>
        <w:t>Yönetim &amp; Analiz</w:t>
      </w:r>
    </w:p>
    <w:p>
      <w:pPr>
        <w:pStyle w:val="ListBullet"/>
        <w:ind w:left="360"/>
      </w:pPr>
      <w:r>
        <w:rPr>
          <w:color w:val="1A1A1A"/>
        </w:rPr>
        <w:t>Yönetici Konsolu (Executive Dashboard)</w:t>
      </w:r>
    </w:p>
    <w:p>
      <w:pPr>
        <w:pStyle w:val="ListBullet"/>
        <w:ind w:left="360"/>
      </w:pPr>
      <w:r>
        <w:rPr>
          <w:color w:val="1A1A1A"/>
        </w:rPr>
        <w:t>PDF Raporlama</w:t>
      </w:r>
    </w:p>
    <w:p>
      <w:pPr>
        <w:pStyle w:val="ListBullet"/>
        <w:ind w:left="360"/>
      </w:pPr>
      <w:r>
        <w:rPr>
          <w:color w:val="1A1A1A"/>
        </w:rPr>
        <w:t>Denetim Kayıtları (Audit Log)</w:t>
      </w:r>
    </w:p>
    <w:p>
      <w:pPr>
        <w:pStyle w:val="ListBullet"/>
        <w:ind w:left="360"/>
      </w:pPr>
      <w:r>
        <w:rPr>
          <w:color w:val="1A1A1A"/>
        </w:rPr>
        <w:t>Bildirim Sistemi</w:t>
      </w:r>
    </w:p>
    <w:p/>
    <w:p>
      <w:r>
        <w:rPr>
          <w:b/>
          <w:color w:val="333333"/>
        </w:rPr>
        <w:t>Çalışan Bağlılığı</w:t>
      </w:r>
    </w:p>
    <w:p>
      <w:pPr>
        <w:pStyle w:val="ListBullet"/>
        <w:ind w:left="360"/>
      </w:pPr>
      <w:r>
        <w:rPr>
          <w:color w:val="1A1A1A"/>
        </w:rPr>
        <w:t>Sosyal &amp; Motivasyon Modülü</w:t>
      </w:r>
    </w:p>
    <w:p>
      <w:pPr>
        <w:pStyle w:val="ListBullet"/>
        <w:ind w:left="360"/>
      </w:pPr>
      <w:r>
        <w:rPr>
          <w:color w:val="1A1A1A"/>
        </w:rPr>
        <w:t>Destek / Ticket Sistemi</w:t>
      </w:r>
    </w:p>
    <w:p/>
    <w:p>
      <w:r>
        <w:rPr>
          <w:b/>
          <w:color w:val="333333"/>
        </w:rPr>
        <w:t>Mobil</w:t>
      </w:r>
    </w:p>
    <w:p>
      <w:pPr>
        <w:pStyle w:val="ListBullet"/>
        <w:ind w:left="360"/>
      </w:pPr>
      <w:r>
        <w:rPr>
          <w:color w:val="1A1A1A"/>
        </w:rPr>
        <w:t>Flutter tabanlı native iOS &amp; Android uygulaması</w:t>
      </w:r>
    </w:p>
    <w:p>
      <w:pPr>
        <w:pStyle w:val="ListBullet"/>
        <w:ind w:left="360"/>
      </w:pPr>
      <w:r>
        <w:rPr>
          <w:color w:val="1A1A1A"/>
        </w:rPr>
        <w:t>QR tabanlı yoklama, bildirim, self-servis</w:t>
      </w:r>
    </w:p>
    <w:p/>
    <w:p>
      <w:pPr>
        <w:keepNext/>
        <w:keepLines/>
        <w:spacing w:before="160"/>
      </w:pPr>
      <w:r>
        <w:rPr>
          <w:b/>
          <w:color w:val="333333"/>
          <w:sz w:val="24"/>
        </w:rPr>
        <w:t>4.2 Teknik Altyapı</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Katman</w:t>
            </w:r>
          </w:p>
        </w:tc>
        <w:tc>
          <w:tcPr>
            <w:tcW w:type="dxa" w:w="4703"/>
            <w:shd w:val="clear" w:color="auto" w:fill="0D9EDF"/>
          </w:tcPr>
          <w:p>
            <w:r>
              <w:rPr>
                <w:b/>
                <w:color w:val="FFFFFF"/>
                <w:sz w:val="18"/>
              </w:rPr>
              <w:t>Teknoloji</w:t>
            </w:r>
          </w:p>
        </w:tc>
      </w:tr>
      <w:tr>
        <w:tc>
          <w:tcPr>
            <w:tcW w:type="dxa" w:w="4703"/>
            <w:shd w:val="clear" w:color="auto" w:fill="F0F7FF"/>
          </w:tcPr>
          <w:p>
            <w:r>
              <w:rPr>
                <w:color w:val="1A1A1A"/>
                <w:sz w:val="18"/>
              </w:rPr>
              <w:t>Backend</w:t>
            </w:r>
          </w:p>
        </w:tc>
        <w:tc>
          <w:tcPr>
            <w:tcW w:type="dxa" w:w="4703"/>
            <w:shd w:val="clear" w:color="auto" w:fill="F0F7FF"/>
          </w:tcPr>
          <w:p>
            <w:r>
              <w:rPr>
                <w:color w:val="1A1A1A"/>
                <w:sz w:val="18"/>
              </w:rPr>
              <w:t>Python / FastAPI (REST API)</w:t>
            </w:r>
          </w:p>
        </w:tc>
      </w:tr>
      <w:tr>
        <w:tc>
          <w:tcPr>
            <w:tcW w:type="dxa" w:w="4703"/>
            <w:shd w:val="clear" w:color="auto" w:fill="FFFFFF"/>
          </w:tcPr>
          <w:p>
            <w:r>
              <w:rPr>
                <w:color w:val="1A1A1A"/>
                <w:sz w:val="18"/>
              </w:rPr>
              <w:t>Frontend</w:t>
            </w:r>
          </w:p>
        </w:tc>
        <w:tc>
          <w:tcPr>
            <w:tcW w:type="dxa" w:w="4703"/>
            <w:shd w:val="clear" w:color="auto" w:fill="FFFFFF"/>
          </w:tcPr>
          <w:p>
            <w:r>
              <w:rPr>
                <w:color w:val="1A1A1A"/>
                <w:sz w:val="18"/>
              </w:rPr>
              <w:t>React.js + Tailwind CSS</w:t>
            </w:r>
          </w:p>
        </w:tc>
      </w:tr>
      <w:tr>
        <w:tc>
          <w:tcPr>
            <w:tcW w:type="dxa" w:w="4703"/>
            <w:shd w:val="clear" w:color="auto" w:fill="F0F7FF"/>
          </w:tcPr>
          <w:p>
            <w:r>
              <w:rPr>
                <w:color w:val="1A1A1A"/>
                <w:sz w:val="18"/>
              </w:rPr>
              <w:t>Mobil</w:t>
            </w:r>
          </w:p>
        </w:tc>
        <w:tc>
          <w:tcPr>
            <w:tcW w:type="dxa" w:w="4703"/>
            <w:shd w:val="clear" w:color="auto" w:fill="F0F7FF"/>
          </w:tcPr>
          <w:p>
            <w:r>
              <w:rPr>
                <w:color w:val="1A1A1A"/>
                <w:sz w:val="18"/>
              </w:rPr>
              <w:t>Flutter (iOS + Android)</w:t>
            </w:r>
          </w:p>
        </w:tc>
      </w:tr>
      <w:tr>
        <w:tc>
          <w:tcPr>
            <w:tcW w:type="dxa" w:w="4703"/>
            <w:shd w:val="clear" w:color="auto" w:fill="FFFFFF"/>
          </w:tcPr>
          <w:p>
            <w:r>
              <w:rPr>
                <w:color w:val="1A1A1A"/>
                <w:sz w:val="18"/>
              </w:rPr>
              <w:t>Ödeme</w:t>
            </w:r>
          </w:p>
        </w:tc>
        <w:tc>
          <w:tcPr>
            <w:tcW w:type="dxa" w:w="4703"/>
            <w:shd w:val="clear" w:color="auto" w:fill="FFFFFF"/>
          </w:tcPr>
          <w:p>
            <w:r>
              <w:rPr>
                <w:color w:val="1A1A1A"/>
                <w:sz w:val="18"/>
              </w:rPr>
              <w:t>Paddle (global SaaS faturalandırma)</w:t>
            </w:r>
          </w:p>
        </w:tc>
      </w:tr>
      <w:tr>
        <w:tc>
          <w:tcPr>
            <w:tcW w:type="dxa" w:w="4703"/>
            <w:shd w:val="clear" w:color="auto" w:fill="F0F7FF"/>
          </w:tcPr>
          <w:p>
            <w:r>
              <w:rPr>
                <w:color w:val="1A1A1A"/>
                <w:sz w:val="18"/>
              </w:rPr>
              <w:t>Mimari</w:t>
            </w:r>
          </w:p>
        </w:tc>
        <w:tc>
          <w:tcPr>
            <w:tcW w:type="dxa" w:w="4703"/>
            <w:shd w:val="clear" w:color="auto" w:fill="F0F7FF"/>
          </w:tcPr>
          <w:p>
            <w:r>
              <w:rPr>
                <w:color w:val="1A1A1A"/>
                <w:sz w:val="18"/>
              </w:rPr>
              <w:t>Bulut tabanlı, SaaS, çok kiracılı (multi-tenant)</w:t>
            </w:r>
          </w:p>
        </w:tc>
      </w:tr>
      <w:tr>
        <w:tc>
          <w:tcPr>
            <w:tcW w:type="dxa" w:w="4703"/>
            <w:shd w:val="clear" w:color="auto" w:fill="FFFFFF"/>
          </w:tcPr>
          <w:p>
            <w:r>
              <w:rPr>
                <w:color w:val="1A1A1A"/>
                <w:sz w:val="18"/>
              </w:rPr>
              <w:t>API</w:t>
            </w:r>
          </w:p>
        </w:tc>
        <w:tc>
          <w:tcPr>
            <w:tcW w:type="dxa" w:w="4703"/>
            <w:shd w:val="clear" w:color="auto" w:fill="FFFFFF"/>
          </w:tcPr>
          <w:p>
            <w:r>
              <w:rPr>
                <w:color w:val="1A1A1A"/>
                <w:sz w:val="18"/>
              </w:rPr>
              <w:t>RESTful, versiyonlanmış (/api/v1)</w:t>
            </w:r>
          </w:p>
        </w:tc>
      </w:tr>
    </w:tbl>
    <w:p/>
    <w:p/>
    <w:p>
      <w:pPr>
        <w:keepNext/>
        <w:keepLines/>
        <w:spacing w:before="160"/>
      </w:pPr>
      <w:r>
        <w:rPr>
          <w:b/>
          <w:color w:val="333333"/>
          <w:sz w:val="24"/>
        </w:rPr>
        <w:t>4.3 Fiyatlandırma Modeli</w:t>
      </w:r>
    </w:p>
    <w:p/>
    <w:p>
      <w:pPr>
        <w:spacing w:after="80"/>
      </w:pPr>
      <w:r>
        <w:rPr>
          <w:color w:val="1A1A1A"/>
        </w:rPr>
        <w:t>Sistem 3 katmanlı abonelik modeliyle çalışmaktadır:</w:t>
      </w:r>
    </w:p>
    <w:p/>
    <w:tbl>
      <w:tblPr>
        <w:tblStyle w:val="TableGrid"/>
        <w:tblW w:type="auto" w:w="0"/>
        <w:tblLook w:firstColumn="1" w:firstRow="1" w:lastColumn="0" w:lastRow="0" w:noHBand="0" w:noVBand="1" w:val="04A0"/>
      </w:tblPr>
      <w:tblGrid>
        <w:gridCol w:w="4703"/>
        <w:gridCol w:w="4703"/>
      </w:tblGrid>
      <w:tr>
        <w:tc>
          <w:tcPr>
            <w:tcW w:type="dxa" w:w="4703"/>
            <w:shd w:val="clear" w:color="auto" w:fill="0D9EDF"/>
          </w:tcPr>
          <w:p>
            <w:r>
              <w:rPr>
                <w:b/>
                <w:color w:val="FFFFFF"/>
                <w:sz w:val="18"/>
              </w:rPr>
              <w:t>Plan</w:t>
            </w:r>
          </w:p>
        </w:tc>
        <w:tc>
          <w:tcPr>
            <w:tcW w:type="dxa" w:w="4703"/>
            <w:shd w:val="clear" w:color="auto" w:fill="0D9EDF"/>
          </w:tcPr>
          <w:p>
            <w:r>
              <w:rPr>
                <w:b/>
                <w:color w:val="FFFFFF"/>
                <w:sz w:val="18"/>
              </w:rPr>
              <w:t>Ödeme Periyodu</w:t>
            </w:r>
          </w:p>
        </w:tc>
      </w:tr>
      <w:tr>
        <w:tc>
          <w:tcPr>
            <w:tcW w:type="dxa" w:w="4703"/>
            <w:shd w:val="clear" w:color="auto" w:fill="F0F7FF"/>
          </w:tcPr>
          <w:p>
            <w:r>
              <w:rPr>
                <w:color w:val="1A1A1A"/>
                <w:sz w:val="18"/>
              </w:rPr>
              <w:t>**Basic**</w:t>
            </w:r>
          </w:p>
        </w:tc>
        <w:tc>
          <w:tcPr>
            <w:tcW w:type="dxa" w:w="4703"/>
            <w:shd w:val="clear" w:color="auto" w:fill="F0F7FF"/>
          </w:tcPr>
          <w:p>
            <w:r>
              <w:rPr>
                <w:color w:val="1A1A1A"/>
                <w:sz w:val="18"/>
              </w:rPr>
              <w:t>Aylık / Yıllık</w:t>
            </w:r>
          </w:p>
        </w:tc>
      </w:tr>
      <w:tr>
        <w:tc>
          <w:tcPr>
            <w:tcW w:type="dxa" w:w="4703"/>
            <w:shd w:val="clear" w:color="auto" w:fill="FFFFFF"/>
          </w:tcPr>
          <w:p>
            <w:r>
              <w:rPr>
                <w:color w:val="1A1A1A"/>
                <w:sz w:val="18"/>
              </w:rPr>
              <w:t>**Pro**</w:t>
            </w:r>
          </w:p>
        </w:tc>
        <w:tc>
          <w:tcPr>
            <w:tcW w:type="dxa" w:w="4703"/>
            <w:shd w:val="clear" w:color="auto" w:fill="FFFFFF"/>
          </w:tcPr>
          <w:p>
            <w:r>
              <w:rPr>
                <w:color w:val="1A1A1A"/>
                <w:sz w:val="18"/>
              </w:rPr>
              <w:t>Aylık / Yıllık</w:t>
            </w:r>
          </w:p>
        </w:tc>
      </w:tr>
      <w:tr>
        <w:tc>
          <w:tcPr>
            <w:tcW w:type="dxa" w:w="4703"/>
            <w:shd w:val="clear" w:color="auto" w:fill="F0F7FF"/>
          </w:tcPr>
          <w:p>
            <w:r>
              <w:rPr>
                <w:color w:val="1A1A1A"/>
                <w:sz w:val="18"/>
              </w:rPr>
              <w:t>**Enterprise**</w:t>
            </w:r>
          </w:p>
        </w:tc>
        <w:tc>
          <w:tcPr>
            <w:tcW w:type="dxa" w:w="4703"/>
            <w:shd w:val="clear" w:color="auto" w:fill="F0F7FF"/>
          </w:tcPr>
          <w:p>
            <w:r>
              <w:rPr>
                <w:color w:val="1A1A1A"/>
                <w:sz w:val="18"/>
              </w:rPr>
              <w:t>Aylık / Yıllık</w:t>
            </w:r>
          </w:p>
        </w:tc>
      </w:tr>
    </w:tbl>
    <w:p/>
    <w:p/>
    <w:p>
      <w:pPr>
        <w:ind w:left="576"/>
      </w:pPr>
      <w:r>
        <w:rPr>
          <w:i/>
          <w:color w:val="666666"/>
          <w:sz w:val="18"/>
        </w:rPr>
        <w:t>Faturalandırma Paddle altyapısı üzerinden gerçekleştirilmektedir. Paddle, vergi uyumluluğu ve global para birimi desteği sağlayan, Merchant of Record modeliyle çalışan bir ödeme altyapısıdır.</w:t>
      </w:r>
    </w:p>
    <w:p/>
    <w:p>
      <w:pPr>
        <w:pBdr>
          <w:bottom w:val="single" w:sz="6" w:space="1" w:color="0D9EDF"/>
        </w:pBdr>
      </w:pPr>
    </w:p>
    <w:p/>
    <w:p>
      <w:pPr>
        <w:keepNext/>
        <w:keepLines/>
        <w:spacing w:before="240"/>
      </w:pPr>
      <w:r>
        <w:rPr>
          <w:b/>
          <w:color w:val="0D9EDF"/>
          <w:sz w:val="30"/>
        </w:rPr>
        <w:t>5. Neden Şimdi?</w:t>
      </w:r>
    </w:p>
    <w:p/>
    <w:p>
      <w:pPr>
        <w:pStyle w:val="ListNumber"/>
        <w:keepNext/>
        <w:keepLines/>
        <w:ind w:left="360"/>
      </w:pPr>
      <w:r>
        <w:rPr>
          <w:b/>
          <w:color w:val="1A1A1A"/>
        </w:rPr>
        <w:t>Pazar momentumu:</w:t>
      </w:r>
      <w:r>
        <w:rPr>
          <w:color w:val="1A1A1A"/>
        </w:rPr>
        <w:t xml:space="preserve"> HR SaaS büyümesi hız kazanıyor; SMB segmenti kurumsal segmentten daha hızlı büyüyor.</w:t>
      </w:r>
    </w:p>
    <w:p>
      <w:pPr>
        <w:pStyle w:val="ListNumber"/>
        <w:keepNext/>
        <w:keepLines/>
        <w:ind w:left="360"/>
      </w:pPr>
      <w:r>
        <w:rPr>
          <w:b/>
          <w:color w:val="1A1A1A"/>
        </w:rPr>
        <w:t>Teknoloji hazır:</w:t>
      </w:r>
      <w:r>
        <w:rPr>
          <w:color w:val="1A1A1A"/>
        </w:rPr>
        <w:t xml:space="preserve"> Bulut altyapısı, mobil penetrasyon ve SaaS kabulü kritik eşiği geçti.</w:t>
      </w:r>
    </w:p>
    <w:p>
      <w:pPr>
        <w:pStyle w:val="ListNumber"/>
        <w:keepNext/>
        <w:keepLines/>
        <w:ind w:left="360"/>
      </w:pPr>
      <w:r>
        <w:rPr>
          <w:b/>
          <w:color w:val="1A1A1A"/>
        </w:rPr>
        <w:t>Ürün hazır:</w:t>
      </w:r>
      <w:r>
        <w:rPr>
          <w:color w:val="1A1A1A"/>
        </w:rPr>
        <w:t xml:space="preserve"> Tüm temel modüller tamamlandı, faturalandırma altyapısı kuruldu.</w:t>
      </w:r>
    </w:p>
    <w:p>
      <w:pPr>
        <w:pStyle w:val="ListNumber"/>
        <w:keepNext/>
        <w:keepLines/>
        <w:ind w:left="360"/>
      </w:pPr>
      <w:r>
        <w:rPr>
          <w:b/>
          <w:color w:val="1A1A1A"/>
        </w:rPr>
        <w:t>Rekabet boşluğu:</w:t>
      </w:r>
      <w:r>
        <w:rPr>
          <w:color w:val="1A1A1A"/>
        </w:rPr>
        <w:t xml:space="preserve"> Küçük işletmelere özel, uygun fiyatlı ve tüm özellikleri içeren bir platform eksikliği devam ediyor.</w:t>
      </w:r>
    </w:p>
    <w:p>
      <w:pPr>
        <w:pStyle w:val="ListNumber"/>
        <w:keepNext/>
        <w:keepLines/>
        <w:ind w:left="360"/>
      </w:pPr>
      <w:r>
        <w:rPr>
          <w:b/>
          <w:color w:val="1A1A1A"/>
        </w:rPr>
        <w:t>Yapay zeka dalgası:</w:t>
      </w:r>
      <w:r>
        <w:rPr>
          <w:color w:val="1A1A1A"/>
        </w:rPr>
        <w:t xml:space="preserve"> Bu dönüşüm, yeni HR yazılım aktörlerine yer açıyor.</w:t>
      </w:r>
    </w:p>
    <w:p/>
    <w:p>
      <w:pPr>
        <w:pBdr>
          <w:bottom w:val="single" w:sz="6" w:space="1" w:color="0D9EDF"/>
        </w:pBdr>
      </w:pPr>
    </w:p>
    <w:p/>
    <w:p>
      <w:pPr>
        <w:keepNext/>
        <w:keepLines/>
        <w:spacing w:before="240"/>
      </w:pPr>
      <w:r>
        <w:rPr>
          <w:b/>
          <w:color w:val="0D9EDF"/>
          <w:sz w:val="30"/>
        </w:rPr>
        <w:t>6. Ne Arıyoruz?</w:t>
      </w:r>
    </w:p>
    <w:p/>
    <w:p>
      <w:pPr>
        <w:spacing w:after="80"/>
      </w:pPr>
      <w:r>
        <w:rPr>
          <w:color w:val="1A1A1A"/>
        </w:rPr>
        <w:t>Bu ürün için iki seçenek değerlendiriyoruz:</w:t>
      </w:r>
    </w:p>
    <w:p/>
    <w:p>
      <w:r>
        <w:rPr>
          <w:b/>
          <w:color w:val="333333"/>
        </w:rPr>
        <w:t>A) Yatırım (Yatırımcı modeli)</w:t>
      </w:r>
    </w:p>
    <w:p>
      <w:pPr>
        <w:spacing w:after="80"/>
      </w:pPr>
      <w:r>
        <w:rPr>
          <w:color w:val="1A1A1A"/>
        </w:rPr>
        <w:t>Ürünün piyasaya açılması, ilk müşteri kazanımı ve büyüme için sermaye ortaklığı.</w:t>
      </w:r>
    </w:p>
    <w:p/>
    <w:p>
      <w:r>
        <w:rPr>
          <w:b/>
          <w:color w:val="333333"/>
        </w:rPr>
        <w:t>B) Satış / Akizisyon</w:t>
      </w:r>
    </w:p>
    <w:p>
      <w:pPr>
        <w:spacing w:after="80"/>
      </w:pPr>
      <w:r>
        <w:rPr>
          <w:color w:val="1A1A1A"/>
        </w:rPr>
        <w:t>Platformun, İK yazılımı veya ilgili sektörde faaliyet gösteren bir kurum veya stratejik alıcıya devri.</w:t>
      </w:r>
    </w:p>
    <w:p/>
    <w:p>
      <w:pPr>
        <w:spacing w:after="80"/>
      </w:pPr>
      <w:r>
        <w:rPr>
          <w:color w:val="1A1A1A"/>
        </w:rPr>
        <w:t>Her iki seçenek için de ayrıntılı görüşmeye hazırız.</w:t>
      </w:r>
    </w:p>
    <w:p/>
    <w:p>
      <w:pPr>
        <w:spacing w:after="80"/>
      </w:pPr>
      <w:r>
        <w:rPr>
          <w:b/>
          <w:color w:val="1A1A1A"/>
        </w:rPr>
        <w:t>İletişim:</w:t>
      </w:r>
      <w:r>
        <w:rPr>
          <w:color w:val="1A1A1A"/>
        </w:rPr>
        <w:t xml:space="preserve"> turgay@cadrohr.com *(örnek — gerçek mail adresiyle güncelleyin)*</w:t>
      </w:r>
    </w:p>
    <w:p/>
    <w:p>
      <w:pPr>
        <w:pBdr>
          <w:bottom w:val="single" w:sz="6" w:space="1" w:color="0D9EDF"/>
        </w:pBdr>
      </w:pPr>
    </w:p>
    <w:p/>
    <w:p>
      <w:pPr>
        <w:pBdr>
          <w:bottom w:val="single" w:sz="6" w:space="1" w:color="0D9EDF"/>
        </w:pBdr>
      </w:pPr>
    </w:p>
    <w:p/>
    <w:p>
      <w:pPr>
        <w:keepNext/>
        <w:keepLines/>
        <w:spacing w:before="240"/>
      </w:pPr>
      <w:r>
        <w:rPr>
          <w:b/>
          <w:color w:val="0D9EDF"/>
          <w:sz w:val="30"/>
        </w:rPr>
        <w:t>KAYNAKLAR VE DİPNOTLAR</w:t>
      </w:r>
    </w:p>
    <w:p/>
    <w:p>
      <w:pPr>
        <w:spacing w:after="80"/>
      </w:pPr>
      <w:r>
        <w:rPr>
          <w:color w:val="1A1A1A"/>
        </w:rPr>
        <w:t>*Bu bölüm yatırımcıların verileri doğrulaması için referans kaynaklarını içermektedir.*</w:t>
      </w:r>
    </w:p>
    <w:p/>
    <w:p>
      <w:pPr>
        <w:pBdr>
          <w:bottom w:val="single" w:sz="6" w:space="1" w:color="0D9EDF"/>
        </w:pBdr>
      </w:pPr>
    </w:p>
    <w:p/>
    <w:p>
      <w:pPr>
        <w:spacing w:after="80"/>
      </w:pPr>
      <w:r>
        <w:rPr>
          <w:color w:val="1A1A1A"/>
        </w:rPr>
        <w:t>[^1]: SHRM (Society for Human Resource Management), "The Cost of HR Administration", 2024. KOBİ yöneticilerinin idari HR görevlerine harcadığı ortalama süreye ilişkin sektör anket verilerine dayalı tahmindir.</w:t>
      </w:r>
    </w:p>
    <w:p>
      <w:pPr>
        <w:spacing w:after="80"/>
      </w:pPr>
      <w:r>
        <w:rPr>
          <w:b/>
          <w:color w:val="1A1A1A"/>
        </w:rPr>
        <w:t>Erişim:</w:t>
      </w:r>
      <w:r>
        <w:rPr>
          <w:color w:val="1A1A1A"/>
        </w:rPr>
        <w:t xml:space="preserve"> https://www.shrm.org/topics-tools/research</w:t>
      </w:r>
    </w:p>
    <w:p/>
    <w:p>
      <w:pPr>
        <w:spacing w:after="80"/>
      </w:pPr>
      <w:r>
        <w:rPr>
          <w:color w:val="1A1A1A"/>
        </w:rPr>
        <w:t>[^2]: ERP Advisors Group, "Workday HCM Pricing &amp; Implementation Costs", 2024–2025. Workday'in orta büyüklükteki işletmeler için toplam uygulama maliyeti (yazılım lisansı + danışmanlık + eğitim) aralığıdır.</w:t>
      </w:r>
    </w:p>
    <w:p>
      <w:pPr>
        <w:spacing w:after="80"/>
      </w:pPr>
      <w:r>
        <w:rPr>
          <w:b/>
          <w:color w:val="1A1A1A"/>
        </w:rPr>
        <w:t>Erişim:</w:t>
      </w:r>
      <w:r>
        <w:rPr>
          <w:color w:val="1A1A1A"/>
        </w:rPr>
        <w:t xml:space="preserve"> https://erpadvisorsgroup.com/workday-erp-pricing/</w:t>
      </w:r>
    </w:p>
    <w:p/>
    <w:p>
      <w:pPr>
        <w:spacing w:after="80"/>
      </w:pPr>
      <w:r>
        <w:rPr>
          <w:color w:val="1A1A1A"/>
        </w:rPr>
        <w:t>[^3]: SAP SE resmi web sitesi ve iş ortağı fiyatlandırma kaynakları, 2025. SAP SuccessFactors Employee Central modülünün kullanıcı başına aylık fiyat aralığı.</w:t>
      </w:r>
    </w:p>
    <w:p>
      <w:pPr>
        <w:spacing w:after="80"/>
      </w:pPr>
      <w:r>
        <w:rPr>
          <w:b/>
          <w:color w:val="1A1A1A"/>
        </w:rPr>
        <w:t>Erişim:</w:t>
      </w:r>
      <w:r>
        <w:rPr>
          <w:color w:val="1A1A1A"/>
        </w:rPr>
        <w:t xml:space="preserve"> https://www.sap.com/products/hcm/pricing.html</w:t>
      </w:r>
    </w:p>
    <w:p/>
    <w:p>
      <w:pPr>
        <w:spacing w:after="80"/>
      </w:pPr>
      <w:r>
        <w:rPr>
          <w:color w:val="1A1A1A"/>
        </w:rPr>
        <w:t>[^4]: Oracle HCM Cloud kurumsal fiyatlandırma, 2025. Oracle HCM Cloud'un tipik kurumsal sözleşme büyüklüğü; kaynak: Oracle satış danışmanlığı ve ERP araştırma platformu Gartner.</w:t>
      </w:r>
    </w:p>
    <w:p>
      <w:pPr>
        <w:spacing w:after="80"/>
      </w:pPr>
      <w:r>
        <w:rPr>
          <w:b/>
          <w:color w:val="1A1A1A"/>
        </w:rPr>
        <w:t>Erişim:</w:t>
      </w:r>
      <w:r>
        <w:rPr>
          <w:color w:val="1A1A1A"/>
        </w:rPr>
        <w:t xml:space="preserve"> https://www.oracle.com/human-capital-management/</w:t>
      </w:r>
    </w:p>
    <w:p/>
    <w:p>
      <w:pPr>
        <w:spacing w:after="80"/>
      </w:pPr>
      <w:r>
        <w:rPr>
          <w:color w:val="1A1A1A"/>
        </w:rPr>
        <w:t>[^5]: BambooHR resmi fiyatlandırma sayfası, 2025. Temel İK + ATS dahil paket için kullanıcı başına aylık tahmini fiyat aralığı.</w:t>
      </w:r>
    </w:p>
    <w:p>
      <w:pPr>
        <w:spacing w:after="80"/>
      </w:pPr>
      <w:r>
        <w:rPr>
          <w:b/>
          <w:color w:val="1A1A1A"/>
        </w:rPr>
        <w:t>Erişim:</w:t>
      </w:r>
      <w:r>
        <w:rPr>
          <w:color w:val="1A1A1A"/>
        </w:rPr>
        <w:t xml:space="preserve"> https://www.bamboohr.com/pricing/</w:t>
      </w:r>
    </w:p>
    <w:p/>
    <w:p>
      <w:pPr>
        <w:spacing w:after="80"/>
      </w:pPr>
      <w:r>
        <w:rPr>
          <w:color w:val="1A1A1A"/>
        </w:rPr>
        <w:t>[^6]: Personio resmi fiyatlandırma sayfası, 2025. Temel plan fiyatları, Almanya, Avusturya, İsviçre ve İspanya pazarlarına odaklıdır; Türkiye için yerel destek kısıtlıdır.</w:t>
      </w:r>
    </w:p>
    <w:p>
      <w:pPr>
        <w:spacing w:after="80"/>
      </w:pPr>
      <w:r>
        <w:rPr>
          <w:b/>
          <w:color w:val="1A1A1A"/>
        </w:rPr>
        <w:t>Erişim:</w:t>
      </w:r>
      <w:r>
        <w:rPr>
          <w:color w:val="1A1A1A"/>
        </w:rPr>
        <w:t xml:space="preserve"> https://www.personio.com/pricing/</w:t>
      </w:r>
    </w:p>
    <w:p/>
    <w:p>
      <w:pPr>
        <w:spacing w:after="80"/>
      </w:pPr>
      <w:r>
        <w:rPr>
          <w:color w:val="1A1A1A"/>
        </w:rPr>
        <w:t>[^7]: Factorial HR resmi fiyatlandırma sayfası, 2025. Başlangıç planı aylık kullanıcı başına fiyat; gelişmiş modüller için Pro plan gerekmektedir.</w:t>
      </w:r>
    </w:p>
    <w:p>
      <w:pPr>
        <w:spacing w:after="80"/>
      </w:pPr>
      <w:r>
        <w:rPr>
          <w:b/>
          <w:color w:val="1A1A1A"/>
        </w:rPr>
        <w:t>Erişim:</w:t>
      </w:r>
      <w:r>
        <w:rPr>
          <w:color w:val="1A1A1A"/>
        </w:rPr>
        <w:t xml:space="preserve"> https://factorialhr.com/pricing</w:t>
      </w:r>
    </w:p>
    <w:p/>
    <w:p>
      <w:pPr>
        <w:spacing w:after="80"/>
      </w:pPr>
      <w:r>
        <w:rPr>
          <w:color w:val="1A1A1A"/>
        </w:rPr>
        <w:t>[^8]: Deloitte Turkey, "Digital Transformation in Turkish SMEs", 2023 ve PwC Türkiye SME Report 2024 verilerine dayalı tahmin. Türkiye'deki KOBİ'lerin dijital İK araç kullanım oranına ilişkin sektör ortalaması. (Not: Bu rakam kesin bir anket verisi değil, sektör tahminlerine dayalıdır; yatırımcıya sunarken "tahmin" olduğu belirtilmelidir.)</w:t>
      </w:r>
    </w:p>
    <w:p/>
    <w:p>
      <w:pPr>
        <w:spacing w:after="80"/>
      </w:pPr>
      <w:r>
        <w:rPr>
          <w:color w:val="1A1A1A"/>
        </w:rPr>
        <w:t>[^9]: Verified Market Research, "Global HR Software Market Size By Deployment Mode (Cloud, On-Premise), By Organization Size (Small &amp; Medium Enterprise, Large Enterprise), By Geographic Scope And Forecast", Mart 2026. Rapor ID: 33839.</w:t>
      </w:r>
    </w:p>
    <w:p>
      <w:pPr>
        <w:spacing w:after="80"/>
      </w:pPr>
      <w:r>
        <w:rPr>
          <w:b/>
          <w:color w:val="1A1A1A"/>
        </w:rPr>
        <w:t>Erişim:</w:t>
      </w:r>
      <w:r>
        <w:rPr>
          <w:color w:val="1A1A1A"/>
        </w:rPr>
        <w:t xml:space="preserve"> https://www.verifiedmarketresearch.com/product/hr-software-market/</w:t>
      </w:r>
    </w:p>
    <w:p/>
    <w:p>
      <w:pPr>
        <w:spacing w:after="80"/>
      </w:pPr>
      <w:r>
        <w:rPr>
          <w:color w:val="1A1A1A"/>
        </w:rPr>
        <w:t>[^10]: Verified Market Research, a.g.e. SME segmenti CAGR: %11.8 (2026–2030). Büyük kurumsal segment CAGR: %9.5 (Asya-Pasifik için).</w:t>
      </w:r>
    </w:p>
    <w:p>
      <w:pPr>
        <w:spacing w:after="80"/>
      </w:pPr>
      <w:r>
        <w:rPr>
          <w:b/>
          <w:color w:val="1A1A1A"/>
        </w:rPr>
        <w:t>Erişim:</w:t>
      </w:r>
      <w:r>
        <w:rPr>
          <w:color w:val="1A1A1A"/>
        </w:rPr>
        <w:t xml:space="preserve"> https://www.verifiedmarketresearch.com/product/hr-software-market/</w:t>
      </w:r>
    </w:p>
    <w:p/>
    <w:p>
      <w:pPr>
        <w:spacing w:after="80"/>
      </w:pPr>
      <w:r>
        <w:rPr>
          <w:color w:val="1A1A1A"/>
        </w:rPr>
        <w:t>[^11]: Verified Market Research, a.g.e. "nearly 60% of SMEs have migrated to cloud-based HR systems as of 2025."</w:t>
      </w:r>
    </w:p>
    <w:p/>
    <w:p>
      <w:pPr>
        <w:spacing w:after="80"/>
      </w:pPr>
      <w:r>
        <w:rPr>
          <w:color w:val="1A1A1A"/>
        </w:rPr>
        <w:t>[^12]: Verified Market Research, a.g.e. "cloud-native vendors like BambooHR and Gusto provide essential payroll and onboarding automation to over 3 million small businesses in the U.S. alone."</w:t>
      </w:r>
    </w:p>
    <w:p/>
    <w:p>
      <w:pPr>
        <w:spacing w:after="80"/>
      </w:pPr>
      <w:r>
        <w:rPr>
          <w:color w:val="1A1A1A"/>
        </w:rPr>
        <w:t>[^13]: Verified Market Research, a.g.e. "Cloud subsegment is the undisputed dominant force, commanding an estimated 74% of the global market share as of early 2026."</w:t>
      </w:r>
    </w:p>
    <w:p/>
    <w:p>
      <w:pPr>
        <w:spacing w:after="80"/>
      </w:pPr>
      <w:r>
        <w:rPr>
          <w:color w:val="1A1A1A"/>
        </w:rPr>
        <w:t>[^14]: Verified Market Research, a.g.e. "nearly 60% of global businesses have migrated their core HR functions to the cloud."</w:t>
      </w:r>
    </w:p>
    <w:p/>
    <w:p>
      <w:pPr>
        <w:spacing w:after="80"/>
      </w:pPr>
      <w:r>
        <w:rPr>
          <w:color w:val="1A1A1A"/>
        </w:rPr>
        <w:t>[^15]: Verified Market Research, a.g.e. "these platforms offer up to 50% reduction in administrative labor costs through process centralization."</w:t>
      </w:r>
    </w:p>
    <w:p/>
    <w:p>
      <w:pPr>
        <w:spacing w:after="80"/>
      </w:pPr>
      <w:r>
        <w:rPr>
          <w:color w:val="1A1A1A"/>
        </w:rPr>
        <w:t>[^16]: Verified Market Research, a.g.e. "Major industry players like Workday, SAP SuccessFactors, and ADP are increasingly integrating behavioral science and sentiment analysis."</w:t>
      </w:r>
    </w:p>
    <w:p/>
    <w:p>
      <w:pPr>
        <w:spacing w:after="80"/>
      </w:pPr>
      <w:r>
        <w:rPr>
          <w:color w:val="1A1A1A"/>
        </w:rPr>
        <w:t>[^17]: Verified Market Research, a.g.e. "reducing the time-to-hire by as much as 40%."</w:t>
      </w:r>
    </w:p>
    <w:p/>
    <w:p>
      <w:pPr>
        <w:pBdr>
          <w:bottom w:val="single" w:sz="6" w:space="1" w:color="0D9EDF"/>
        </w:pBdr>
      </w:pPr>
    </w:p>
    <w:p/>
    <w:p>
      <w:pPr>
        <w:spacing w:after="80"/>
      </w:pPr>
      <w:r>
        <w:rPr>
          <w:color w:val="1A1A1A"/>
        </w:rPr>
        <w:t>*Bu belge, CADRO HR SaaS platformunun yatırımcı/alıcı sunumu için hazırlanmış Aşama 1 (Problem Statement) belgesidir. Sonraki belgeler: Ürün Demo Videosu, Teknik Mimari, Rekabet Analizi, Fiyatlandırma Modeli.*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